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Mathematical,</w:t>
      </w:r>
      <w:r>
        <w:t xml:space="preserve"> </w:t>
      </w:r>
      <w:r>
        <w:t xml:space="preserve">Graph-Theoretic,</w:t>
      </w:r>
      <w:r>
        <w:t xml:space="preserve"> </w:t>
      </w:r>
      <w:r>
        <w:t xml:space="preserve">and</w:t>
      </w:r>
      <w:r>
        <w:t xml:space="preserve"> </w:t>
      </w:r>
      <w:r>
        <w:t xml:space="preserve">Scientific</w:t>
      </w:r>
      <w:r>
        <w:t xml:space="preserve"> </w:t>
      </w:r>
      <w:r>
        <w:t xml:space="preserve">Enhancement</w:t>
      </w:r>
      <w:r>
        <w:t xml:space="preserve"> </w:t>
      </w:r>
      <w:r>
        <w:t xml:space="preserve">Research:</w:t>
      </w:r>
      <w:r>
        <w:t xml:space="preserve"> </w:t>
      </w:r>
      <w:r>
        <w:t xml:space="preserve">Candidate</w:t>
      </w:r>
      <w:r>
        <w:t xml:space="preserve"> </w:t>
      </w:r>
      <w:r>
        <w:t xml:space="preserve">Techniques</w:t>
      </w:r>
      <w:r>
        <w:t xml:space="preserve"> </w:t>
      </w:r>
      <w:r>
        <w:t xml:space="preserve">for</w:t>
      </w:r>
      <w:r>
        <w:t xml:space="preserve"> </w:t>
      </w:r>
      <w:r>
        <w:t xml:space="preserve">System</w:t>
      </w:r>
      <w:r>
        <w:t xml:space="preserve"> </w:t>
      </w:r>
      <w:r>
        <w:t xml:space="preserve">Improvement</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Executive Summary ……………………………………………………… 3</w:t>
      </w:r>
      <w:r>
        <w:br/>
      </w:r>
      <w:r>
        <w:t xml:space="preserve">1. Methodology and Framing ……………………………………………… 4</w:t>
      </w:r>
      <w:r>
        <w:br/>
      </w:r>
      <w:r>
        <w:t xml:space="preserve">2. Submodular Optimization: A Generalization of Section 9’s Knapsack Formulation … 6</w:t>
      </w:r>
      <w:r>
        <w:br/>
      </w:r>
      <w:r>
        <w:t xml:space="preserve">3. Persistent Homology and Persistent Laplacians: Unifying the Spectral and Topology Engines … 8</w:t>
      </w:r>
      <w:r>
        <w:br/>
      </w:r>
      <w:r>
        <w:t xml:space="preserve">4. Optimal Transport: Order-Aware Sequence Matching and Structural Alignment …. 10</w:t>
      </w:r>
      <w:r>
        <w:br/>
      </w:r>
      <w:r>
        <w:t xml:space="preserve">5. Information Bottleneck Theory: From Diagnostic Framing to Optimization Objective … 12</w:t>
      </w:r>
      <w:r>
        <w:br/>
      </w:r>
      <w:r>
        <w:t xml:space="preserve">6. Neural and Diffusion-Based Combinatorial Optimization: Scaling Beyond the DP Memory Guard … 14</w:t>
      </w:r>
      <w:r>
        <w:br/>
      </w:r>
      <w:r>
        <w:t xml:space="preserve">7. Hypergraph Neural Networks: Higher-Order Relational Structure for the Matrix Engine … 16</w:t>
      </w:r>
      <w:r>
        <w:br/>
      </w:r>
      <w:r>
        <w:t xml:space="preserve">8. Synthesis: How These Techniques Compose ……………………………….. 18</w:t>
      </w:r>
      <w:r>
        <w:br/>
      </w:r>
      <w:r>
        <w:t xml:space="preserve">9. Prioritized Roadmap …………………………………………………. 21</w:t>
      </w:r>
      <w:r>
        <w:br/>
      </w:r>
      <w:r>
        <w:t xml:space="preserve">10. Risk Considerations in Adopting These Techniques ………………………. 24</w:t>
      </w:r>
      <w:r>
        <w:br/>
      </w:r>
      <w:r>
        <w:t xml:space="preserve">Conclusion ……………………………………………………………. 26</w:t>
      </w:r>
      <w:r>
        <w:br/>
      </w:r>
      <w:r>
        <w:t xml:space="preserve">References ……………………………………………………………. 27</w:t>
      </w:r>
    </w:p>
    <w:bookmarkEnd w:id="20"/>
    <w:bookmarkStart w:id="81" w:name="executive-summary"/>
    <w:p>
      <w:pPr>
        <w:pStyle w:val="Heading1"/>
      </w:pPr>
      <w:r>
        <w:t xml:space="preserve">Executive Summary</w:t>
      </w:r>
    </w:p>
    <w:p>
      <w:pPr>
        <w:pStyle w:val="FirstParagraph"/>
      </w:pPr>
      <w:r>
        <w:t xml:space="preserve">This report surveys current mathematical, graph-theoretic, and scientific-computing research — current as of July 2026 — for techniques that could concretely strengthen specific, named components of AEGIS-DocIntel/AMDI-OS, continuing the evidentiary discipline established across this body of work: every technique recommended here is attributed to a specific, dated source, mapped to the exact monograph section it would extend, and rated by integration risk rather than presented as an unconditional upgrade.</w:t>
      </w:r>
    </w:p>
    <w:p>
      <w:pPr>
        <w:pStyle w:val="BodyText"/>
      </w:pPr>
      <w:r>
        <w:rPr>
          <w:bCs/>
          <w:b/>
        </w:rPr>
        <w:t xml:space="preserve">Headline finding.</w:t>
      </w:r>
      <w:r>
        <w:t xml:space="preserve"> </w:t>
      </w:r>
      <w:r>
        <w:t xml:space="preserve">The single highest-leverage candidate identified is</w:t>
      </w:r>
      <w:r>
        <w:t xml:space="preserve"> </w:t>
      </w:r>
      <w:r>
        <w:rPr>
          <w:bCs/>
          <w:b/>
        </w:rPr>
        <w:t xml:space="preserve">submodular optimization</w:t>
      </w:r>
      <w:r>
        <w:t xml:space="preserve"> </w:t>
      </w:r>
      <w:r>
        <w:t xml:space="preserve">as a generalization of AEGIS’s Section 9 knapsack formulation. A March 2026 theoretical framework casts RAG document selection as monotone submodular maximization under a knapsack constraint, carrying a classical (1-1/e) approximation guarantee, specifically because coverage of query-relevant information exhibits diminishing returns that a plain knapsack’s independent per-item value function does not model. This is a direct mathematical upgrade path for AEGIS: it would let a single formulation subsume what AEGIS currently does in two disconnected stages — Section 15.4’s MMR diversity filter and Section 9’s value-maximizing knapsack — inside one constrained-optimization objective with its own proven bound, rather than two heuristically-composed stages with no combined guarantee.</w:t>
      </w:r>
    </w:p>
    <w:p>
      <w:pPr>
        <w:pStyle w:val="BodyText"/>
      </w:pPr>
      <w:r>
        <w:rPr>
          <w:bCs/>
          <w:b/>
        </w:rPr>
        <w:t xml:space="preserve">Second-highest-leverage finding.</w:t>
      </w:r>
      <w:r>
        <w:t xml:space="preserve"> </w:t>
      </w:r>
      <w:r>
        <w:t xml:space="preserve">Persistent homology and, more specifically,</w:t>
      </w:r>
      <w:r>
        <w:t xml:space="preserve"> </w:t>
      </w:r>
      <w:r>
        <w:rPr>
          <w:bCs/>
          <w:b/>
        </w:rPr>
        <w:t xml:space="preserve">persistent Laplacians</w:t>
      </w:r>
      <w:r>
        <w:t xml:space="preserve"> </w:t>
      </w:r>
      <w:r>
        <w:t xml:space="preserve">— a spectral generalization of the graph Laplacian across a filtration of scales, developed extensively in computational biology and now spreading into general graph learning — offer a mathematically principled way to unify two of AEGIS’s twelve engines (Spectral, Section 5.4, and Topology, currently an unimplemented</w:t>
      </w:r>
      <w:r>
        <w:t xml:space="preserve"> </w:t>
      </w:r>
      <w:r>
        <w:t xml:space="preserve">“</w:t>
      </w:r>
      <w:r>
        <w:t xml:space="preserve">evaluate-before-adopt</w:t>
      </w:r>
      <w:r>
        <w:t xml:space="preserve">”</w:t>
      </w:r>
      <w:r>
        <w:t xml:space="preserve"> </w:t>
      </w:r>
      <w:r>
        <w:t xml:space="preserve">candidate per monograph Section 23) into a single, more powerful representation, rather than requiring the topology engine to be built as a separate system from scratch.</w:t>
      </w:r>
    </w:p>
    <w:p>
      <w:pPr>
        <w:pStyle w:val="BodyText"/>
      </w:pPr>
      <w:r>
        <w:rPr>
          <w:bCs/>
          <w:b/>
        </w:rPr>
        <w:t xml:space="preserve">Third finding, with an important caution.</w:t>
      </w:r>
      <w:r>
        <w:t xml:space="preserve"> </w:t>
      </w:r>
      <w:r>
        <w:t xml:space="preserve">Information Bottleneck theory has been applied directly to LLM context compression by at least one 2025 peer-reviewed system (QUITO-X), giving AEGIS’s own Section 10 information-theoretic framing — currently diagnostic rather than optimization-driving — a path to becoming an actual, trainable compression objective. This report also surveys optimal transport (Wasserstein distances), hypergraph neural networks, and neural/diffusion-based combinatorial optimization solvers as further candidates, each mapped to a specific AEGIS component, each with a stated integration risk, and none presented as free of trade-offs — consistent with the Feasibility and Validation Report’s standing caution that architectural elegance and validated production benefit are different claims.</w:t>
      </w:r>
    </w:p>
    <w:bookmarkStart w:id="25" w:name="methodology-and-framing"/>
    <w:p>
      <w:pPr>
        <w:pStyle w:val="Heading2"/>
      </w:pPr>
      <w:r>
        <w:t xml:space="preserve">1. Methodology and Framing</w:t>
      </w:r>
    </w:p>
    <w:bookmarkStart w:id="21" w:name="what-counts-as-an-improvement-candidate"/>
    <w:p>
      <w:pPr>
        <w:pStyle w:val="Heading3"/>
      </w:pPr>
      <w:r>
        <w:t xml:space="preserve">1.1 What Counts as an Improvement Candidate</w:t>
      </w:r>
    </w:p>
    <w:p>
      <w:pPr>
        <w:pStyle w:val="FirstParagraph"/>
      </w:pPr>
      <w:r>
        <w:t xml:space="preserve">This report evaluates a technique as a genuine improvement candidate only if it satisfies three conditions: it is grounded in a specific, dated, publicly available source (a peer-reviewed paper, an arXiv preprint, or an established textbook result); it maps onto a specific, named AEGIS component (a monograph section, theorem, or engine) rather than being a generic</w:t>
      </w:r>
      <w:r>
        <w:t xml:space="preserve"> </w:t>
      </w:r>
      <w:r>
        <w:t xml:space="preserve">“</w:t>
      </w:r>
      <w:r>
        <w:t xml:space="preserve">AI could help here</w:t>
      </w:r>
      <w:r>
        <w:t xml:space="preserve">”</w:t>
      </w:r>
      <w:r>
        <w:t xml:space="preserve"> </w:t>
      </w:r>
      <w:r>
        <w:t xml:space="preserve">suggestion; and it offers a stated, specific advantage over AEGIS’s current approach — a stronger guarantee, a wider applicability condition, a lower computational cost, or an empirically demonstrated performance gain — rather than being different for its own sake. Techniques that fail any of these three tests are not included, consistent with the evidentiary discipline established in the monograph, the Feasibility and Validation Report, and the Comparative Landscape Report this document continues.</w:t>
      </w:r>
    </w:p>
    <w:bookmarkEnd w:id="21"/>
    <w:bookmarkStart w:id="22" w:name="X50bf1f694feaed269ea798b8f4f0ba29c7349d8"/>
    <w:p>
      <w:pPr>
        <w:pStyle w:val="Heading3"/>
      </w:pPr>
      <w:r>
        <w:t xml:space="preserve">1.2 Relationship to Prior Reports in This Body of Work</w:t>
      </w:r>
    </w:p>
    <w:p>
      <w:pPr>
        <w:pStyle w:val="FirstParagraph"/>
      </w:pPr>
      <w:r>
        <w:t xml:space="preserve">This report is forward-looking in a way the prior three documents were not: the monograph establishes what AEGIS is and proves what has been proven; the Feasibility and Validation Report assesses whether what exists is ready; the Comparative Landscape Report benchmarks AEGIS against what other</w:t>
      </w:r>
      <w:r>
        <w:t xml:space="preserve"> </w:t>
      </w:r>
      <w:r>
        <w:rPr>
          <w:iCs/>
          <w:i/>
        </w:rPr>
        <w:t xml:space="preserve">systems</w:t>
      </w:r>
      <w:r>
        <w:t xml:space="preserve"> </w:t>
      </w:r>
      <w:r>
        <w:t xml:space="preserve">currently do. This report instead asks what unexploited</w:t>
      </w:r>
      <w:r>
        <w:t xml:space="preserve"> </w:t>
      </w:r>
      <w:r>
        <w:rPr>
          <w:iCs/>
          <w:i/>
        </w:rPr>
        <w:t xml:space="preserve">mathematics</w:t>
      </w:r>
      <w:r>
        <w:t xml:space="preserve"> </w:t>
      </w:r>
      <w:r>
        <w:t xml:space="preserve">— not competing products, but underlying theory and technique — could improve AEGIS’s own components beyond their current formulation. Where a technique surveyed here overlaps with a system named in the Comparative Landscape Report (for instance, submodular optimization’s connection to the AdaGReS and GeoRAG systems already discussed there), this report cites that overlap explicitly rather than treating the two reports as independent.</w:t>
      </w:r>
    </w:p>
    <w:bookmarkEnd w:id="22"/>
    <w:bookmarkStart w:id="23" w:name="integration-risk-rating"/>
    <w:p>
      <w:pPr>
        <w:pStyle w:val="Heading3"/>
      </w:pPr>
      <w:r>
        <w:t xml:space="preserve">1.3 Integration-Risk Rating</w:t>
      </w:r>
    </w:p>
    <w:p>
      <w:pPr>
        <w:pStyle w:val="FirstParagraph"/>
      </w:pPr>
      <w:r>
        <w:t xml:space="preserve">Each recommended technique in Sections 2-8 is rated on a three-level integration-risk scale, applied consistently:</w:t>
      </w:r>
      <w:r>
        <w:t xml:space="preserve"> </w:t>
      </w:r>
      <w:r>
        <w:rPr>
          <w:bCs/>
          <w:b/>
        </w:rPr>
        <w:t xml:space="preserve">Low</w:t>
      </w:r>
      <w:r>
        <w:t xml:space="preserve"> </w:t>
      </w:r>
      <w:r>
        <w:t xml:space="preserve">(the technique is a drop-in generalization of an existing AEGIS formulation, provable compatible with Section 11’s existing test suite with additive rather than replacing tests);</w:t>
      </w:r>
      <w:r>
        <w:t xml:space="preserve"> </w:t>
      </w:r>
      <w:r>
        <w:rPr>
          <w:bCs/>
          <w:b/>
        </w:rPr>
        <w:t xml:space="preserve">Medium</w:t>
      </w:r>
      <w:r>
        <w:t xml:space="preserve"> </w:t>
      </w:r>
      <w:r>
        <w:t xml:space="preserve">(the technique requires a new component or a nontrivial reformulation of an existing one, but does not require new training data or a new model);</w:t>
      </w:r>
      <w:r>
        <w:t xml:space="preserve"> </w:t>
      </w:r>
      <w:r>
        <w:rPr>
          <w:bCs/>
          <w:b/>
        </w:rPr>
        <w:t xml:space="preserve">High</w:t>
      </w:r>
      <w:r>
        <w:t xml:space="preserve"> </w:t>
      </w:r>
      <w:r>
        <w:t xml:space="preserve">(the technique requires new training data, a new trained model, or a substantial architectural change comparable in scope to the multimodal extensions of monograph Section 12). This rating is orthogonal to a technique’s mathematical strength — a High-risk technique may still be the correct long-term direction, but this report keeps expected benefit and integration cost as separate, explicitly stated axes rather than collapsing them into a single recommendation score.</w:t>
      </w:r>
    </w:p>
    <w:bookmarkEnd w:id="23"/>
    <w:bookmarkStart w:id="24" w:name="scope-boundary"/>
    <w:p>
      <w:pPr>
        <w:pStyle w:val="Heading3"/>
      </w:pPr>
      <w:r>
        <w:t xml:space="preserve">1.4 Scope Boundary</w:t>
      </w:r>
    </w:p>
    <w:p>
      <w:pPr>
        <w:pStyle w:val="FirstParagraph"/>
      </w:pPr>
      <w:r>
        <w:t xml:space="preserve">This report does not evaluate techniques that would replace AEGIS’s core design philosophy (monograph Section 4.1) — for example, techniques premised on abandoning structural element decomposition in favor of whole-page vision-language embedding are already covered by the Comparative Landscape Report’s Section 8 (the ColPali comparison) and are not re-litigated here. This report is specifically about mathematical and algorithmic techniques that could sharpen or extend AEGIS’s</w:t>
      </w:r>
      <w:r>
        <w:t xml:space="preserve"> </w:t>
      </w:r>
      <w:r>
        <w:rPr>
          <w:iCs/>
          <w:i/>
        </w:rPr>
        <w:t xml:space="preserve">existing</w:t>
      </w:r>
      <w:r>
        <w:t xml:space="preserve"> </w:t>
      </w:r>
      <w:r>
        <w:t xml:space="preserve">formulations, not about wholesale architectural alternatives.</w:t>
      </w:r>
    </w:p>
    <w:bookmarkEnd w:id="24"/>
    <w:bookmarkEnd w:id="25"/>
    <w:bookmarkStart w:id="31" w:name="Xc8ac5071968a1d7953fc1a5e089e04cbb823626"/>
    <w:p>
      <w:pPr>
        <w:pStyle w:val="Heading2"/>
      </w:pPr>
      <w:r>
        <w:t xml:space="preserve">2. Submodular Optimization: A Generalization of Section 9’s Knapsack Formulation</w:t>
      </w:r>
    </w:p>
    <w:bookmarkStart w:id="26" w:name="the-mathematical-gap-this-closes"/>
    <w:p>
      <w:pPr>
        <w:pStyle w:val="Heading3"/>
      </w:pPr>
      <w:r>
        <w:t xml:space="preserve">2.1 The Mathematical Gap This Closes</w:t>
      </w:r>
    </w:p>
    <w:p>
      <w:pPr>
        <w:pStyle w:val="FirstParagraph"/>
      </w:pPr>
      <w:r>
        <w:t xml:space="preserve">AEGIS’s Section 9.1 knapsack formulation maximizes Σv_ix_i subject to a token-budget constraint, where each chunk’s value v_i is computed independently (Section 8.2’s blended value function) before the optimization runs. This independence assumption is the formulation’s chief mathematical limitation, one this report’s Comparative Landscape companion already surfaced empirically in its Section 6.5 comparison against AdaGReS: two near-duplicate high-value chunks each contribute their full independent value to the knapsack objective, so the exact DP solver (Section 9.2) can, in principle, select both at the expense of a lower-value but non-redundant third chunk — a failure mode AEGIS currently patches with a separate, upstream MMR diversity filter (monograph Section 15.4) rather than addressing inside the optimization itself.</w:t>
      </w:r>
    </w:p>
    <w:bookmarkEnd w:id="26"/>
    <w:bookmarkStart w:id="27" w:name="the-submodular-formulation"/>
    <w:p>
      <w:pPr>
        <w:pStyle w:val="Heading3"/>
      </w:pPr>
      <w:r>
        <w:t xml:space="preserve">2.2 The Submodular Formulation</w:t>
      </w:r>
    </w:p>
    <w:p>
      <w:pPr>
        <w:pStyle w:val="FirstParagraph"/>
      </w:pPr>
      <w:r>
        <w:t xml:space="preserve">A March 2026 theoretical framework directly addresses this gap by casting RAG document selection as</w:t>
      </w:r>
      <w:r>
        <w:t xml:space="preserve"> </w:t>
      </w:r>
      <w:r>
        <w:rPr>
          <w:bCs/>
          <w:b/>
        </w:rPr>
        <w:t xml:space="preserve">monotone submodular maximization under a knapsack constraint</w:t>
      </w:r>
      <w:r>
        <w:t xml:space="preserve">. A set function F is submodular when it exhibits diminishing returns: adding a chunk to a smaller already-selected set increases total value by at least as much as adding that same chunk to a larger already-selected set, formally F(S ∪ {x}) − F(S) ≥ F(T ∪ {x}) − F(T) for S ⊆ T. Monotonicity additionally requires F(S) ≤ F(T) whenever S ⊆ T — adding content never decreases total value. The cited framework instantiates F as a weighted coverage function over query-relevant concepts, and shows this instantiation is provably both monotone and submodular, which licenses applying the classical approximation algorithm for knapsack-constrained monotone submodular maximization, carrying a (1 − 1/e) ≈ 0.632 approximation guarantee for the coverage-based surrogate objective — a different, but comparably rigorous, guarantee class to AEGIS’s own Theorem 9.1 (1/2-approximation for the plain-knapsack greedy fallback).</w:t>
      </w:r>
    </w:p>
    <w:p>
      <w:pPr>
        <w:pStyle w:val="BodyText"/>
      </w:pPr>
      <w:r>
        <w:t xml:space="preserve">A concurrent line of work operationalizes the same underlying idea from a different angle: PACMS, a June 2026 arXiv system, formulates general LLM-agent context assembly (not just RAG-retrieved chunks, but pooled memory entries, conversation turns, and tool outputs together) as budget-constrained submodular selection, explicitly built as a pluggable engine that owns the assembly step independently of the retriever — architecturally close to how AEGIS’s Section 9 packer already sits downstream of, and independent from, Section 15’s retrieval fusion. A third system, GeoRAG, builds a demand-weighted facility-location objective — a specific, classical submodular function family — and reports empirical exact-match gains of +6.5 to +7.5 points over top-k truncation across six open-domain QA benchmarks, and explicitly outperforming MMR, DPP (determinantal point processes), and AdaGReS as comparison baselines, with gains reaching +9.7 on HotpotQA and ASQA specifically.</w:t>
      </w:r>
    </w:p>
    <w:bookmarkEnd w:id="27"/>
    <w:bookmarkStart w:id="28" w:name="concrete-reformulation-for-aegis"/>
    <w:p>
      <w:pPr>
        <w:pStyle w:val="Heading3"/>
      </w:pPr>
      <w:r>
        <w:t xml:space="preserve">2.3 Concrete Reformulation for AEGIS</w:t>
      </w:r>
    </w:p>
    <w:p>
      <w:pPr>
        <w:pStyle w:val="FirstParagraph"/>
      </w:pPr>
      <w:r>
        <w:t xml:space="preserve">Applying this to AEGIS’s Section 9.1 formulation directly: replace the additive objective Σv_ix_i with a submodular coverage function F(S) = Σ_{c ∈ 𝒞(Q)} w_c · 𝟙[c is covered by S], where 𝒞(Q) is the set of query-relevant concepts (extractable, for instance, from named entities or key phrases identified by AEGIS’s existing Frequency and Semantic engines, Section 5.4) and w_c is a concept-importance weight. The knapsack constraint (Σt_ix_i ≤ B) is retained unchanged from Section 9.1. The resulting problem — knapsack-constrained monotone submodular maximization — is NP-hard, like the original 0/1 knapsack, but admits the same class of result AEGIS already favors: a polynomial-time approximation algorithm with a proven worst-case bound, specifically a greedy-with-partial-enumeration scheme achieving (1 − 1/e) rather than AEGIS’s current 1/2 for the plain-knapsack greedy (Theorem 9.1) — a strictly better worst-case guarantee (1 − 1/e ≈ 0.632 &gt; 0.5) for the redundancy-aware objective specifically, while AEGIS’s existing exact DP solver (Section 9.2) would need to be replaced or supplemented for this new objective, since the plain knapsack DP recurrence does not directly generalize to a submodular (rather than additive) objective function.</w:t>
      </w:r>
    </w:p>
    <w:bookmarkEnd w:id="28"/>
    <w:bookmarkStart w:id="29" w:name="what-this-would-subsume"/>
    <w:p>
      <w:pPr>
        <w:pStyle w:val="Heading3"/>
      </w:pPr>
      <w:r>
        <w:t xml:space="preserve">2.4 What This Would Subsume</w:t>
      </w:r>
    </w:p>
    <w:p>
      <w:pPr>
        <w:pStyle w:val="FirstParagraph"/>
      </w:pPr>
      <w:r>
        <w:t xml:space="preserve">The most consequential implication of this reformulation is architectural, not just numerical: it would let AEGIS collapse Section 15.4’s separate MMR diversity-filtering pass and Section 9’s value-maximizing packer into one stage with one proven guarantee, rather than two heuristically composed stages whose</w:t>
      </w:r>
      <w:r>
        <w:t xml:space="preserve"> </w:t>
      </w:r>
      <w:r>
        <w:rPr>
          <w:iCs/>
          <w:i/>
        </w:rPr>
        <w:t xml:space="preserve">combined</w:t>
      </w:r>
      <w:r>
        <w:t xml:space="preserve"> </w:t>
      </w:r>
      <w:r>
        <w:t xml:space="preserve">behavior currently has no proven guarantee (MMR’s λ=0.7 diversity-relevance trade-off is a heuristic parameter, not a component of any proof in the monograph). This is consistent with, and would directly resolve, the specific gap this report’s companion Comparative Landscape Report flagged in its Section 6.5:</w:t>
      </w:r>
      <w:r>
        <w:t xml:space="preserve"> </w:t>
      </w:r>
      <w:r>
        <w:t xml:space="preserve">“</w:t>
      </w:r>
      <w:r>
        <w:t xml:space="preserve">whether AEGIS’s two-stage split… is more or less effective than AdaGReS’s single-stage redundancy-aware greedy objective is an open empirical question.</w:t>
      </w:r>
      <w:r>
        <w:t xml:space="preserve">”</w:t>
      </w:r>
    </w:p>
    <w:bookmarkEnd w:id="29"/>
    <w:bookmarkStart w:id="30" w:name="integration-risk-and-verification-path"/>
    <w:p>
      <w:pPr>
        <w:pStyle w:val="Heading3"/>
      </w:pPr>
      <w:r>
        <w:t xml:space="preserve">2.5 Integration Risk and Verification Path</w:t>
      </w:r>
    </w:p>
    <w:p>
      <w:pPr>
        <w:pStyle w:val="FirstParagraph"/>
      </w:pPr>
      <w:r>
        <w:rPr>
          <w:bCs/>
          <w:b/>
        </w:rPr>
        <w:t xml:space="preserve">Integration risk: Medium.</w:t>
      </w:r>
      <w:r>
        <w:t xml:space="preserve"> </w:t>
      </w:r>
      <w:r>
        <w:t xml:space="preserve">The submodular reformulation does not require new training data or a new model — the concept-coverage function F can be built from AEGIS’s existing Frequency and Semantic engine outputs — but it does require a new solver (greedy submodular maximization under a knapsack constraint is a different algorithm from Section 9.2’s DP recurrence) and a new set of correctness tests analogous to the Feasibility and Validation Report’s TC-09 through TC-13, specifically verifying the (1 − 1/e) bound empirically against brute-force optimal on small synthetic instances, following exactly the same methodology TC-12 already applies to Theorem 9.1’s 1/2-approximation bound. Given that a comparable system (GeoRAG) has already reported concrete empirical gains over MMR specifically — the mechanism AEGIS currently relies on for the redundancy problem — replicating its comparison protocol against AEGIS’s own current two-stage (MMR + knapsack) baseline is the most direct, lowest-additional-risk way to validate whether this reformulation’s theoretical advantage translates into a measured one for AEGIS’s specific document-structured setting, which differs from the general open-domain QA setting GeoRAG and PACMS were evaluated against.</w:t>
      </w:r>
    </w:p>
    <w:bookmarkEnd w:id="30"/>
    <w:bookmarkEnd w:id="31"/>
    <w:bookmarkStart w:id="36" w:name="Xab14e7cd9cd47242e4aff4986e825a4c80974a5"/>
    <w:p>
      <w:pPr>
        <w:pStyle w:val="Heading2"/>
      </w:pPr>
      <w:r>
        <w:t xml:space="preserve">3. Persistent Homology and Persistent Laplacians: Unifying the Spectral and Topology Engines</w:t>
      </w:r>
    </w:p>
    <w:bookmarkStart w:id="32" w:name="the-architectural-gap-this-closes"/>
    <w:p>
      <w:pPr>
        <w:pStyle w:val="Heading3"/>
      </w:pPr>
      <w:r>
        <w:t xml:space="preserve">3.1 The Architectural Gap This Closes</w:t>
      </w:r>
    </w:p>
    <w:p>
      <w:pPr>
        <w:pStyle w:val="FirstParagraph"/>
      </w:pPr>
      <w:r>
        <w:t xml:space="preserve">Monograph Section 5.4 lists twelve engines, two of which are directly relevant here: the Spectral Engine (Section 5.4, given full treatment in Section 12.4 for structural clustering) computes a single graph Laplacian eigendecomposition at one fixed scale, while the Topology Engine is described only as computing</w:t>
      </w:r>
      <w:r>
        <w:t xml:space="preserve"> </w:t>
      </w:r>
      <w:r>
        <w:t xml:space="preserve">“</w:t>
      </w:r>
      <w:r>
        <w:t xml:space="preserve">Betti numbers and persistent homology features,</w:t>
      </w:r>
      <w:r>
        <w:t xml:space="preserve">”</w:t>
      </w:r>
      <w:r>
        <w:t xml:space="preserve"> </w:t>
      </w:r>
      <w:r>
        <w:t xml:space="preserve">and is explicitly flagged in monograph Section 23 as an</w:t>
      </w:r>
      <w:r>
        <w:t xml:space="preserve"> </w:t>
      </w:r>
      <w:r>
        <w:t xml:space="preserve">“</w:t>
      </w:r>
      <w:r>
        <w:t xml:space="preserve">evaluate-before-adopt candidate</w:t>
      </w:r>
      <w:r>
        <w:t xml:space="preserve">”</w:t>
      </w:r>
      <w:r>
        <w:t xml:space="preserve"> </w:t>
      </w:r>
      <w:r>
        <w:t xml:space="preserve">with no implementation reported anywhere in Sections 11-12’s correctness treatment. These are currently two separate, unequally-developed engines. Recent mathematical work on</w:t>
      </w:r>
      <w:r>
        <w:t xml:space="preserve"> </w:t>
      </w:r>
      <w:r>
        <w:rPr>
          <w:bCs/>
          <w:b/>
        </w:rPr>
        <w:t xml:space="preserve">persistent Laplacians</w:t>
      </w:r>
      <w:r>
        <w:t xml:space="preserve"> </w:t>
      </w:r>
      <w:r>
        <w:t xml:space="preserve">offers a way to unify them into one better-founded construction rather than requiring the Topology Engine to be built as an independent system.</w:t>
      </w:r>
    </w:p>
    <w:bookmarkEnd w:id="32"/>
    <w:bookmarkStart w:id="33" w:name="what-a-persistent-laplacian-is"/>
    <w:p>
      <w:pPr>
        <w:pStyle w:val="Heading3"/>
      </w:pPr>
      <w:r>
        <w:t xml:space="preserve">3.2 What a Persistent Laplacian Is</w:t>
      </w:r>
    </w:p>
    <w:p>
      <w:pPr>
        <w:pStyle w:val="FirstParagraph"/>
      </w:pPr>
      <w:r>
        <w:t xml:space="preserve">A standard graph Laplacian, which AEGIS’s Spectral Engine already uses (monograph Section 5.4, Section 12.4), captures structure at one fixed scale — one fixed notion of which elements are</w:t>
      </w:r>
      <w:r>
        <w:t xml:space="preserve"> </w:t>
      </w:r>
      <w:r>
        <w:t xml:space="preserve">“</w:t>
      </w:r>
      <w:r>
        <w:t xml:space="preserve">adjacent.</w:t>
      </w:r>
      <w:r>
        <w:t xml:space="preserve">”</w:t>
      </w:r>
      <w:r>
        <w:t xml:space="preserve"> </w:t>
      </w:r>
      <w:r>
        <w:t xml:space="preserve">A persistent Laplacian, developed across a body of work summarized in a February 2026 review (Su, Liu, Hamdan, Wei et al.), generalizes this across a</w:t>
      </w:r>
      <w:r>
        <w:t xml:space="preserve"> </w:t>
      </w:r>
      <w:r>
        <w:rPr>
          <w:bCs/>
          <w:b/>
        </w:rPr>
        <w:t xml:space="preserve">filtration</w:t>
      </w:r>
      <w:r>
        <w:t xml:space="preserve"> </w:t>
      </w:r>
      <w:r>
        <w:t xml:space="preserve">— a nested sequence of graphs or simplicial complexes built by varying a scale parameter (for AEGIS, this would naturally be the distance threshold τ_dist already used in Definition 6.1’s edge-construction rule) — and tracks how the Laplacian’s spectral properties evolve as that scale parameter varies. This directly extends persistent homology’s central idea (tracking which topological features, such as loops or connected components, are</w:t>
      </w:r>
      <w:r>
        <w:t xml:space="preserve"> </w:t>
      </w:r>
      <w:r>
        <w:t xml:space="preserve">“</w:t>
      </w:r>
      <w:r>
        <w:t xml:space="preserve">born</w:t>
      </w:r>
      <w:r>
        <w:t xml:space="preserve">”</w:t>
      </w:r>
      <w:r>
        <w:t xml:space="preserve"> </w:t>
      </w:r>
      <w:r>
        <w:t xml:space="preserve">and</w:t>
      </w:r>
      <w:r>
        <w:t xml:space="preserve"> </w:t>
      </w:r>
      <w:r>
        <w:t xml:space="preserve">“</w:t>
      </w:r>
      <w:r>
        <w:t xml:space="preserve">die</w:t>
      </w:r>
      <w:r>
        <w:t xml:space="preserve">”</w:t>
      </w:r>
      <w:r>
        <w:t xml:space="preserve"> </w:t>
      </w:r>
      <w:r>
        <w:t xml:space="preserve">across a filtration) into the spectral domain AEGIS’s existing Spectral Engine already operates in, giving a single mathematical framework that subsumes both the topological features the (currently unimplemented) Topology Engine was meant to compute and the spectral clustering the Spectral Engine already computes and has tested (Feasibility Report TC-16).</w:t>
      </w:r>
    </w:p>
    <w:p>
      <w:pPr>
        <w:pStyle w:val="BodyText"/>
      </w:pPr>
      <w:r>
        <w:t xml:space="preserve">The same review documents several problem-specific variants directly relevant to AEGIS’s specific structures:</w:t>
      </w:r>
      <w:r>
        <w:t xml:space="preserve"> </w:t>
      </w:r>
      <w:r>
        <w:rPr>
          <w:bCs/>
          <w:b/>
        </w:rPr>
        <w:t xml:space="preserve">persistent path Laplacians</w:t>
      </w:r>
      <w:r>
        <w:t xml:space="preserve">, suited to directed graphs — precisely the structure of AEGIS’s Section 6 reading-order DAG — and</w:t>
      </w:r>
      <w:r>
        <w:t xml:space="preserve"> </w:t>
      </w:r>
      <w:r>
        <w:rPr>
          <w:bCs/>
          <w:b/>
        </w:rPr>
        <w:t xml:space="preserve">persistent hypergraph Laplacians</w:t>
      </w:r>
      <w:r>
        <w:t xml:space="preserve">, suited to relationships involving more than two elements at once, which is exactly the structure of a table row spanning multiple cells or a multi-column callout box referencing several body paragraphs, neither of which AEGIS’s current pairwise graph edges (Definition 6.1) or its Matrix Engine’s cell-adjacency map (Section 5.4) naturally represent.</w:t>
      </w:r>
    </w:p>
    <w:bookmarkEnd w:id="33"/>
    <w:bookmarkStart w:id="34" w:name="concrete-application-to-aegis"/>
    <w:p>
      <w:pPr>
        <w:pStyle w:val="Heading3"/>
      </w:pPr>
      <w:r>
        <w:t xml:space="preserve">3.3 Concrete Application to AEGIS</w:t>
      </w:r>
    </w:p>
    <w:p>
      <w:pPr>
        <w:pStyle w:val="FirstParagraph"/>
      </w:pPr>
      <w:r>
        <w:t xml:space="preserve">Three specific applications follow directly from AEGIS’s existing structures. First, applying a persistent path Laplacian to the Section 6 reading-order DAG across a filtration of the distance threshold τ_dist would give AEGIS a principled, mathematically grounded way to detect</w:t>
      </w:r>
      <w:r>
        <w:t xml:space="preserve"> </w:t>
      </w:r>
      <w:r>
        <w:rPr>
          <w:iCs/>
          <w:i/>
        </w:rPr>
        <w:t xml:space="preserve">how sensitive</w:t>
      </w:r>
      <w:r>
        <w:t xml:space="preserve"> </w:t>
      </w:r>
      <w:r>
        <w:t xml:space="preserve">the recovered reading order is to the choice of τ_dist — a diagnostic Theorem 6.1’s acyclicity guarantee does not itself provide, since acyclicity holds for any valid τ_dist but the</w:t>
      </w:r>
      <w:r>
        <w:t xml:space="preserve"> </w:t>
      </w:r>
      <w:r>
        <w:rPr>
          <w:iCs/>
          <w:i/>
        </w:rPr>
        <w:t xml:space="preserve">specific</w:t>
      </w:r>
      <w:r>
        <w:t xml:space="preserve"> </w:t>
      </w:r>
      <w:r>
        <w:t xml:space="preserve">order recovered can still vary with it. This directly extends monograph Section 22.1’s already-identified internal-validity concern about synthetic-only testing, by giving a formal, filtration-based sensitivity measure rather than only a re-run-at-different-parameters ad hoc check. Second, applying persistent homology’s Betti-number tracking to the Matrix Engine’s table cell-adjacency structure would give AEGIS a principled way to detect table topology directly from cell adjacency — exactly the capability monograph Section 20.1 lists as the Topology Engine’s intended purpose, now backed by a specific, implementable construction rather than a placeholder description. Third, a persistent hypergraph Laplacian applied to the same table structure would let AEGIS’s Matrix Engine natively represent merged cells and multi-column headers as genuine hyperedges (a single hyperedge connecting all cells a merged header spans) rather than approximating them through the pairwise cell-adjacency map (Section 5.4) that AEGIS’s current formulation is limited to.</w:t>
      </w:r>
    </w:p>
    <w:bookmarkEnd w:id="34"/>
    <w:bookmarkStart w:id="35" w:name="integration-risk-and-verification-path-1"/>
    <w:p>
      <w:pPr>
        <w:pStyle w:val="Heading3"/>
      </w:pPr>
      <w:r>
        <w:t xml:space="preserve">3.4 Integration Risk and Verification Path</w:t>
      </w:r>
    </w:p>
    <w:p>
      <w:pPr>
        <w:pStyle w:val="FirstParagraph"/>
      </w:pPr>
      <w:r>
        <w:rPr>
          <w:bCs/>
          <w:b/>
        </w:rPr>
        <w:t xml:space="preserve">Integration risk: Medium.</w:t>
      </w:r>
      <w:r>
        <w:t xml:space="preserve"> </w:t>
      </w:r>
      <w:r>
        <w:t xml:space="preserve">Persistent Laplacian computation is training-free (a spectral/topological computation over an existing graph or hypergraph structure, not a learned model), which keeps this closer to AEGIS’s existing training-free graph and spectral engines than to a High-risk trained-model addition — but it does require new library dependencies (persistent-homology computation is a specialized numerical subroutine, not a standard linear-algebra operation AEGIS’s existing NumPy/SciPy-class stack necessarily includes) and a genuinely new correctness-test suite, since nothing in the Feasibility and Validation Report’s current verification matrix (V1-V11) covers a persistence computation. The most direct, lowest-risk starting point is the table-topology application (Section 3.3’s second application above), both because it gives the long-flagged, currently-unimplemented Topology Engine a concrete mathematical foundation to be built against for the first time, and because table structure recognition already has an active, benchmarked research literature (Section 5 of this report) against which a persistent-homology-based table topology detector could be validated using existing published ground truth, rather than requiring AEGIS to construct a new benchmark from nothing.</w:t>
      </w:r>
    </w:p>
    <w:bookmarkEnd w:id="35"/>
    <w:bookmarkEnd w:id="36"/>
    <w:bookmarkStart w:id="41" w:name="X86197a6d5d890e1fa9b84efc1898a3352d908de"/>
    <w:p>
      <w:pPr>
        <w:pStyle w:val="Heading2"/>
      </w:pPr>
      <w:r>
        <w:t xml:space="preserve">4. Optimal Transport: Order-Aware Sequence Matching and Structural Alignment</w:t>
      </w:r>
    </w:p>
    <w:bookmarkStart w:id="37" w:name="two-distinct-applications"/>
    <w:p>
      <w:pPr>
        <w:pStyle w:val="Heading3"/>
      </w:pPr>
      <w:r>
        <w:t xml:space="preserve">4.1 Two Distinct Applications</w:t>
      </w:r>
    </w:p>
    <w:p>
      <w:pPr>
        <w:pStyle w:val="FirstParagraph"/>
      </w:pPr>
      <w:r>
        <w:t xml:space="preserve">Optimal transport theory — computing the minimum-cost way to transform one distribution into another, classically formalized by Monge and Kantorovich and made computationally tractable at scale by the Sinkhorn algorithm’s entropic regularization — offers two applications to AEGIS that this report treats separately, since they extend different components with different levels of maturity in the surveyed literature.</w:t>
      </w:r>
    </w:p>
    <w:bookmarkEnd w:id="37"/>
    <w:bookmarkStart w:id="38" w:name="X3ae090f39ec2d72554427b625146a480513506f"/>
    <w:p>
      <w:pPr>
        <w:pStyle w:val="Heading3"/>
      </w:pPr>
      <w:r>
        <w:t xml:space="preserve">4.2 Order-Preserving Wasserstein Distance for Reading-Order Verification</w:t>
      </w:r>
    </w:p>
    <w:p>
      <w:pPr>
        <w:pStyle w:val="FirstParagraph"/>
      </w:pPr>
      <w:r>
        <w:t xml:space="preserve">A recognized variant, Order-Preserving Wasserstein (OPW) distance, modifies the standard optimal-transport formulation specifically to penalize transport plans that violate a prescribed sequence order, and has been shown effective for sequence-matching tasks via an efficient matrix-scaling (Sinkhorn-style) optimization. This is directly relevant to a gap this report’s Comparative Landscape companion already identified in Section 4.6: AEGIS’s Theorems 6.1 and 6.2 prove that the recovered reading order is acyclic and deterministic, but AEGIS currently has no quantitative metric for</w:t>
      </w:r>
      <w:r>
        <w:t xml:space="preserve"> </w:t>
      </w:r>
      <w:r>
        <w:rPr>
          <w:iCs/>
          <w:i/>
        </w:rPr>
        <w:t xml:space="preserve">how close</w:t>
      </w:r>
      <w:r>
        <w:t xml:space="preserve"> </w:t>
      </w:r>
      <w:r>
        <w:t xml:space="preserve">a recovered order is to a ground-truth or reference order short of exact match — the monograph’s own proposed RHM metric (Section 21.4) is a hit-rate, not a distance. OPW distance would give AEGIS a graded, differentiable measure of reading-order quality: computing the OPW distance between AEGIS’s recovered sequence and a human-annotated reference order (for instance, against the OmniDocBench corpus this report’s Comparative Landscape companion already recommended benchmarking against in its Section 4.6) would let a future evaluation report a continuous quality score rather than only a binary correct/incorrect hit rate, and would additionally let AEGIS’s Section 13 bandit router use a graded reading-order-quality signal as part of its composite reward (Section 13.3), rather than only a binary confidence signal.</w:t>
      </w:r>
    </w:p>
    <w:bookmarkEnd w:id="38"/>
    <w:bookmarkStart w:id="39" w:name="X0612f7df1f05c239244253a77f7620e9ddddd21"/>
    <w:p>
      <w:pPr>
        <w:pStyle w:val="Heading3"/>
      </w:pPr>
      <w:r>
        <w:t xml:space="preserve">4.3 Gromov-Wasserstein Distance for Cross-Layout Structural Comparison</w:t>
      </w:r>
    </w:p>
    <w:p>
      <w:pPr>
        <w:pStyle w:val="FirstParagraph"/>
      </w:pPr>
      <w:r>
        <w:t xml:space="preserve">A second variant, Gromov-Wasserstein (GW) distance, extends optimal transport to compare two structures that do not share a common embedding space — instead of matching points directly, GW matches the</w:t>
      </w:r>
      <w:r>
        <w:t xml:space="preserve"> </w:t>
      </w:r>
      <w:r>
        <w:rPr>
          <w:iCs/>
          <w:i/>
        </w:rPr>
        <w:t xml:space="preserve">internal relational structure</w:t>
      </w:r>
      <w:r>
        <w:t xml:space="preserve"> </w:t>
      </w:r>
      <w:r>
        <w:t xml:space="preserve">of one space against the other (how each point relates to other points within its own space), making it suited to comparing two documents’ layouts structurally even when their specific element sets, page counts, or absolute coordinates differ entirely. This is a candidate technique for AEGIS’s Template Engine (monograph Section 5.4), which currently computes template similarity via cosine similarity over a fixed 5-dimensional fingerprint vector (header count, block count, table count, image count, margins) — a coarse summary that discards the actual spatial relationships between elements. A GW-based template comparison would instead compare two pages’ full reading-order graphs (Section 6.2’s structural linkage graph X) structurally, which could detect two pages as having</w:t>
      </w:r>
      <w:r>
        <w:t xml:space="preserve"> </w:t>
      </w:r>
      <w:r>
        <w:t xml:space="preserve">“</w:t>
      </w:r>
      <w:r>
        <w:t xml:space="preserve">the same template</w:t>
      </w:r>
      <w:r>
        <w:t xml:space="preserve">”</w:t>
      </w:r>
      <w:r>
        <w:t xml:space="preserve"> </w:t>
      </w:r>
      <w:r>
        <w:t xml:space="preserve">even under moderate element-count variation (an extra footnote, a slightly longer table) that would shift the current 5-dimensional fingerprint’s cosine similarity score without actually reflecting a different underlying template.</w:t>
      </w:r>
    </w:p>
    <w:bookmarkEnd w:id="39"/>
    <w:bookmarkStart w:id="40" w:name="integration-risk-and-verification-path-2"/>
    <w:p>
      <w:pPr>
        <w:pStyle w:val="Heading3"/>
      </w:pPr>
      <w:r>
        <w:t xml:space="preserve">4.4 Integration Risk and Verification Path</w:t>
      </w:r>
    </w:p>
    <w:p>
      <w:pPr>
        <w:pStyle w:val="FirstParagraph"/>
      </w:pPr>
      <w:r>
        <w:rPr>
          <w:bCs/>
          <w:b/>
        </w:rPr>
        <w:t xml:space="preserve">Integration risk: Low for OPW</w:t>
      </w:r>
      <w:r>
        <w:t xml:space="preserve"> </w:t>
      </w:r>
      <w:r>
        <w:t xml:space="preserve">(a well-established, efficiently-computable metric with existing open-source implementations such as the Python Optimal Transport library, applicable as a pure evaluation/diagnostic addition that requires no change to Section 6’s existing acyclic graph construction or Kahn’s-algorithm recovery — it is purely a new way to</w:t>
      </w:r>
      <w:r>
        <w:t xml:space="preserve"> </w:t>
      </w:r>
      <w:r>
        <w:rPr>
          <w:iCs/>
          <w:i/>
        </w:rPr>
        <w:t xml:space="preserve">score</w:t>
      </w:r>
      <w:r>
        <w:t xml:space="preserve"> </w:t>
      </w:r>
      <w:r>
        <w:t xml:space="preserve">an already-recovered order, not a replacement for how that order is recovered).</w:t>
      </w:r>
      <w:r>
        <w:t xml:space="preserve"> </w:t>
      </w:r>
      <w:r>
        <w:rPr>
          <w:bCs/>
          <w:b/>
        </w:rPr>
        <w:t xml:space="preserve">Integration risk: Medium for GW-based template comparison</w:t>
      </w:r>
      <w:r>
        <w:t xml:space="preserve"> </w:t>
      </w:r>
      <w:r>
        <w:t xml:space="preserve">(computationally more expensive than the current cosine-similarity approach — GW distance computation is itself an optimization problem, though recent work on low-rank and sliced GW formulations has substantially reduced this cost — and would require validating that GW-based template clustering actually outperforms the current fingerprint-cosine approach on a real corpus of documents with known template groupings, a comparison this report is not aware of having been run for AEGIS specifically). The OPW addition is recommended as a near-term, low-risk enhancement to close the specific evaluation-metric gap identified in Section 4.2; the GW-based template comparison is recommended as a medium-term item pending the same real-corpus validation infrastructure the Feasibility and Validation Report’s Section 4.4 load-testing protocol already calls for building.</w:t>
      </w:r>
    </w:p>
    <w:bookmarkEnd w:id="40"/>
    <w:bookmarkEnd w:id="41"/>
    <w:bookmarkStart w:id="47" w:name="X5bf9164666e38e6dac33fea08afcea6c66f3a13"/>
    <w:p>
      <w:pPr>
        <w:pStyle w:val="Heading2"/>
      </w:pPr>
      <w:r>
        <w:t xml:space="preserve">5. Information Bottleneck Theory: From Diagnostic Framing to Optimization Objective</w:t>
      </w:r>
    </w:p>
    <w:bookmarkStart w:id="42" w:name="what-aegis-currently-does"/>
    <w:p>
      <w:pPr>
        <w:pStyle w:val="Heading3"/>
      </w:pPr>
      <w:r>
        <w:t xml:space="preserve">5.1 What AEGIS Currently Does</w:t>
      </w:r>
    </w:p>
    <w:p>
      <w:pPr>
        <w:pStyle w:val="FirstParagraph"/>
      </w:pPr>
      <w:r>
        <w:t xml:space="preserve">Monograph Section 10 applies classical information theory — Shannon entropy, mutual information, the Data Processing Inequality, and rate-distortion theory — to characterize what AEGIS’s structural transformation pipeline is accomplishing, and Section 10.5’s Theorem 10.2 gives a rate lower bound under a distortion tolerance. This framing is explicitly diagnostic, per the monograph’s own Section 10.3 caveat: it states a design goal (minimizing information loss at the D→G transformation step) and derives bounds, but — as Proposition 10.1 itself acknowledges — does not currently drive any of AEGIS’s actual selection or compression decisions; Sections 8-9’s value scoring and knapsack packing are formulated independently of Section 10’s information-theoretic apparatus, connected only by shared vocabulary, not a shared objective function.</w:t>
      </w:r>
    </w:p>
    <w:bookmarkEnd w:id="42"/>
    <w:bookmarkStart w:id="43" w:name="X9a579bfe6059898d473a9cc08f4d1d6e105e3a2"/>
    <w:p>
      <w:pPr>
        <w:pStyle w:val="Heading3"/>
      </w:pPr>
      <w:r>
        <w:t xml:space="preserve">5.2 QUITO-X: Information Bottleneck as an Actual Compression Objective</w:t>
      </w:r>
    </w:p>
    <w:p>
      <w:pPr>
        <w:pStyle w:val="FirstParagraph"/>
      </w:pPr>
      <w:r>
        <w:t xml:space="preserve">A 2025 paper accepted to EMNLP Findings, QUITO-X, closes exactly this gap for the general context-compression problem: rather than treating information theory as a post-hoc diagnostic lens, it directly optimizes the classical Information Bottleneck (IB) Lagrangian, min I(X;Z) − β·I(Z;Y), where X is the original context, Z is the compressed representation, and Y is the downstream task-relevant target — trading off compression (minimizing I(X;Z), how much of the original context the compressed form retains) against task-sufficiency (maximizing I(Z;Y), how much of the target-relevant signal survives compression), with β controlling the trade-off point explicitly. This is a direct, formal answer to the specific question AEGIS’s own Section 10.5 raises but does not resolve computationally: how to select a distortion tolerance D₀ and know a specific compression scheme achieves it, rather than only proving a lower bound exists.</w:t>
      </w:r>
    </w:p>
    <w:bookmarkEnd w:id="43"/>
    <w:bookmarkStart w:id="44" w:name="concrete-reformulation-for-aegis-1"/>
    <w:p>
      <w:pPr>
        <w:pStyle w:val="Heading3"/>
      </w:pPr>
      <w:r>
        <w:t xml:space="preserve">5.3 Concrete Reformulation for AEGIS</w:t>
      </w:r>
    </w:p>
    <w:p>
      <w:pPr>
        <w:pStyle w:val="FirstParagraph"/>
      </w:pPr>
      <w:r>
        <w:t xml:space="preserve">The IB Lagrangian gives AEGIS’s Section 8.2 value function a formal replacement candidate: rather than the current blended heuristic V_i(q) = w_1·cos_sim + w_2·M_i + w_3·recency, a chunk’s value could instead be scored by its estimated marginal contribution to I(Z;Y) — how much task-relevant (query-relevant) information the chunk contributes to the compressed representation Z — directly under the same IB framework Section 10’s diagnostics already use vocabulary from, closing the gap Section 10.3’s Proposition 10.1 leaves open between AEGIS’s information-theoretic framing and its actual value-scoring mechanism. This would also give the β parameter in the IB Lagrangian a natural mapping onto AEGIS’s existing master-objective machinery (monograph Section 9.4’s Lagrange multipliers λ_1, λ_2, λ_3): β would play a directly analogous role to those multipliers, trading off the cost term (token budget, analogous to compression I(X;Z)) against the quality floors (Accuracy, IR, Confidence — all analogous to task-relevant information I(Z;Y)), suggesting the two formulations could in principle be unified into one Lagrangian rather than remaining two separately-motivated optimization problems inside the same system.</w:t>
      </w:r>
    </w:p>
    <w:bookmarkEnd w:id="44"/>
    <w:bookmarkStart w:id="45" w:name="Xd135f937ca7945e9453b1239fb4ec55d8fa9e00"/>
    <w:p>
      <w:pPr>
        <w:pStyle w:val="Heading3"/>
      </w:pPr>
      <w:r>
        <w:t xml:space="preserve">5.4 A Related, Structurally-Adjacent Technique</w:t>
      </w:r>
    </w:p>
    <w:p>
      <w:pPr>
        <w:pStyle w:val="FirstParagraph"/>
      </w:pPr>
      <w:r>
        <w:t xml:space="preserve">A February 2026 arXiv paper on</w:t>
      </w:r>
      <w:r>
        <w:t xml:space="preserve"> </w:t>
      </w:r>
      <w:r>
        <w:t xml:space="preserve">“</w:t>
      </w:r>
      <w:r>
        <w:t xml:space="preserve">Fix the Structural Bottleneck</w:t>
      </w:r>
      <w:r>
        <w:t xml:space="preserve">”</w:t>
      </w:r>
      <w:r>
        <w:t xml:space="preserve"> </w:t>
      </w:r>
      <w:r>
        <w:t xml:space="preserve">identifies a specific failure mode in current LLM-based context-compression methods directly relevant to AEGIS’s Section 12.1 multi-choice knapsack extension: when multiple compressed representations (</w:t>
      </w:r>
      <w:r>
        <w:t xml:space="preserve">“</w:t>
      </w:r>
      <w:r>
        <w:t xml:space="preserve">gist tokens</w:t>
      </w:r>
      <w:r>
        <w:t xml:space="preserve">”</w:t>
      </w:r>
      <w:r>
        <w:t xml:space="preserve"> </w:t>
      </w:r>
      <w:r>
        <w:t xml:space="preserve">in that paper’s terminology, analogous to AEGIS’s representation tiers) are generated independently without coordinating which parts of the source content each one covers, some regions get redundantly covered by multiple representations while others are under-covered entirely — a</w:t>
      </w:r>
      <w:r>
        <w:t xml:space="preserve"> </w:t>
      </w:r>
      <w:r>
        <w:t xml:space="preserve">“</w:t>
      </w:r>
      <w:r>
        <w:t xml:space="preserve">lack of allocation</w:t>
      </w:r>
      <w:r>
        <w:t xml:space="preserve">”</w:t>
      </w:r>
      <w:r>
        <w:t xml:space="preserve"> </w:t>
      </w:r>
      <w:r>
        <w:t xml:space="preserve">problem. This is a direct caution for AEGIS’s Section 12.1 multi-choice knapsack, which currently selects one tier per asset group independently (Σ_k x_ik ≤ 1 per group) without any cross-group coordination mechanism ensuring the tiers selected across</w:t>
      </w:r>
      <w:r>
        <w:t xml:space="preserve"> </w:t>
      </w:r>
      <w:r>
        <w:rPr>
          <w:iCs/>
          <w:i/>
        </w:rPr>
        <w:t xml:space="preserve">different</w:t>
      </w:r>
      <w:r>
        <w:t xml:space="preserve"> </w:t>
      </w:r>
      <w:r>
        <w:t xml:space="preserve">groups jointly cover the query’s information needs efficiently — precisely the coordination gap Section 2’s submodular reformulation (via its coverage-function objective) would also help close, giving these two recommended techniques (submodular optimization and information-bottleneck-based value scoring) a natural complementary relationship rather than being independent, competing proposals.</w:t>
      </w:r>
    </w:p>
    <w:bookmarkEnd w:id="45"/>
    <w:bookmarkStart w:id="46" w:name="integration-risk-and-verification-path-3"/>
    <w:p>
      <w:pPr>
        <w:pStyle w:val="Heading3"/>
      </w:pPr>
      <w:r>
        <w:t xml:space="preserve">5.5 Integration Risk and Verification Path</w:t>
      </w:r>
    </w:p>
    <w:p>
      <w:pPr>
        <w:pStyle w:val="FirstParagraph"/>
      </w:pPr>
      <w:r>
        <w:rPr>
          <w:bCs/>
          <w:b/>
        </w:rPr>
        <w:t xml:space="preserve">Integration risk: Medium-to-High.</w:t>
      </w:r>
      <w:r>
        <w:t xml:space="preserve"> </w:t>
      </w:r>
      <w:r>
        <w:t xml:space="preserve">Unlike Section 4’s optimal-transport addition, a full IB-Lagrangian reformulation of Section 8.2’s value function would require estimating mutual information terms that are not analytically tractable in closed form for AEGIS’s actual chunk/query distributions, typically requiring either a variational IB approximation (a trained neural estimator) or a simplified surrogate — QUITO-X’s own implementation uses one such practical approximation rather than exact mutual information computation, and any AEGIS adoption would need to make and justify a similar approximation choice. This places the technique above Section 2’s submodular reformulation on integration risk despite being conceptually well-motivated by AEGIS’s own existing Section 10 framing. The recommended starting point is narrower than a full value-function replacement: applying the IB Lagrangian specifically to calibrate the β-equivalent trade-off point in AEGIS’s existing Section 9.4 master objective (rather than replacing Section 8.2’s value function outright) would let AEGIS test the IB framework’s practical benefit on a bounded, lower-risk piece of the pipeline before committing to the larger reformulation.</w:t>
      </w:r>
    </w:p>
    <w:bookmarkEnd w:id="46"/>
    <w:bookmarkEnd w:id="47"/>
    <w:bookmarkStart w:id="53" w:name="X66f9fca533c3d734fa2e91758023bbf1b7c4328"/>
    <w:p>
      <w:pPr>
        <w:pStyle w:val="Heading2"/>
      </w:pPr>
      <w:r>
        <w:t xml:space="preserve">6. Neural and Diffusion-Based Combinatorial Optimization: Scaling Beyond the DP Memory Guard</w:t>
      </w:r>
    </w:p>
    <w:bookmarkStart w:id="48" w:name="Xc2fdfee2def01fbe5e51b8debb4d9e46740367c"/>
    <w:p>
      <w:pPr>
        <w:pStyle w:val="Heading3"/>
      </w:pPr>
      <w:r>
        <w:t xml:space="preserve">6.1 The Gap: What Happens When Even Lagrangian Relaxation Is Too Slow</w:t>
      </w:r>
    </w:p>
    <w:p>
      <w:pPr>
        <w:pStyle w:val="FirstParagraph"/>
      </w:pPr>
      <w:r>
        <w:t xml:space="preserve">Monograph Section 11.4 documents AEGIS’s response to the original unbounded-memory knapsack defect: a max_dp_cells guard that falls back from the exact DP solver (Section 9.2) to a greedy value-density heuristic (Section 9.3) when the instance is too large, and Section 12.2 extends this with Lagrangian relaxation for large-scale multi-choice instances. Both fallback paths are correct and bounded (Theorem 9.1’s 1/2-approximation; Section 12.2’s weak-duality sandwich), but neither is</w:t>
      </w:r>
      <w:r>
        <w:t xml:space="preserve"> </w:t>
      </w:r>
      <w:r>
        <w:rPr>
          <w:iCs/>
          <w:i/>
        </w:rPr>
        <w:t xml:space="preserve">learned</w:t>
      </w:r>
      <w:r>
        <w:t xml:space="preserve"> </w:t>
      </w:r>
      <w:r>
        <w:t xml:space="preserve">— each fresh problem instance is solved from scratch by the same fixed algorithm, with no mechanism for AEGIS to get faster or more accurate at solving knapsack-shaped problems specifically as it encounters more of them over time in production.</w:t>
      </w:r>
    </w:p>
    <w:bookmarkEnd w:id="48"/>
    <w:bookmarkStart w:id="49" w:name="Xdcda7e7cdd47c2f07978967aeb132423588babb"/>
    <w:p>
      <w:pPr>
        <w:pStyle w:val="Heading3"/>
      </w:pPr>
      <w:r>
        <w:t xml:space="preserve">6.2 Neural Combinatorial Optimization: A Long-Established but Actively-Advancing Field</w:t>
      </w:r>
    </w:p>
    <w:p>
      <w:pPr>
        <w:pStyle w:val="FirstParagraph"/>
      </w:pPr>
      <w:r>
        <w:t xml:space="preserve">Neural approaches to NP-hard combinatorial optimization problems are a mature research area — a foundational Google Research result (Bello et al.) demonstrated a reinforcement-learning-trained pointer-network policy obtaining optimal or near-optimal solutions on knapsack instances up to 200 items, and a large, actively-maintained literature has developed substantially since, spanning graph neural network architectures, transformer-based construction heuristics, and — as of a June 2025 survey specific to industrial engineering applications — a dedicated body of work applying neural combinatorial optimization with reinforcement learning to production-scale problems. A specific 2025 result,</w:t>
      </w:r>
      <w:r>
        <w:t xml:space="preserve"> </w:t>
      </w:r>
      <w:r>
        <w:t xml:space="preserve">“</w:t>
      </w:r>
      <w:r>
        <w:t xml:space="preserve">Provably Good Solutions to the Knapsack Problem via Neural Networks of Bounded Size,</w:t>
      </w:r>
      <w:r>
        <w:t xml:space="preserve">”</w:t>
      </w:r>
      <w:r>
        <w:t xml:space="preserve"> </w:t>
      </w:r>
      <w:r>
        <w:t xml:space="preserve">is particularly relevant to AEGIS’s evidentiary standard: it establishes a formal guarantee — not merely an empirical benchmark — that neural networks of a bounded, specified size can provably achieve near-optimal knapsack solutions, which is the same class of claim (a proof, not just an observed accuracy figure) that distinguishes AEGIS’s own Section 9 formulation from most of the field per this report’s Comparative Landscape companion (Section 6.7 of that report).</w:t>
      </w:r>
    </w:p>
    <w:bookmarkEnd w:id="49"/>
    <w:bookmarkStart w:id="50" w:name="diffusion-based-solvers"/>
    <w:p>
      <w:pPr>
        <w:pStyle w:val="Heading3"/>
      </w:pPr>
      <w:r>
        <w:t xml:space="preserve">6.3 Diffusion-Based Solvers</w:t>
      </w:r>
    </w:p>
    <w:p>
      <w:pPr>
        <w:pStyle w:val="FirstParagraph"/>
      </w:pPr>
      <w:r>
        <w:t xml:space="preserve">A more recent development, DIFUSCO, reframes combinatorial optimization as a graph-based denoising-diffusion generative process: rather than constructing a solution incrementally (as reinforcement-learning-based construction heuristics do) or solving an exact recurrence (as AEGIS’s Section 9.2 DP does), a diffusion model learns to progressively denoise a random initial assignment into a high-quality solution, conditioned on the specific problem instance’s graph structure. This is architecturally a different paradigm from both AEGIS’s exact/greedy dichotomy and from standard reinforcement-learning-based neural combinatorial optimization, and represents an active, competitive research direction as of its original NeurIPS publication and subsequent follow-on work cited in the broader neural-combinatorial-optimization literature surveyed in Section 6.2.</w:t>
      </w:r>
    </w:p>
    <w:bookmarkEnd w:id="50"/>
    <w:bookmarkStart w:id="51" w:name="concrete-application-to-aegis-1"/>
    <w:p>
      <w:pPr>
        <w:pStyle w:val="Heading3"/>
      </w:pPr>
      <w:r>
        <w:t xml:space="preserve">6.4 Concrete Application to AEGIS</w:t>
      </w:r>
    </w:p>
    <w:p>
      <w:pPr>
        <w:pStyle w:val="FirstParagraph"/>
      </w:pPr>
      <w:r>
        <w:t xml:space="preserve">The most direct application is a learned</w:t>
      </w:r>
      <w:r>
        <w:t xml:space="preserve"> </w:t>
      </w:r>
      <w:r>
        <w:rPr>
          <w:iCs/>
          <w:i/>
        </w:rPr>
        <w:t xml:space="preserve">warm-start</w:t>
      </w:r>
      <w:r>
        <w:t xml:space="preserve"> </w:t>
      </w:r>
      <w:r>
        <w:t xml:space="preserve">or</w:t>
      </w:r>
      <w:r>
        <w:t xml:space="preserve"> </w:t>
      </w:r>
      <w:r>
        <w:rPr>
          <w:iCs/>
          <w:i/>
        </w:rPr>
        <w:t xml:space="preserve">fallback-selection</w:t>
      </w:r>
      <w:r>
        <w:t xml:space="preserve"> </w:t>
      </w:r>
      <w:r>
        <w:t xml:space="preserve">policy sitting alongside, not replacing, AEGIS’s existing exact/greedy/Lagrangian three-tier solver hierarchy (Sections 9.2, 9.3, 12.2): a small, bounded-size neural network — following the provable-guarantee construction of Section 6.2’s cited 2025 result specifically, to preserve AEGIS’s existing commitment to proof-backed rather than purely empirical guarantees — could be trained to predict, from a problem instance’s size and value/weight distribution, either (a) a fast approximate solution usable as a warm start for the exact DP solver’s backtracking phase, potentially reducing the effective memory footprint that triggers Section 11.4’s max_dp_cells guard in the first place, or (b) a confidence estimate for whether the greedy fallback’s typical-case performance (empirically 0.71-1.0 of optimal per Feasibility Report TC-12, well above the 0.5 worst-case bound) will hold for this specific instance, giving AEGIS’s caller-visible exact/approximate reporting flag (Section 11.4’s fix) a graded confidence signal rather than only a binary flag.</w:t>
      </w:r>
    </w:p>
    <w:bookmarkEnd w:id="51"/>
    <w:bookmarkStart w:id="52" w:name="integration-risk-and-verification-path-4"/>
    <w:p>
      <w:pPr>
        <w:pStyle w:val="Heading3"/>
      </w:pPr>
      <w:r>
        <w:t xml:space="preserve">6.5 Integration Risk and Verification Path</w:t>
      </w:r>
    </w:p>
    <w:p>
      <w:pPr>
        <w:pStyle w:val="FirstParagraph"/>
      </w:pPr>
      <w:r>
        <w:rPr>
          <w:bCs/>
          <w:b/>
        </w:rPr>
        <w:t xml:space="preserve">Integration risk: High.</w:t>
      </w:r>
      <w:r>
        <w:t xml:space="preserve"> </w:t>
      </w:r>
      <w:r>
        <w:t xml:space="preserve">Unlike every other technique in this report, a neural or diffusion-based combinatorial-optimization component requires training data (a large corpus of representative knapsack instances drawn from AEGIS’s actual production value/weight distributions, which do not yet exist at the scale training would require) and introduces exactly the kind of trained-but-unverified-at-scale component the Feasibility and Validation Report already flags as a recurring risk pattern for AEGIS’s semantic and image encoders (risks R4, R5). This report recommends this technique be treated as a longer-term research direction rather than a near-term integration candidate, and specifically recommends that if pursued, it use the provable-guarantee bounded-size construction (Section 6.2) rather than an unconstrained deep network, precisely so that any eventual AEGIS adoption preserves the same proof-backed evidentiary standard Sections 9 and 12 currently maintain, rather than trading a proven approximation bound for an empirically-observed-only neural heuristic.</w:t>
      </w:r>
    </w:p>
    <w:bookmarkEnd w:id="52"/>
    <w:bookmarkEnd w:id="53"/>
    <w:bookmarkStart w:id="58" w:name="X426c8e20d3fee1b907de1e019e306f4978e8cb5"/>
    <w:p>
      <w:pPr>
        <w:pStyle w:val="Heading2"/>
      </w:pPr>
      <w:r>
        <w:t xml:space="preserve">7. Hypergraph Neural Networks: Higher-Order Relational Structure for the Matrix Engine</w:t>
      </w:r>
    </w:p>
    <w:bookmarkStart w:id="54" w:name="X91d749193b4828f88ea00f77d8923467021da4b"/>
    <w:p>
      <w:pPr>
        <w:pStyle w:val="Heading3"/>
      </w:pPr>
      <w:r>
        <w:t xml:space="preserve">7.1 The Limitation of Pairwise Graphs for Table Structure</w:t>
      </w:r>
    </w:p>
    <w:p>
      <w:pPr>
        <w:pStyle w:val="FirstParagraph"/>
      </w:pPr>
      <w:r>
        <w:t xml:space="preserve">AEGIS’s Matrix Engine (monograph Section 5.4) represents tables via a cell matrix M and a pairwise cell-adjacency map D(i,j) = {M[i,j-1], M[i-1,j], M[i-1,j-1]}, and Section 12.7’s tabular compiler adds explicit correctness requirements around header binding and ragged-row handling, verified structurally (Feasibility Report Section 2.1). Every one of these representations is fundamentally pairwise — a relationship between exactly two cells. Real tables routinely violate this: a merged header cell spans several columns simultaneously (one relationship among many cells at once, not several pairwise relationships), and a table footnote can reference several specific data cells scattered across non-adjacent rows. AEGIS’s current formulation can only approximate these as a collection of pairwise edges, losing the fact that they are a single higher-order relationship.</w:t>
      </w:r>
    </w:p>
    <w:bookmarkEnd w:id="54"/>
    <w:bookmarkStart w:id="55" w:name="X9d5ad012217ad6edde3825e6452b145ca963fb1"/>
    <w:p>
      <w:pPr>
        <w:pStyle w:val="Heading3"/>
      </w:pPr>
      <w:r>
        <w:t xml:space="preserve">7.2 Hypergraph Neural Networks as the Mathematically Correct Structure</w:t>
      </w:r>
    </w:p>
    <w:p>
      <w:pPr>
        <w:pStyle w:val="FirstParagraph"/>
      </w:pPr>
      <w:r>
        <w:t xml:space="preserve">A hyperedge, unlike a graph edge, can connect any number of nodes simultaneously — exactly the representation a merged header cell or a multi-cell footnote reference needs. Hypergraph neural networks (HGNNs), which generalize graph neural network architectures to operate natively over this structure, are an actively developing research area: a September 2025 NeurIPS paper introduces hypergraph-level encodings based on hypergraph Laplacians and discrete curvature notions specifically to capture higher-order information beyond what pairwise message-passing architectures can represent, reporting a formal result that such encodings provably increase representational power beyond graph-level message-passing GNNs, alongside empirical gains exceeding 10 percentage points on tested social-network benchmarks. A complementary August 2025 paper on Implicit Hypergraph Neural Networks specifically emphasizes provable stability guarantees for higher-order relational learning — again the proof-backed evidentiary standard consistent with AEGIS’s own existing commitments, rather than an empirical-only architecture.</w:t>
      </w:r>
    </w:p>
    <w:p>
      <w:pPr>
        <w:pStyle w:val="BodyText"/>
      </w:pPr>
      <w:r>
        <w:t xml:space="preserve">Within the document-structure-recognition literature specifically (rather than general graph learning), graph-based approaches to table structure recognition already exist and are actively benchmarked —</w:t>
      </w:r>
      <w:r>
        <w:t xml:space="preserve"> </w:t>
      </w:r>
      <w:r>
        <w:t xml:space="preserve">“</w:t>
      </w:r>
      <w:r>
        <w:t xml:space="preserve">Neural collaborative graph machines,</w:t>
      </w:r>
      <w:r>
        <w:t xml:space="preserve">”</w:t>
      </w:r>
      <w:r>
        <w:t xml:space="preserve"> </w:t>
      </w:r>
      <w:r>
        <w:t xml:space="preserve">“</w:t>
      </w:r>
      <w:r>
        <w:t xml:space="preserve">TGRNet</w:t>
      </w:r>
      <w:r>
        <w:t xml:space="preserve">”</w:t>
      </w:r>
      <w:r>
        <w:t xml:space="preserve"> </w:t>
      </w:r>
      <w:r>
        <w:t xml:space="preserve">(a table graph reconstruction network), and related 2022-2025 systems all represent table structure via graph-neural architectures rather than AEGIS’s current fixed cell-adjacency map, though the sources surveyed in this report’s research treat these as standard (pairwise) graph architectures rather than the higher-order hypergraph generalization Section 7.2 above describes — meaning a hypergraph-based table structure model, specifically, would be a genuinely novel combination not yet demonstrated in the table-structure-recognition literature this report surveyed, rather than an established, benchmarked technique AEGIS could adopt with existing ground truth.</w:t>
      </w:r>
    </w:p>
    <w:bookmarkEnd w:id="55"/>
    <w:bookmarkStart w:id="56" w:name="concrete-application-to-aegis-2"/>
    <w:p>
      <w:pPr>
        <w:pStyle w:val="Heading3"/>
      </w:pPr>
      <w:r>
        <w:t xml:space="preserve">7.3 Concrete Application to AEGIS</w:t>
      </w:r>
    </w:p>
    <w:p>
      <w:pPr>
        <w:pStyle w:val="FirstParagraph"/>
      </w:pPr>
      <w:r>
        <w:t xml:space="preserve">The direct application replaces the Matrix Engine’s pairwise cell-adjacency map D(i,j) with a hypergraph H = (Cells, Hyperedges), where each hyperedge groups all cells sharing a single higher-order structural relationship: one hyperedge per merged header spanning its full column range, one hyperedge per footnote-reference group, and one hyperedge per logical row/column group in a hierarchical (multi-level) header — precisely the</w:t>
      </w:r>
      <w:r>
        <w:t xml:space="preserve"> </w:t>
      </w:r>
      <w:r>
        <w:t xml:space="preserve">“</w:t>
      </w:r>
      <w:r>
        <w:t xml:space="preserve">hierarchy on both column-heading and row-heading level</w:t>
      </w:r>
      <w:r>
        <w:t xml:space="preserve">”</w:t>
      </w:r>
      <w:r>
        <w:t xml:space="preserve"> </w:t>
      </w:r>
      <w:r>
        <w:t xml:space="preserve">complexity TableFormer (the Docling table model this report’s Comparative Landscape companion already discussed in its Section 3.2) is specifically built to handle. A persistent hypergraph Laplacian (Section 3.2 of this report) applied to this same structure would additionally let AEGIS track how table topology varies across a filtration — for instance, detecting which merged-header relationships are</w:t>
      </w:r>
      <w:r>
        <w:t xml:space="preserve"> </w:t>
      </w:r>
      <w:r>
        <w:t xml:space="preserve">“</w:t>
      </w:r>
      <w:r>
        <w:t xml:space="preserve">load-bearing</w:t>
      </w:r>
      <w:r>
        <w:t xml:space="preserve">”</w:t>
      </w:r>
      <w:r>
        <w:t xml:space="preserve"> </w:t>
      </w:r>
      <w:r>
        <w:t xml:space="preserve">for a table’s overall structure (persist across a wide filtration range) versus incidental, giving Section 3’s persistent-homology recommendation and this section’s hypergraph recommendation a natural combined formulation rather than two independent additions.</w:t>
      </w:r>
    </w:p>
    <w:bookmarkEnd w:id="56"/>
    <w:bookmarkStart w:id="57" w:name="integration-risk-and-verification-path-5"/>
    <w:p>
      <w:pPr>
        <w:pStyle w:val="Heading3"/>
      </w:pPr>
      <w:r>
        <w:t xml:space="preserve">7.4 Integration Risk and Verification Path</w:t>
      </w:r>
    </w:p>
    <w:p>
      <w:pPr>
        <w:pStyle w:val="FirstParagraph"/>
      </w:pPr>
      <w:r>
        <w:rPr>
          <w:bCs/>
          <w:b/>
        </w:rPr>
        <w:t xml:space="preserve">Integration risk: Medium-to-High.</w:t>
      </w:r>
      <w:r>
        <w:t xml:space="preserve"> </w:t>
      </w:r>
      <w:r>
        <w:t xml:space="preserve">Constructing the hypergraph representation itself from already-detected table structure (merged-cell spans, header hierarchy) is a Low-risk, training-free step, consistent with AEGIS’s existing training-free Matrix Engine — but the HGNN architectures cited in Section 7.2 that would extract the most value from this representation (learned hyperedge-attention weighting, hypergraph-level encodings for downstream retrieval scoring) are trained models requiring labeled table-structure training data, which raises this technique’s risk to the same tier as AEGIS’s currently-unintegrated semantic and image encoders (Feasibility Report risks R4, R5). This report recommends a staged approach: first, adopt the training-free hypergraph</w:t>
      </w:r>
      <w:r>
        <w:t xml:space="preserve"> </w:t>
      </w:r>
      <w:r>
        <w:rPr>
          <w:iCs/>
          <w:i/>
        </w:rPr>
        <w:t xml:space="preserve">representation</w:t>
      </w:r>
      <w:r>
        <w:t xml:space="preserve"> </w:t>
      </w:r>
      <w:r>
        <w:t xml:space="preserve">alone (Low risk) as a strict generalization of the existing pairwise cell-adjacency map, verified via the same header-binding and ragged-row correctness tests Section 12.7 already specifies (now extended to merged-cell and multi-level-header cases the current pairwise map cannot represent at all); only subsequently, and separately, evaluate whether a trained HGNN scoring layer on top of that representation improves retrieval or value-scoring quality, following the same evidentiary staging the Feasibility and Validation Report already recommends for AEGIS’s other trained-component gaps.</w:t>
      </w:r>
    </w:p>
    <w:bookmarkEnd w:id="57"/>
    <w:bookmarkEnd w:id="58"/>
    <w:bookmarkStart w:id="66" w:name="synthesis-how-these-techniques-compose"/>
    <w:p>
      <w:pPr>
        <w:pStyle w:val="Heading2"/>
      </w:pPr>
      <w:r>
        <w:t xml:space="preserve">8. Synthesis: How These Techniques Compose</w:t>
      </w:r>
    </w:p>
    <w:bookmarkStart w:id="59" w:name="not-independent-additions"/>
    <w:p>
      <w:pPr>
        <w:pStyle w:val="Heading3"/>
      </w:pPr>
      <w:r>
        <w:t xml:space="preserve">8.1 Not Independent Additions</w:t>
      </w:r>
    </w:p>
    <w:p>
      <w:pPr>
        <w:pStyle w:val="FirstParagraph"/>
      </w:pPr>
      <w:r>
        <w:t xml:space="preserve">The six techniques surveyed in Sections 2-7 are not six independent, competing proposals to be evaluated in isolation; several have direct mathematical relationships to each other and to AEGIS’s existing Section 9.4 master objective that this section makes explicit, since a reader evaluating this report’s recommendations should understand how they would fit together rather than treating each as a standalone patch.</w:t>
      </w:r>
    </w:p>
    <w:bookmarkEnd w:id="59"/>
    <w:bookmarkStart w:id="60" w:name="the-master-objective-view"/>
    <w:p>
      <w:pPr>
        <w:pStyle w:val="Heading3"/>
      </w:pPr>
      <w:r>
        <w:t xml:space="preserve">8.2 The Master-Objective View</w:t>
      </w:r>
    </w:p>
    <w:p>
      <w:pPr>
        <w:pStyle w:val="FirstParagraph"/>
      </w:pPr>
      <w:r>
        <w:t xml:space="preserve">Monograph Section 9.4 already frames AEGIS’s overall behavior as minimizing a cost objective J(w) subject to quality-floor constraints, via a Lagrangian with multipliers λ_1, λ_2, λ_3. Three of this report’s recommendations map directly onto extending or reinterpreting this same Lagrangian structure, rather than introducing a separate optimization framework: the submodular reformulation (Section 2) replaces the objective’s value term with a coverage function but keeps the knapsack constraint structure Section 9.4 already assumes; the Information Bottleneck reformulation (Section 5) reinterprets the same Lagrangian’s cost-vs-quality trade-off in the specific vocabulary of compression rate versus task-relevant information, with the IB parameter β playing a role directly analogous to λ_1-λ_3; and the persistent-homology and hypergraph techniques (Sections 3, 7) do not touch the Lagrangian directly but instead enrich the</w:t>
      </w:r>
      <w:r>
        <w:t xml:space="preserve"> </w:t>
      </w:r>
      <w:r>
        <w:rPr>
          <w:iCs/>
          <w:i/>
        </w:rPr>
        <w:t xml:space="preserve">representation</w:t>
      </w:r>
      <w:r>
        <w:t xml:space="preserve"> </w:t>
      </w:r>
      <w:r>
        <w:t xml:space="preserve">(D and G in monograph Section 5.1’s master document tuple) that feeds into value scoring (Section 8.2) — meaning they would improve the inputs to whichever objective (plain knapsack, submodular, or IB-based) AEGIS ultimately runs, rather than competing with each other for the same architectural slot.</w:t>
      </w:r>
    </w:p>
    <w:bookmarkEnd w:id="60"/>
    <w:bookmarkStart w:id="61" w:name="a-recommended-combined-formulation"/>
    <w:p>
      <w:pPr>
        <w:pStyle w:val="Heading3"/>
      </w:pPr>
      <w:r>
        <w:t xml:space="preserve">8.3 A Recommended Combined Formulation</w:t>
      </w:r>
    </w:p>
    <w:p>
      <w:pPr>
        <w:pStyle w:val="FirstParagraph"/>
      </w:pPr>
      <w:r>
        <w:t xml:space="preserve">Table 8.1 states, concretely, how a future AEGIS revision could combine these without contradiction: a persistent-hypergraph-enriched Matrix and Spectral/Topology representation (Sections 3, 7) feeds richer per-chunk features into an Information-Bottleneck-calibrated value function (Section 5), whose output values become the coverage-weighted input to a submodular-knapsack packer (Section 2) — replacing three currently-separate AEGIS mechanisms (the plain value function of Section 8.2, the MMR filter of Section 15.4, and the plain-knapsack packer of Section 9) with one mathematically coherent pipeline stage.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Current AEGIS stage</w:t>
            </w:r>
          </w:p>
        </w:tc>
        <w:tc>
          <w:tcPr/>
          <w:p>
            <w:pPr>
              <w:pStyle w:val="Compact"/>
              <w:jc w:val="left"/>
            </w:pPr>
            <w:r>
              <w:t xml:space="preserve">Recommended replacement/extension</w:t>
            </w:r>
          </w:p>
        </w:tc>
        <w:tc>
          <w:tcPr/>
          <w:p>
            <w:pPr>
              <w:pStyle w:val="Compact"/>
              <w:jc w:val="left"/>
            </w:pPr>
            <w:r>
              <w:t xml:space="preserve">Source technique</w:t>
            </w:r>
          </w:p>
        </w:tc>
      </w:tr>
      <w:tr>
        <w:tc>
          <w:tcPr/>
          <w:p>
            <w:pPr>
              <w:pStyle w:val="Compact"/>
              <w:jc w:val="left"/>
            </w:pPr>
            <w:r>
              <w:t xml:space="preserve">Spectral Engine (single-scale) + unimplemented Topology Engine</w:t>
            </w:r>
          </w:p>
        </w:tc>
        <w:tc>
          <w:tcPr/>
          <w:p>
            <w:pPr>
              <w:pStyle w:val="Compact"/>
              <w:jc w:val="left"/>
            </w:pPr>
            <w:r>
              <w:t xml:space="preserve">Unified persistent-Laplacian representation</w:t>
            </w:r>
          </w:p>
        </w:tc>
        <w:tc>
          <w:tcPr/>
          <w:p>
            <w:pPr>
              <w:pStyle w:val="Compact"/>
              <w:jc w:val="left"/>
            </w:pPr>
            <w:r>
              <w:t xml:space="preserve">Section 3 (persistent homology)</w:t>
            </w:r>
          </w:p>
        </w:tc>
      </w:tr>
      <w:tr>
        <w:tc>
          <w:tcPr/>
          <w:p>
            <w:pPr>
              <w:pStyle w:val="Compact"/>
              <w:jc w:val="left"/>
            </w:pPr>
            <w:r>
              <w:t xml:space="preserve">Matrix Engine pairwise cell-adjacency</w:t>
            </w:r>
          </w:p>
        </w:tc>
        <w:tc>
          <w:tcPr/>
          <w:p>
            <w:pPr>
              <w:pStyle w:val="Compact"/>
              <w:jc w:val="left"/>
            </w:pPr>
            <w:r>
              <w:t xml:space="preserve">Hypergraph representation with persistent hypergraph Laplacian</w:t>
            </w:r>
          </w:p>
        </w:tc>
        <w:tc>
          <w:tcPr/>
          <w:p>
            <w:pPr>
              <w:pStyle w:val="Compact"/>
              <w:jc w:val="left"/>
            </w:pPr>
            <w:r>
              <w:t xml:space="preserve">Section 7 (hypergraph NNs)</w:t>
            </w:r>
          </w:p>
        </w:tc>
      </w:tr>
      <w:tr>
        <w:tc>
          <w:tcPr/>
          <w:p>
            <w:pPr>
              <w:pStyle w:val="Compact"/>
              <w:jc w:val="left"/>
            </w:pPr>
            <w:r>
              <w:t xml:space="preserve">Section 8.2 blended value function</w:t>
            </w:r>
          </w:p>
        </w:tc>
        <w:tc>
          <w:tcPr/>
          <w:p>
            <w:pPr>
              <w:pStyle w:val="Compact"/>
              <w:jc w:val="left"/>
            </w:pPr>
            <w:r>
              <w:t xml:space="preserve">IB-Lagrangian-calibrated value function</w:t>
            </w:r>
          </w:p>
        </w:tc>
        <w:tc>
          <w:tcPr/>
          <w:p>
            <w:pPr>
              <w:pStyle w:val="Compact"/>
              <w:jc w:val="left"/>
            </w:pPr>
            <w:r>
              <w:t xml:space="preserve">Section 5 (information bottleneck)</w:t>
            </w:r>
          </w:p>
        </w:tc>
      </w:tr>
      <w:tr>
        <w:tc>
          <w:tcPr/>
          <w:p>
            <w:pPr>
              <w:pStyle w:val="Compact"/>
              <w:jc w:val="left"/>
            </w:pPr>
            <w:r>
              <w:t xml:space="preserve">Section 15.4 MMR + Section 9 knapsack (two stages)</w:t>
            </w:r>
          </w:p>
        </w:tc>
        <w:tc>
          <w:tcPr/>
          <w:p>
            <w:pPr>
              <w:pStyle w:val="Compact"/>
              <w:jc w:val="left"/>
            </w:pPr>
            <w:r>
              <w:t xml:space="preserve">Single knapsack-constrained submodular maximization</w:t>
            </w:r>
          </w:p>
        </w:tc>
        <w:tc>
          <w:tcPr/>
          <w:p>
            <w:pPr>
              <w:pStyle w:val="Compact"/>
              <w:jc w:val="left"/>
            </w:pPr>
            <w:r>
              <w:t xml:space="preserve">Section 2 (submodular optimization)</w:t>
            </w:r>
          </w:p>
        </w:tc>
      </w:tr>
      <w:tr>
        <w:tc>
          <w:tcPr/>
          <w:p>
            <w:pPr>
              <w:pStyle w:val="Compact"/>
              <w:jc w:val="left"/>
            </w:pPr>
            <w:r>
              <w:t xml:space="preserve">Section 9.2/9.3/12.2 exact/greedy/Lagrangian solver hierarchy</w:t>
            </w:r>
          </w:p>
        </w:tc>
        <w:tc>
          <w:tcPr/>
          <w:p>
            <w:pPr>
              <w:pStyle w:val="Compact"/>
              <w:jc w:val="left"/>
            </w:pPr>
            <w:r>
              <w:t xml:space="preserve">Same hierarchy, plus a learned warm-start/confidence layer</w:t>
            </w:r>
          </w:p>
        </w:tc>
        <w:tc>
          <w:tcPr/>
          <w:p>
            <w:pPr>
              <w:pStyle w:val="Compact"/>
              <w:jc w:val="left"/>
            </w:pPr>
            <w:r>
              <w:t xml:space="preserve">Section 6 (neural combinatorial optimization)</w:t>
            </w:r>
          </w:p>
        </w:tc>
      </w:tr>
      <w:tr>
        <w:tc>
          <w:tcPr/>
          <w:p>
            <w:pPr>
              <w:pStyle w:val="Compact"/>
              <w:jc w:val="left"/>
            </w:pPr>
            <w:r>
              <w:t xml:space="preserve">Section 21.4 RHM (binary hit-rate) reading-order metric</w:t>
            </w:r>
          </w:p>
        </w:tc>
        <w:tc>
          <w:tcPr/>
          <w:p>
            <w:pPr>
              <w:pStyle w:val="Compact"/>
              <w:jc w:val="left"/>
            </w:pPr>
            <w:r>
              <w:t xml:space="preserve">Graded Order-Preserving Wasserstein distance</w:t>
            </w:r>
          </w:p>
        </w:tc>
        <w:tc>
          <w:tcPr/>
          <w:p>
            <w:pPr>
              <w:pStyle w:val="Compact"/>
              <w:jc w:val="left"/>
            </w:pPr>
            <w:r>
              <w:t xml:space="preserve">Section 4 (optimal transport)</w:t>
            </w:r>
          </w:p>
        </w:tc>
      </w:tr>
    </w:tbl>
    <w:bookmarkEnd w:id="61"/>
    <w:bookmarkStart w:id="65" w:name="what-this-table-is-and-is-not-claiming"/>
    <w:p>
      <w:pPr>
        <w:pStyle w:val="Heading3"/>
      </w:pPr>
      <w:r>
        <w:t xml:space="preserve">8.4 What This Table Is and Is Not Claiming</w:t>
      </w:r>
    </w:p>
    <w:p>
      <w:pPr>
        <w:pStyle w:val="FirstParagraph"/>
      </w:pPr>
      <w:r>
        <w:t xml:space="preserve">This combined formulation is a design sketch, not a validated architecture — none of the six techniques has been implemented against AEGIS’s reference codebase, and Section 9’s roadmap treats each as an independent, separately-gated research item precisely because their</w:t>
      </w:r>
      <w:r>
        <w:t xml:space="preserve"> </w:t>
      </w:r>
      <w:r>
        <w:rPr>
          <w:iCs/>
          <w:i/>
        </w:rPr>
        <w:t xml:space="preserve">individual</w:t>
      </w:r>
      <w:r>
        <w:t xml:space="preserve"> </w:t>
      </w:r>
      <w:r>
        <w:t xml:space="preserve">validation (does the submodular reformulation outperform MMR+knapsack on AEGIS’s actual document corpus; does the persistent-hypergraph representation improve retrieval precision on AEGIS’s actual table-heavy test cases) needs to happen before their</w:t>
      </w:r>
      <w:r>
        <w:t xml:space="preserve"> </w:t>
      </w:r>
      <w:r>
        <w:rPr>
          <w:iCs/>
          <w:i/>
        </w:rPr>
        <w:t xml:space="preserve">combination</w:t>
      </w:r>
      <w:r>
        <w:t xml:space="preserve"> </w:t>
      </w:r>
      <w:r>
        <w:t xml:space="preserve">is attempted, consistent with the general lesson the Feasibility and Validation Report already draws from monograph Section 11.7: defects live in the gap between a design and a tested implementation, and a combination of six unvalidated designs compounds that gap rather than resolving it.</w:t>
      </w:r>
    </w:p>
    <w:p>
      <w:pPr>
        <w:pStyle w:val="CaptionedFigure"/>
      </w:pPr>
      <w:r>
        <w:drawing>
          <wp:inline>
            <wp:extent cx="5760720" cy="2880360"/>
            <wp:effectExtent b="0" l="0" r="0" t="0"/>
            <wp:docPr descr="Figure 8. Enhancement technique mapping." title="" id="63" name="Picture"/>
            <a:graphic>
              <a:graphicData uri="http://schemas.openxmlformats.org/drawingml/2006/picture">
                <pic:pic>
                  <pic:nvPicPr>
                    <pic:cNvPr descr="../paper/figures/fig8_enhancement_map.png" id="64" name="Picture"/>
                    <pic:cNvPicPr>
                      <a:picLocks noChangeArrowheads="1" noChangeAspect="1"/>
                    </pic:cNvPicPr>
                  </pic:nvPicPr>
                  <pic:blipFill>
                    <a:blip r:embed="rId62"/>
                    <a:stretch>
                      <a:fillRect/>
                    </a:stretch>
                  </pic:blipFill>
                  <pic:spPr bwMode="auto">
                    <a:xfrm>
                      <a:off x="0" y="0"/>
                      <a:ext cx="5760720" cy="2880360"/>
                    </a:xfrm>
                    <a:prstGeom prst="rect">
                      <a:avLst/>
                    </a:prstGeom>
                    <a:noFill/>
                    <a:ln w="9525">
                      <a:noFill/>
                      <a:headEnd/>
                      <a:tailEnd/>
                    </a:ln>
                  </pic:spPr>
                </pic:pic>
              </a:graphicData>
            </a:graphic>
          </wp:inline>
        </w:drawing>
      </w:r>
    </w:p>
    <w:p>
      <w:pPr>
        <w:pStyle w:val="ImageCaption"/>
      </w:pPr>
      <w:r>
        <w:t xml:space="preserve">Figure 8. Enhancement technique mapping.</w:t>
      </w:r>
    </w:p>
    <w:bookmarkEnd w:id="65"/>
    <w:bookmarkEnd w:id="66"/>
    <w:bookmarkStart w:id="72" w:name="prioritized-roadmap"/>
    <w:p>
      <w:pPr>
        <w:pStyle w:val="Heading2"/>
      </w:pPr>
      <w:r>
        <w:t xml:space="preserve">9. Prioritized Roadmap</w:t>
      </w:r>
    </w:p>
    <w:bookmarkStart w:id="67" w:name="prioritization-method"/>
    <w:p>
      <w:pPr>
        <w:pStyle w:val="Heading3"/>
      </w:pPr>
      <w:r>
        <w:t xml:space="preserve">9.1 Prioritization Method</w:t>
      </w:r>
    </w:p>
    <w:p>
      <w:pPr>
        <w:pStyle w:val="FirstParagraph"/>
      </w:pPr>
      <w:r>
        <w:t xml:space="preserve">Each technique is placed into a near-term, mid-term, or long-term tier based jointly on its Section 2-7 integration-risk rating and the size of the gap it closes in AEGIS’s existing evidentiary record (per the Feasibility and Validation Report’s tiering) — a Low-risk technique closing a gap already flagged as high-priority (such as the currently-unimplemented Topology Engine) is prioritized above a Low-risk technique addressing a component already at the Established tier.</w:t>
      </w:r>
    </w:p>
    <w:bookmarkEnd w:id="67"/>
    <w:bookmarkStart w:id="68" w:name="X78abedcfb8c0785a53955d82ac04598e4cbe237"/>
    <w:p>
      <w:pPr>
        <w:pStyle w:val="Heading3"/>
      </w:pPr>
      <w:r>
        <w:t xml:space="preserve">9.2 Near-Term (Low integration risk, addresses an existing named gap)</w:t>
      </w:r>
    </w:p>
    <w:p>
      <w:pPr>
        <w:pStyle w:val="FirstParagraph"/>
      </w:pPr>
      <w:r>
        <w:t xml:space="preserve">Table 9.1 lists the two techniques this report recommends for near-term evaluation.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Closes</w:t>
            </w:r>
          </w:p>
        </w:tc>
        <w:tc>
          <w:tcPr/>
          <w:p>
            <w:pPr>
              <w:pStyle w:val="Compact"/>
              <w:jc w:val="left"/>
            </w:pPr>
            <w:r>
              <w:t xml:space="preserve">Verification path</w:t>
            </w:r>
          </w:p>
        </w:tc>
      </w:tr>
      <w:tr>
        <w:tc>
          <w:tcPr/>
          <w:p>
            <w:pPr>
              <w:pStyle w:val="Compact"/>
              <w:jc w:val="left"/>
            </w:pPr>
            <w:r>
              <w:t xml:space="preserve">Order-Preserving Wasserstein distance (Section 4.2)</w:t>
            </w:r>
          </w:p>
        </w:tc>
        <w:tc>
          <w:tcPr/>
          <w:p>
            <w:pPr>
              <w:pStyle w:val="Compact"/>
              <w:jc w:val="left"/>
            </w:pPr>
            <w:r>
              <w:t xml:space="preserve">Absence of a graded reading-order quality metric (monograph Section 21.4’s RHM is binary-only)</w:t>
            </w:r>
          </w:p>
        </w:tc>
        <w:tc>
          <w:tcPr/>
          <w:p>
            <w:pPr>
              <w:pStyle w:val="Compact"/>
              <w:jc w:val="left"/>
            </w:pPr>
            <w:r>
              <w:t xml:space="preserve">Compute OPW distance between AEGIS’s recovered order and OmniDocBench ground truth, alongside the RHM benchmark this report’s Comparative Landscape companion already recommends (that report’s Section 4.6)</w:t>
            </w:r>
          </w:p>
        </w:tc>
      </w:tr>
      <w:tr>
        <w:tc>
          <w:tcPr/>
          <w:p>
            <w:pPr>
              <w:pStyle w:val="Compact"/>
              <w:jc w:val="left"/>
            </w:pPr>
            <w:r>
              <w:t xml:space="preserve">Persistent-Laplacian foundation for the Topology Engine (Section 3.3, second application)</w:t>
            </w:r>
          </w:p>
        </w:tc>
        <w:tc>
          <w:tcPr/>
          <w:p>
            <w:pPr>
              <w:pStyle w:val="Compact"/>
              <w:jc w:val="left"/>
            </w:pPr>
            <w:r>
              <w:t xml:space="preserve">Monograph Section 23’s explicitly unimplemented Topology Engine</w:t>
            </w:r>
          </w:p>
        </w:tc>
        <w:tc>
          <w:tcPr/>
          <w:p>
            <w:pPr>
              <w:pStyle w:val="Compact"/>
              <w:jc w:val="left"/>
            </w:pPr>
            <w:r>
              <w:t xml:space="preserve">Implement table-topology detection via persistent homology on the Matrix Engine’s existing cell-adjacency structure; validate against published table-structure-recognition benchmarks (this report’s Section 7.2 sources) rather than a from-scratch AEGIS benchmark</w:t>
            </w:r>
          </w:p>
        </w:tc>
      </w:tr>
    </w:tbl>
    <w:bookmarkEnd w:id="68"/>
    <w:bookmarkStart w:id="69" w:name="X875e54f755e24d98a33269883614230ded4910d"/>
    <w:p>
      <w:pPr>
        <w:pStyle w:val="Heading3"/>
      </w:pPr>
      <w:r>
        <w:t xml:space="preserve">9.3 Mid-Term (Medium integration risk, requires a new solver or representation but no new training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Closes</w:t>
            </w:r>
          </w:p>
        </w:tc>
        <w:tc>
          <w:tcPr/>
          <w:p>
            <w:pPr>
              <w:pStyle w:val="Compact"/>
              <w:jc w:val="left"/>
            </w:pPr>
            <w:r>
              <w:t xml:space="preserve">Verification path</w:t>
            </w:r>
          </w:p>
        </w:tc>
      </w:tr>
      <w:tr>
        <w:tc>
          <w:tcPr/>
          <w:p>
            <w:pPr>
              <w:pStyle w:val="Compact"/>
              <w:jc w:val="left"/>
            </w:pPr>
            <w:r>
              <w:t xml:space="preserve">Submodular knapsack reformulation (Section 2)</w:t>
            </w:r>
          </w:p>
        </w:tc>
        <w:tc>
          <w:tcPr/>
          <w:p>
            <w:pPr>
              <w:pStyle w:val="Compact"/>
              <w:jc w:val="left"/>
            </w:pPr>
            <w:r>
              <w:t xml:space="preserve">The redundancy gap between AEGIS’s independently-scored knapsack values and the separately-bolted-on MMR filter</w:t>
            </w:r>
          </w:p>
        </w:tc>
        <w:tc>
          <w:tcPr/>
          <w:p>
            <w:pPr>
              <w:pStyle w:val="Compact"/>
              <w:jc w:val="left"/>
            </w:pPr>
            <w:r>
              <w:t xml:space="preserve">Replicate GeoRAG’s comparison protocol (Section 2.2) against AEGIS’s current MMR+knapsack baseline; verify the (1-1/e) bound empirically per the same methodology as Feasibility Report TC-12</w:t>
            </w:r>
          </w:p>
        </w:tc>
      </w:tr>
      <w:tr>
        <w:tc>
          <w:tcPr/>
          <w:p>
            <w:pPr>
              <w:pStyle w:val="Compact"/>
              <w:jc w:val="left"/>
            </w:pPr>
            <w:r>
              <w:t xml:space="preserve">Hypergraph representation for the Matrix Engine (Section 7.4, staged low-risk phase)</w:t>
            </w:r>
          </w:p>
        </w:tc>
        <w:tc>
          <w:tcPr/>
          <w:p>
            <w:pPr>
              <w:pStyle w:val="Compact"/>
              <w:jc w:val="left"/>
            </w:pPr>
            <w:r>
              <w:t xml:space="preserve">Pairwise-only table structure representation, unable to natively express merged cells or multi-level headers</w:t>
            </w:r>
          </w:p>
        </w:tc>
        <w:tc>
          <w:tcPr/>
          <w:p>
            <w:pPr>
              <w:pStyle w:val="Compact"/>
              <w:jc w:val="left"/>
            </w:pPr>
            <w:r>
              <w:t xml:space="preserve">Extend Feasibility Report’s header-binding and ragged-row tests (Section 12.7) to merged-cell and multi-level-header synthetic cases</w:t>
            </w:r>
          </w:p>
        </w:tc>
      </w:tr>
      <w:tr>
        <w:tc>
          <w:tcPr/>
          <w:p>
            <w:pPr>
              <w:pStyle w:val="Compact"/>
              <w:jc w:val="left"/>
            </w:pPr>
            <w:r>
              <w:t xml:space="preserve">Gromov-Wasserstein template comparison (Section 4.3)</w:t>
            </w:r>
          </w:p>
        </w:tc>
        <w:tc>
          <w:tcPr/>
          <w:p>
            <w:pPr>
              <w:pStyle w:val="Compact"/>
              <w:jc w:val="left"/>
            </w:pPr>
            <w:r>
              <w:t xml:space="preserve">Coarse 5-dimensional template fingerprint that discards spatial relationships</w:t>
            </w:r>
          </w:p>
        </w:tc>
        <w:tc>
          <w:tcPr/>
          <w:p>
            <w:pPr>
              <w:pStyle w:val="Compact"/>
              <w:jc w:val="left"/>
            </w:pPr>
            <w:r>
              <w:t xml:space="preserve">Compare GW-based clustering against the current cosine-fingerprint approach on a real corpus with known template groupings</w:t>
            </w:r>
          </w:p>
        </w:tc>
      </w:tr>
      <w:tr>
        <w:tc>
          <w:tcPr/>
          <w:p>
            <w:pPr>
              <w:pStyle w:val="Compact"/>
              <w:jc w:val="left"/>
            </w:pPr>
            <w:r>
              <w:t xml:space="preserve">IB-calibrated master-objective trade-off point (Section 5.5, narrow starting scope)</w:t>
            </w:r>
          </w:p>
        </w:tc>
        <w:tc>
          <w:tcPr/>
          <w:p>
            <w:pPr>
              <w:pStyle w:val="Compact"/>
              <w:jc w:val="left"/>
            </w:pPr>
            <w:r>
              <w:t xml:space="preserve">The disconnect between Section 10’s information-theoretic framing and Section 8-9’s independently-formulated value/cost functions</w:t>
            </w:r>
          </w:p>
        </w:tc>
        <w:tc>
          <w:tcPr/>
          <w:p>
            <w:pPr>
              <w:pStyle w:val="Compact"/>
              <w:jc w:val="left"/>
            </w:pPr>
            <w:r>
              <w:t xml:space="preserve">Apply the IB Lagrangian specifically to calibrate the master objective’s existing λ multipliers; compare against the current fixed-weight configuration</w:t>
            </w:r>
          </w:p>
        </w:tc>
      </w:tr>
    </w:tbl>
    <w:bookmarkEnd w:id="69"/>
    <w:bookmarkStart w:id="70" w:name="Xd3a0ffef592a878f8a2d828cef2b25ff1e89f3e"/>
    <w:p>
      <w:pPr>
        <w:pStyle w:val="Heading3"/>
      </w:pPr>
      <w:r>
        <w:t xml:space="preserve">9.4 Long-Term (High integration risk, requires new training data or a fundamentally new trained component)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Closes</w:t>
            </w:r>
          </w:p>
        </w:tc>
        <w:tc>
          <w:tcPr/>
          <w:p>
            <w:pPr>
              <w:pStyle w:val="Compact"/>
              <w:jc w:val="left"/>
            </w:pPr>
            <w:r>
              <w:t xml:space="preserve">Verification path</w:t>
            </w:r>
          </w:p>
        </w:tc>
      </w:tr>
      <w:tr>
        <w:tc>
          <w:tcPr/>
          <w:p>
            <w:pPr>
              <w:pStyle w:val="Compact"/>
              <w:jc w:val="left"/>
            </w:pPr>
            <w:r>
              <w:t xml:space="preserve">Full IB-Lagrangian value-function replacement (Section 5.3)</w:t>
            </w:r>
          </w:p>
        </w:tc>
        <w:tc>
          <w:tcPr/>
          <w:p>
            <w:pPr>
              <w:pStyle w:val="Compact"/>
              <w:jc w:val="left"/>
            </w:pPr>
            <w:r>
              <w:t xml:space="preserve">Section 8.2’s heuristic blended value function</w:t>
            </w:r>
          </w:p>
        </w:tc>
        <w:tc>
          <w:tcPr/>
          <w:p>
            <w:pPr>
              <w:pStyle w:val="Compact"/>
              <w:jc w:val="left"/>
            </w:pPr>
            <w:r>
              <w:t xml:space="preserve">Requires a variational IB estimator or comparable trained approximation; gate behind the mid-term narrow-scope pilot (Section 9.3) showing sufficient benefit to justify the larger reformulation</w:t>
            </w:r>
          </w:p>
        </w:tc>
      </w:tr>
      <w:tr>
        <w:tc>
          <w:tcPr/>
          <w:p>
            <w:pPr>
              <w:pStyle w:val="Compact"/>
              <w:jc w:val="left"/>
            </w:pPr>
            <w:r>
              <w:t xml:space="preserve">Trained HGNN scoring layer over the hypergraph table representation (Section 7.4, second phase)</w:t>
            </w:r>
          </w:p>
        </w:tc>
        <w:tc>
          <w:tcPr/>
          <w:p>
            <w:pPr>
              <w:pStyle w:val="Compact"/>
              <w:jc w:val="left"/>
            </w:pPr>
            <w:r>
              <w:t xml:space="preserve">Static (untrained) hypergraph structure not yet contributing a learned relevance signal</w:t>
            </w:r>
          </w:p>
        </w:tc>
        <w:tc>
          <w:tcPr/>
          <w:p>
            <w:pPr>
              <w:pStyle w:val="Compact"/>
              <w:jc w:val="left"/>
            </w:pPr>
            <w:r>
              <w:t xml:space="preserve">Requires labeled table-structure training data; gate behind the near-term training-free hypergraph representation (Section 9.3) proving useful on its own first</w:t>
            </w:r>
          </w:p>
        </w:tc>
      </w:tr>
      <w:tr>
        <w:tc>
          <w:tcPr/>
          <w:p>
            <w:pPr>
              <w:pStyle w:val="Compact"/>
              <w:jc w:val="left"/>
            </w:pPr>
            <w:r>
              <w:t xml:space="preserve">Neural/diffusion-based combinatorial-optimization warm-start layer (Section 6.4)</w:t>
            </w:r>
          </w:p>
        </w:tc>
        <w:tc>
          <w:tcPr/>
          <w:p>
            <w:pPr>
              <w:pStyle w:val="Compact"/>
              <w:jc w:val="left"/>
            </w:pPr>
            <w:r>
              <w:t xml:space="preserve">Fixed, non-learning solver hierarchy that does not improve from repeated exposure to AEGIS’s actual production instance distribution</w:t>
            </w:r>
          </w:p>
        </w:tc>
        <w:tc>
          <w:tcPr/>
          <w:p>
            <w:pPr>
              <w:pStyle w:val="Compact"/>
              <w:jc w:val="left"/>
            </w:pPr>
            <w:r>
              <w:t xml:space="preserve">Requires a large corpus of representative production knapsack instances not yet collected; use the provable-guarantee bounded-size construction (Section 6.2) specifically to preserve AEGIS’s proof-backed standard</w:t>
            </w:r>
          </w:p>
        </w:tc>
      </w:tr>
    </w:tbl>
    <w:bookmarkEnd w:id="70"/>
    <w:bookmarkStart w:id="71" w:name="sequencing-rationale"/>
    <w:p>
      <w:pPr>
        <w:pStyle w:val="Heading3"/>
      </w:pPr>
      <w:r>
        <w:t xml:space="preserve">9.5 Sequencing Rationale</w:t>
      </w:r>
    </w:p>
    <w:p>
      <w:pPr>
        <w:pStyle w:val="FirstParagraph"/>
      </w:pPr>
      <w:r>
        <w:t xml:space="preserve">The near-term items are recommended first specifically because they require no new trained model and each closes a gap this body of work has already named explicitly elsewhere (the Topology Engine’s non-implementation in monograph Section 23; the binary-only RHM metric in Section 21.4) — meaning their value is not contingent on this report’s own novel analysis being correct, only on executing work already identified as needed. The mid-term items are recommended second because, while each requires new solver or representation logic, none requires new training data, keeping them inside the same low-training-dependency profile that has characterized AEGIS’s most successfully hardened components to date (the Established-tier reading-order, chunking, and knapsack components, per the Feasibility and Validation Report, are all training-free). The long-term items are explicitly gated behind their corresponding mid-term or near-term pilot succeeding, consistent with this report’s Section 8.4 caution against combining multiple unvalidated designs before any one of them has been individually validated.</w:t>
      </w:r>
    </w:p>
    <w:bookmarkEnd w:id="71"/>
    <w:bookmarkEnd w:id="72"/>
    <w:bookmarkStart w:id="77" w:name="X561a5673538a4c8cadd0540499a09c5bcb85f87"/>
    <w:p>
      <w:pPr>
        <w:pStyle w:val="Heading2"/>
      </w:pPr>
      <w:r>
        <w:t xml:space="preserve">10. Risk Considerations in Adopting These Techniques</w:t>
      </w:r>
    </w:p>
    <w:bookmarkStart w:id="73" w:name="Xe4aa2c351bfa6baeef470aa138a92ec4112664c"/>
    <w:p>
      <w:pPr>
        <w:pStyle w:val="Heading3"/>
      </w:pPr>
      <w:r>
        <w:t xml:space="preserve">10.1 Mathematical Elegance Is Not Production Readiness</w:t>
      </w:r>
    </w:p>
    <w:p>
      <w:pPr>
        <w:pStyle w:val="FirstParagraph"/>
      </w:pPr>
      <w:r>
        <w:t xml:space="preserve">Every technique in this report is well-grounded in current research, but</w:t>
      </w:r>
      <w:r>
        <w:t xml:space="preserve"> </w:t>
      </w:r>
      <w:r>
        <w:t xml:space="preserve">“</w:t>
      </w:r>
      <w:r>
        <w:t xml:space="preserve">well-grounded in research</w:t>
      </w:r>
      <w:r>
        <w:t xml:space="preserve">”</w:t>
      </w:r>
      <w:r>
        <w:t xml:space="preserve"> </w:t>
      </w:r>
      <w:r>
        <w:t xml:space="preserve">and</w:t>
      </w:r>
      <w:r>
        <w:t xml:space="preserve"> </w:t>
      </w:r>
      <w:r>
        <w:t xml:space="preserve">“</w:t>
      </w:r>
      <w:r>
        <w:t xml:space="preserve">ready for AEGIS’s production requirements</w:t>
      </w:r>
      <w:r>
        <w:t xml:space="preserve">”</w:t>
      </w:r>
      <w:r>
        <w:t xml:space="preserve"> </w:t>
      </w:r>
      <w:r>
        <w:t xml:space="preserve">are different claims, and this report closes with the same caution the Feasibility and Validation Report applies to AEGIS’s own existing components. Submodular optimization (Section 2), while carrying a strong (1-1/e) guarantee, requires a well-defined concept-coverage function — AEGIS does not currently have a validated method for extracting query-relevant concepts at the granularity this formulation needs, and a poorly-defined coverage function could produce a submodular objective that is mathematically well-behaved but practically misaligned with actual document relevance, a failure mode the guarantee itself would not protect against since (1-1/e) is a guarantee relative to the</w:t>
      </w:r>
      <w:r>
        <w:t xml:space="preserve"> </w:t>
      </w:r>
      <w:r>
        <w:rPr>
          <w:iCs/>
          <w:i/>
        </w:rPr>
        <w:t xml:space="preserve">stated</w:t>
      </w:r>
      <w:r>
        <w:t xml:space="preserve"> </w:t>
      </w:r>
      <w:r>
        <w:t xml:space="preserve">objective, not relative to what a human would consider a good answer.</w:t>
      </w:r>
    </w:p>
    <w:bookmarkEnd w:id="73"/>
    <w:bookmarkStart w:id="74" w:name="complexity-cost"/>
    <w:p>
      <w:pPr>
        <w:pStyle w:val="Heading3"/>
      </w:pPr>
      <w:r>
        <w:t xml:space="preserve">10.2 Complexity Cost</w:t>
      </w:r>
    </w:p>
    <w:p>
      <w:pPr>
        <w:pStyle w:val="FirstParagraph"/>
      </w:pPr>
      <w:r>
        <w:t xml:space="preserve">Several of these techniques (persistent Laplacians, Gromov-Wasserstein distance, hypergraph neural networks) introduce genuinely more complex mathematical machinery than AEGIS’s current formulations, and monograph Section 4.1’s own design philosophy (separation of concerns, defense in depth) implicitly argues for restraint here: a system already carrying the operational complexity burden this report’s own Comparative Landscape companion noted in its discussion of AEGIS’s twelve-engine architecture (a real staffing and on-call cost, not merely an implementation cost) should not add further mathematical sophistication without a clearly demonstrated return, and this report’s roadmap staging (Section 9) is specifically designed to test that return at each stage before committing to the next.</w:t>
      </w:r>
    </w:p>
    <w:bookmarkEnd w:id="74"/>
    <w:bookmarkStart w:id="75" w:name="the-verification-burden-compounds"/>
    <w:p>
      <w:pPr>
        <w:pStyle w:val="Heading3"/>
      </w:pPr>
      <w:r>
        <w:t xml:space="preserve">10.3 The Verification Burden Compounds</w:t>
      </w:r>
    </w:p>
    <w:p>
      <w:pPr>
        <w:pStyle w:val="FirstParagraph"/>
      </w:pPr>
      <w:r>
        <w:t xml:space="preserve">Each technique recommended here would, if adopted, require its own correctness-test suite analogous to the Feasibility and Validation Report’s existing V1-V11 matrix — extending, not replacing, that matrix. A future revision of the Implementation and Credibility Test Cases document would need new test cases for each adopted technique (an OPW-distance sanity check analogous to TC-01’s dense-grid test; a submodular-bound empirical check analogous to TC-12), and this report’s own credibility, consistent with this body of work’s standing practice, depends on those tests actually being run and reported rather than assumed.</w:t>
      </w:r>
    </w:p>
    <w:bookmarkEnd w:id="75"/>
    <w:bookmarkStart w:id="76" w:name="recommendation"/>
    <w:p>
      <w:pPr>
        <w:pStyle w:val="Heading3"/>
      </w:pPr>
      <w:r>
        <w:t xml:space="preserve">10.4 Recommendation</w:t>
      </w:r>
    </w:p>
    <w:p>
      <w:pPr>
        <w:pStyle w:val="FirstParagraph"/>
      </w:pPr>
      <w:r>
        <w:t xml:space="preserve">This report recommends treating Sections 2-7 as a prioritized research agenda, not a specification — the roadmap in Section 9 should govern actual adoption order, and no technique should be described as part of AEGIS’s architecture until it has passed through the same Established/Demonstrated-at-small-scale/Proposed tiering the Feasibility and Validation Report already applies to every other component, with the specific verification path stated in Sections 2-7 as each technique’s entry criterion for that tiering process.</w:t>
      </w:r>
    </w:p>
    <w:bookmarkEnd w:id="76"/>
    <w:bookmarkEnd w:id="77"/>
    <w:bookmarkStart w:id="78" w:name="conclusion"/>
    <w:p>
      <w:pPr>
        <w:pStyle w:val="Heading2"/>
      </w:pPr>
      <w:r>
        <w:t xml:space="preserve">Conclusion</w:t>
      </w:r>
    </w:p>
    <w:p>
      <w:pPr>
        <w:pStyle w:val="FirstParagraph"/>
      </w:pPr>
      <w:r>
        <w:t xml:space="preserve">This report identified six mathematically well-grounded, currently-active research techniques — submodular optimization, persistent homology and persistent Laplacians, optimal transport, information bottleneck theory, neural/diffusion combinatorial optimization, and hypergraph neural networks — each mapped to a specific AEGIS component, each rated for integration risk, and each given a concrete verification path rather than presented as an unconditional improvement. The single highest-leverage recommendation is the submodular reformulation of Section 9’s knapsack packer (Section 2), which would let AEGIS collapse two currently-separate, heuristically-composed mechanisms (MMR diversity filtering and value-maximizing knapsack packing) into one stage with one proven bound, closing a gap this body of work’s own Comparative Landscape Report already identified as an open empirical question. The persistent-homology unification of the Spectral and (currently unimplemented) Topology engines (Section 3) is the second-highest-leverage recommendation specifically because it gives a long-flagged gap in AEGIS’s own architecture a concrete mathematical foundation to be built against for the first time. Consistent with every prior report in this body of work, this report’s recommendations are offered as a prioritized, gated research agenda — Section 9’s roadmap, not Sections 2-7’s mathematics alone — is the report’s actionable output, and each stage’s promotion to</w:t>
      </w:r>
      <w:r>
        <w:t xml:space="preserve"> </w:t>
      </w:r>
      <w:r>
        <w:t xml:space="preserve">“</w:t>
      </w:r>
      <w:r>
        <w:t xml:space="preserve">adopted</w:t>
      </w:r>
      <w:r>
        <w:t xml:space="preserve">”</w:t>
      </w:r>
      <w:r>
        <w:t xml:space="preserve"> </w:t>
      </w:r>
      <w:r>
        <w:t xml:space="preserve">should depend on the same kind of specific, named, reproducible test this body of work has applied to every existing AEGIS claim throughout.</w:t>
      </w:r>
    </w:p>
    <w:bookmarkEnd w:id="78"/>
    <w:bookmarkStart w:id="80" w:name="references"/>
    <w:p>
      <w:pPr>
        <w:pStyle w:val="Heading2"/>
      </w:pPr>
      <w:r>
        <w:t xml:space="preserve">References</w:t>
      </w:r>
    </w:p>
    <w:p>
      <w:pPr>
        <w:numPr>
          <w:ilvl w:val="0"/>
          <w:numId w:val="1001"/>
        </w:numPr>
        <w:pStyle w:val="Compact"/>
      </w:pPr>
      <w:r>
        <w:t xml:space="preserve">“</w:t>
      </w:r>
      <w:r>
        <w:t xml:space="preserve">Optimal Document Selection in RAG via Combinatorial Optimization: A Theoretical Framework.</w:t>
      </w:r>
      <w:r>
        <w:t xml:space="preserve">”</w:t>
      </w:r>
      <w:r>
        <w:t xml:space="preserve"> </w:t>
      </w:r>
      <w:r>
        <w:t xml:space="preserve">OpenReview, March 2026.</w:t>
      </w:r>
    </w:p>
    <w:p>
      <w:pPr>
        <w:numPr>
          <w:ilvl w:val="0"/>
          <w:numId w:val="1001"/>
        </w:numPr>
        <w:pStyle w:val="Compact"/>
      </w:pPr>
      <w:r>
        <w:t xml:space="preserve">“</w:t>
      </w:r>
      <w:r>
        <w:t xml:space="preserve">PACMS: Submodular Context Selection as a Pluggable Engine for LLM Agents.</w:t>
      </w:r>
      <w:r>
        <w:t xml:space="preserve">”</w:t>
      </w:r>
      <w:r>
        <w:t xml:space="preserve"> </w:t>
      </w:r>
      <w:r>
        <w:t xml:space="preserve">arXiv:2606.20047, June 2026.</w:t>
      </w:r>
    </w:p>
    <w:p>
      <w:pPr>
        <w:numPr>
          <w:ilvl w:val="0"/>
          <w:numId w:val="1001"/>
        </w:numPr>
        <w:pStyle w:val="Compact"/>
      </w:pPr>
      <w:r>
        <w:t xml:space="preserve">“</w:t>
      </w:r>
      <w:r>
        <w:t xml:space="preserve">Enhancing Multi-Image Question Answering via Submodular Subset Selection.</w:t>
      </w:r>
      <w:r>
        <w:t xml:space="preserve">”</w:t>
      </w:r>
      <w:r>
        <w:t xml:space="preserve"> </w:t>
      </w:r>
      <w:r>
        <w:t xml:space="preserve">arXiv:2505.10533, May 2025.</w:t>
      </w:r>
    </w:p>
    <w:p>
      <w:pPr>
        <w:numPr>
          <w:ilvl w:val="0"/>
          <w:numId w:val="1001"/>
        </w:numPr>
        <w:pStyle w:val="Compact"/>
      </w:pPr>
      <w:r>
        <w:t xml:space="preserve">“</w:t>
      </w:r>
      <w:r>
        <w:t xml:space="preserve">Covering the Unseen: Information Demand Coverage Optimization for Retrieval-Augmented Generation</w:t>
      </w:r>
      <w:r>
        <w:t xml:space="preserve">”</w:t>
      </w:r>
      <w:r>
        <w:t xml:space="preserve"> </w:t>
      </w:r>
      <w:r>
        <w:t xml:space="preserve">(GeoRAG). arXiv:2606.29328.</w:t>
      </w:r>
    </w:p>
    <w:p>
      <w:pPr>
        <w:numPr>
          <w:ilvl w:val="0"/>
          <w:numId w:val="1001"/>
        </w:numPr>
        <w:pStyle w:val="Compact"/>
      </w:pPr>
      <w:r>
        <w:t xml:space="preserve">“</w:t>
      </w:r>
      <w:r>
        <w:t xml:space="preserve">Semantic compression</w:t>
      </w:r>
      <w:r>
        <w:t xml:space="preserve">”</w:t>
      </w:r>
      <w:r>
        <w:t xml:space="preserve"> </w:t>
      </w:r>
      <w:r>
        <w:t xml:space="preserve">/ graph-augmented vector retrieval paper. Hugging Face Daily Papers, August 2025.</w:t>
      </w:r>
    </w:p>
    <w:p>
      <w:pPr>
        <w:numPr>
          <w:ilvl w:val="0"/>
          <w:numId w:val="1001"/>
        </w:numPr>
        <w:pStyle w:val="Compact"/>
      </w:pPr>
      <w:r>
        <w:t xml:space="preserve">Su, Liu, Hamdan, Wei et al. </w:t>
      </w:r>
      <w:r>
        <w:t xml:space="preserve">“</w:t>
      </w:r>
      <w:r>
        <w:t xml:space="preserve">Topological data analysis and topological deep learning beyond persistent homology: a review.</w:t>
      </w:r>
      <w:r>
        <w:t xml:space="preserve">”</w:t>
      </w:r>
      <w:r>
        <w:t xml:space="preserve"> </w:t>
      </w:r>
      <w:r>
        <w:t xml:space="preserve">Artificial Intelligence Review, published online December 2025, PMC February 2026.</w:t>
      </w:r>
    </w:p>
    <w:p>
      <w:pPr>
        <w:numPr>
          <w:ilvl w:val="0"/>
          <w:numId w:val="1001"/>
        </w:numPr>
        <w:pStyle w:val="Compact"/>
      </w:pPr>
      <w:r>
        <w:t xml:space="preserve">“</w:t>
      </w:r>
      <w:r>
        <w:t xml:space="preserve">Topological Data Analysis: Foundations, Algorithms, and Emerging Applications.</w:t>
      </w:r>
      <w:r>
        <w:t xml:space="preserve">”</w:t>
      </w:r>
      <w:r>
        <w:t xml:space="preserve"> </w:t>
      </w:r>
      <w:r>
        <w:t xml:space="preserve">MDPI Mathematics, June 2026.</w:t>
      </w:r>
    </w:p>
    <w:p>
      <w:pPr>
        <w:numPr>
          <w:ilvl w:val="0"/>
          <w:numId w:val="1001"/>
        </w:numPr>
        <w:pStyle w:val="Compact"/>
      </w:pPr>
      <w:r>
        <w:t xml:space="preserve">Wang, R., Nguyen, D.D., Wei, G.-W.</w:t>
      </w:r>
      <w:r>
        <w:t xml:space="preserve"> </w:t>
      </w:r>
      <w:r>
        <w:t xml:space="preserve">“</w:t>
      </w:r>
      <w:r>
        <w:t xml:space="preserve">Persistent spectral graph.</w:t>
      </w:r>
      <w:r>
        <w:t xml:space="preserve">”</w:t>
      </w:r>
      <w:r>
        <w:t xml:space="preserve"> </w:t>
      </w:r>
      <w:r>
        <w:t xml:space="preserve">International Journal for Numerical Methods in Biomedical Engineering, 2020 (persistent Laplacian foundational work, cited in AI-aided protein engineering survey, arXiv:2307.14587).</w:t>
      </w:r>
    </w:p>
    <w:p>
      <w:pPr>
        <w:numPr>
          <w:ilvl w:val="0"/>
          <w:numId w:val="1001"/>
        </w:numPr>
        <w:pStyle w:val="Compact"/>
      </w:pPr>
      <w:r>
        <w:t xml:space="preserve">Wang, R., Wei, G.-W.</w:t>
      </w:r>
      <w:r>
        <w:t xml:space="preserve"> </w:t>
      </w:r>
      <w:r>
        <w:t xml:space="preserve">“</w:t>
      </w:r>
      <w:r>
        <w:t xml:space="preserve">Persistent path Laplacian.</w:t>
      </w:r>
      <w:r>
        <w:t xml:space="preserve">”</w:t>
      </w:r>
      <w:r>
        <w:t xml:space="preserve"> </w:t>
      </w:r>
      <w:r>
        <w:t xml:space="preserve">Foundations of Data Science, 2023.</w:t>
      </w:r>
    </w:p>
    <w:p>
      <w:pPr>
        <w:numPr>
          <w:ilvl w:val="0"/>
          <w:numId w:val="1001"/>
        </w:numPr>
        <w:pStyle w:val="Compact"/>
      </w:pPr>
      <w:r>
        <w:t xml:space="preserve">Wei, X., Wei, G.-W.</w:t>
      </w:r>
      <w:r>
        <w:t xml:space="preserve"> </w:t>
      </w:r>
      <w:r>
        <w:t xml:space="preserve">“</w:t>
      </w:r>
      <w:r>
        <w:t xml:space="preserve">Persistent sheaf Laplacians.</w:t>
      </w:r>
      <w:r>
        <w:t xml:space="preserve">”</w:t>
      </w:r>
      <w:r>
        <w:t xml:space="preserve"> </w:t>
      </w:r>
      <w:r>
        <w:t xml:space="preserve">arXiv:2112.10906.</w:t>
      </w:r>
    </w:p>
    <w:p>
      <w:pPr>
        <w:numPr>
          <w:ilvl w:val="0"/>
          <w:numId w:val="1001"/>
        </w:numPr>
        <w:pStyle w:val="Compact"/>
      </w:pPr>
      <w:r>
        <w:t xml:space="preserve">Liu, X., Feng, H., Wu, J., Xia, K.</w:t>
      </w:r>
      <w:r>
        <w:t xml:space="preserve"> </w:t>
      </w:r>
      <w:r>
        <w:t xml:space="preserve">“</w:t>
      </w:r>
      <w:r>
        <w:t xml:space="preserve">Persistent spectral hypergraph based machine learning (PSH-ML) for protein-ligand binding affinity prediction.</w:t>
      </w:r>
      <w:r>
        <w:t xml:space="preserve">”</w:t>
      </w:r>
      <w:r>
        <w:t xml:space="preserve"> </w:t>
      </w:r>
      <w:r>
        <w:t xml:space="preserve">Briefings in Bioinformatics, 2021.</w:t>
      </w:r>
    </w:p>
    <w:p>
      <w:pPr>
        <w:numPr>
          <w:ilvl w:val="0"/>
          <w:numId w:val="1001"/>
        </w:numPr>
        <w:pStyle w:val="Compact"/>
      </w:pPr>
      <w:r>
        <w:t xml:space="preserve">“</w:t>
      </w:r>
      <w:r>
        <w:t xml:space="preserve">Relative Translation Invariant Wasserstein Distance.</w:t>
      </w:r>
      <w:r>
        <w:t xml:space="preserve">”</w:t>
      </w:r>
      <w:r>
        <w:t xml:space="preserve"> </w:t>
      </w:r>
      <w:r>
        <w:t xml:space="preserve">arXiv:2409.02416.</w:t>
      </w:r>
    </w:p>
    <w:p>
      <w:pPr>
        <w:numPr>
          <w:ilvl w:val="0"/>
          <w:numId w:val="1001"/>
        </w:numPr>
        <w:pStyle w:val="Compact"/>
      </w:pPr>
      <w:r>
        <w:t xml:space="preserve">“</w:t>
      </w:r>
      <w:r>
        <w:t xml:space="preserve">Supervised Tree-Wasserstein Distance.</w:t>
      </w:r>
      <w:r>
        <w:t xml:space="preserve">”</w:t>
      </w:r>
      <w:r>
        <w:t xml:space="preserve"> </w:t>
      </w:r>
      <w:r>
        <w:t xml:space="preserve">Proceedings of ICML, PMLR 139, 2021.</w:t>
      </w:r>
    </w:p>
    <w:p>
      <w:pPr>
        <w:numPr>
          <w:ilvl w:val="0"/>
          <w:numId w:val="1001"/>
        </w:numPr>
        <w:pStyle w:val="Compact"/>
      </w:pPr>
      <w:r>
        <w:t xml:space="preserve">“</w:t>
      </w:r>
      <w:r>
        <w:t xml:space="preserve">Order-Preserving Wasserstein Distance for Sequence Matching.</w:t>
      </w:r>
      <w:r>
        <w:t xml:space="preserve">”</w:t>
      </w:r>
      <w:r>
        <w:t xml:space="preserve"> </w:t>
      </w:r>
      <w:r>
        <w:t xml:space="preserve">IEEE Conference Publication, cited 2026.</w:t>
      </w:r>
    </w:p>
    <w:p>
      <w:pPr>
        <w:numPr>
          <w:ilvl w:val="0"/>
          <w:numId w:val="1001"/>
        </w:numPr>
        <w:pStyle w:val="Compact"/>
      </w:pPr>
      <w:r>
        <w:t xml:space="preserve">“</w:t>
      </w:r>
      <w:r>
        <w:t xml:space="preserve">Optimal transport for cross-lingual document retrieval using Regularized Wasserstein Distance.</w:t>
      </w:r>
      <w:r>
        <w:t xml:space="preserve">”</w:t>
      </w:r>
      <w:r>
        <w:t xml:space="preserve"> </w:t>
      </w:r>
      <w:r>
        <w:t xml:space="preserve">ECIR 2018 (Balikas et al.), foundational Word Mover’s Distance application.</w:t>
      </w:r>
    </w:p>
    <w:p>
      <w:pPr>
        <w:numPr>
          <w:ilvl w:val="0"/>
          <w:numId w:val="1001"/>
        </w:numPr>
        <w:pStyle w:val="Compact"/>
      </w:pPr>
      <w:r>
        <w:t xml:space="preserve">“</w:t>
      </w:r>
      <w:r>
        <w:t xml:space="preserve">Optimal Transportation and Alignment Between Gaussian Measures</w:t>
      </w:r>
      <w:r>
        <w:t xml:space="preserve">”</w:t>
      </w:r>
      <w:r>
        <w:t xml:space="preserve"> </w:t>
      </w:r>
      <w:r>
        <w:t xml:space="preserve">(Gromov-Wasserstein background). arXiv:2512.03579.</w:t>
      </w:r>
    </w:p>
    <w:p>
      <w:pPr>
        <w:numPr>
          <w:ilvl w:val="0"/>
          <w:numId w:val="1001"/>
        </w:numPr>
        <w:pStyle w:val="Compact"/>
      </w:pPr>
      <w:r>
        <w:t xml:space="preserve">Wang, Y., Huang, X., Tian, B., et al. </w:t>
      </w:r>
      <w:r>
        <w:t xml:space="preserve">“</w:t>
      </w:r>
      <w:r>
        <w:t xml:space="preserve">QUITO-X: A New Perspective on Context Compression from the Information Bottleneck Theory.</w:t>
      </w:r>
      <w:r>
        <w:t xml:space="preserve">”</w:t>
      </w:r>
      <w:r>
        <w:t xml:space="preserve"> </w:t>
      </w:r>
      <w:r>
        <w:t xml:space="preserve">Findings of ACL: EMNLP 2025, arXiv:2408.10497 (v3 October 2025).</w:t>
      </w:r>
    </w:p>
    <w:p>
      <w:pPr>
        <w:numPr>
          <w:ilvl w:val="0"/>
          <w:numId w:val="1001"/>
        </w:numPr>
        <w:pStyle w:val="Compact"/>
      </w:pPr>
      <w:r>
        <w:t xml:space="preserve">“</w:t>
      </w:r>
      <w:r>
        <w:t xml:space="preserve">Fix the Structural Bottleneck: Context Compression via Explicit Information Transmission.</w:t>
      </w:r>
      <w:r>
        <w:t xml:space="preserve">”</w:t>
      </w:r>
      <w:r>
        <w:t xml:space="preserve"> </w:t>
      </w:r>
      <w:r>
        <w:t xml:space="preserve">arXiv:2602.03784, February 2026.</w:t>
      </w:r>
    </w:p>
    <w:p>
      <w:pPr>
        <w:numPr>
          <w:ilvl w:val="0"/>
          <w:numId w:val="1001"/>
        </w:numPr>
        <w:pStyle w:val="Compact"/>
      </w:pPr>
      <w:r>
        <w:t xml:space="preserve">“</w:t>
      </w:r>
      <w:r>
        <w:t xml:space="preserve">2026-01-06 From Context to EDUs: Faithful and Structured Context Compression.</w:t>
      </w:r>
      <w:r>
        <w:t xml:space="preserve">”</w:t>
      </w:r>
      <w:r>
        <w:t xml:space="preserve"> </w:t>
      </w:r>
      <w:r>
        <w:t xml:space="preserve">arXiv:2512.14244.</w:t>
      </w:r>
    </w:p>
    <w:p>
      <w:pPr>
        <w:numPr>
          <w:ilvl w:val="0"/>
          <w:numId w:val="1001"/>
        </w:numPr>
        <w:pStyle w:val="Compact"/>
      </w:pPr>
      <w:r>
        <w:t xml:space="preserve">“</w:t>
      </w:r>
      <w:r>
        <w:t xml:space="preserve">Concept than Document: Context Compression via AMR-based Conceptual Entropy.</w:t>
      </w:r>
      <w:r>
        <w:t xml:space="preserve">”</w:t>
      </w:r>
      <w:r>
        <w:t xml:space="preserve"> </w:t>
      </w:r>
      <w:r>
        <w:t xml:space="preserve">arXiv:2511.18832.</w:t>
      </w:r>
    </w:p>
    <w:p>
      <w:pPr>
        <w:numPr>
          <w:ilvl w:val="0"/>
          <w:numId w:val="1001"/>
        </w:numPr>
        <w:pStyle w:val="Compact"/>
      </w:pPr>
      <w:r>
        <w:t xml:space="preserve">“</w:t>
      </w:r>
      <w:r>
        <w:t xml:space="preserve">Learning is Forgetting: LLM Training As Lossy Compression.</w:t>
      </w:r>
      <w:r>
        <w:t xml:space="preserve">”</w:t>
      </w:r>
      <w:r>
        <w:t xml:space="preserve"> </w:t>
      </w:r>
      <w:r>
        <w:t xml:space="preserve">ICLR 2026.</w:t>
      </w:r>
    </w:p>
    <w:p>
      <w:pPr>
        <w:numPr>
          <w:ilvl w:val="0"/>
          <w:numId w:val="1001"/>
        </w:numPr>
        <w:pStyle w:val="Compact"/>
      </w:pPr>
      <w:r>
        <w:t xml:space="preserve">Bello, I., Pham, H., Le, Q.V., Norouzi, M., Bengio, S.</w:t>
      </w:r>
      <w:r>
        <w:t xml:space="preserve"> </w:t>
      </w:r>
      <w:r>
        <w:t xml:space="preserve">“</w:t>
      </w:r>
      <w:r>
        <w:t xml:space="preserve">Neural Combinatorial Optimization with Reinforcement Learning.</w:t>
      </w:r>
      <w:r>
        <w:t xml:space="preserve">”</w:t>
      </w:r>
      <w:r>
        <w:t xml:space="preserve"> </w:t>
      </w:r>
      <w:r>
        <w:t xml:space="preserve">Google Research, foundational result (knapsack instances up to 200 items).</w:t>
      </w:r>
    </w:p>
    <w:p>
      <w:pPr>
        <w:numPr>
          <w:ilvl w:val="0"/>
          <w:numId w:val="1001"/>
        </w:numPr>
        <w:pStyle w:val="Compact"/>
      </w:pPr>
      <w:r>
        <w:t xml:space="preserve">“</w:t>
      </w:r>
      <w:r>
        <w:t xml:space="preserve">Neural Networks for Combinatorial Optimization: A Review of More Than a Decade of Research.</w:t>
      </w:r>
      <w:r>
        <w:t xml:space="preserve">”</w:t>
      </w:r>
      <w:r>
        <w:t xml:space="preserve"> </w:t>
      </w:r>
      <w:r>
        <w:t xml:space="preserve">INFORMS Journal on Computing, 2026, including</w:t>
      </w:r>
      <w:r>
        <w:t xml:space="preserve"> </w:t>
      </w:r>
      <w:r>
        <w:t xml:space="preserve">“</w:t>
      </w:r>
      <w:r>
        <w:t xml:space="preserve">Provably Good Solutions to the Knapsack Problem via Neural Networks of Bounded Size</w:t>
      </w:r>
      <w:r>
        <w:t xml:space="preserve">”</w:t>
      </w:r>
      <w:r>
        <w:t xml:space="preserve"> </w:t>
      </w:r>
      <w:r>
        <w:t xml:space="preserve">and</w:t>
      </w:r>
      <w:r>
        <w:t xml:space="preserve"> </w:t>
      </w:r>
      <w:r>
        <w:t xml:space="preserve">“</w:t>
      </w:r>
      <w:r>
        <w:t xml:space="preserve">Neural combinatorial optimization with reinforcement learning in industrial engineering: a survey</w:t>
      </w:r>
      <w:r>
        <w:t xml:space="preserve">”</w:t>
      </w:r>
      <w:r>
        <w:t xml:space="preserve"> </w:t>
      </w:r>
      <w:r>
        <w:t xml:space="preserve">(Artificial Intelligence Review, February 2025).</w:t>
      </w:r>
    </w:p>
    <w:p>
      <w:pPr>
        <w:numPr>
          <w:ilvl w:val="0"/>
          <w:numId w:val="1001"/>
        </w:numPr>
        <w:pStyle w:val="Compact"/>
      </w:pPr>
      <w:r>
        <w:t xml:space="preserve">“</w:t>
      </w:r>
      <w:r>
        <w:t xml:space="preserve">RL4CO: an Extensive Reinforcement Learning for Combinatorial Optimization Benchmark.</w:t>
      </w:r>
      <w:r>
        <w:t xml:space="preserve">”</w:t>
      </w:r>
      <w:r>
        <w:t xml:space="preserve"> </w:t>
      </w:r>
      <w:r>
        <w:t xml:space="preserve">arXiv:2306.17100.</w:t>
      </w:r>
    </w:p>
    <w:p>
      <w:pPr>
        <w:numPr>
          <w:ilvl w:val="0"/>
          <w:numId w:val="1001"/>
        </w:numPr>
        <w:pStyle w:val="Compact"/>
      </w:pPr>
      <w:r>
        <w:t xml:space="preserve">Sun, Z., Yang, Y.</w:t>
      </w:r>
      <w:r>
        <w:t xml:space="preserve"> </w:t>
      </w:r>
      <w:r>
        <w:t xml:space="preserve">“</w:t>
      </w:r>
      <w:r>
        <w:t xml:space="preserve">DIFUSCO: Graph-based Diffusion Solvers for Combinatorial Optimization.</w:t>
      </w:r>
      <w:r>
        <w:t xml:space="preserve">”</w:t>
      </w:r>
      <w:r>
        <w:t xml:space="preserve"> </w:t>
      </w:r>
      <w:r>
        <w:t xml:space="preserve">arXiv:2302.08224.</w:t>
      </w:r>
    </w:p>
    <w:p>
      <w:pPr>
        <w:numPr>
          <w:ilvl w:val="0"/>
          <w:numId w:val="1001"/>
        </w:numPr>
        <w:pStyle w:val="Compact"/>
      </w:pPr>
      <w:r>
        <w:t xml:space="preserve">GitHub: Thinklab-SJTU/awesome-ml4co, curated survey of ML-for-combinatorial-optimization literature, accessed 2026.</w:t>
      </w:r>
    </w:p>
    <w:p>
      <w:pPr>
        <w:numPr>
          <w:ilvl w:val="0"/>
          <w:numId w:val="1001"/>
        </w:numPr>
        <w:pStyle w:val="Compact"/>
      </w:pPr>
      <w:r>
        <w:t xml:space="preserve">“</w:t>
      </w:r>
      <w:r>
        <w:t xml:space="preserve">Higher-Order Learning with Graph Neural Networks via Hypergraph Encodings.</w:t>
      </w:r>
      <w:r>
        <w:t xml:space="preserve">”</w:t>
      </w:r>
      <w:r>
        <w:t xml:space="preserve"> </w:t>
      </w:r>
      <w:r>
        <w:t xml:space="preserve">OpenReview / NeurIPS 2025 poster, September 2025.</w:t>
      </w:r>
    </w:p>
    <w:p>
      <w:pPr>
        <w:numPr>
          <w:ilvl w:val="0"/>
          <w:numId w:val="1001"/>
        </w:numPr>
        <w:pStyle w:val="Compact"/>
      </w:pPr>
      <w:r>
        <w:t xml:space="preserve">“</w:t>
      </w:r>
      <w:r>
        <w:t xml:space="preserve">Implicit Hypergraph Neural Networks: A Stable Framework for Higher-Order Relational Learning with Provable Guarantees.</w:t>
      </w:r>
      <w:r>
        <w:t xml:space="preserve">”</w:t>
      </w:r>
      <w:r>
        <w:t xml:space="preserve"> </w:t>
      </w:r>
      <w:r>
        <w:t xml:space="preserve">arXiv:2508.09427, August 2025.</w:t>
      </w:r>
    </w:p>
    <w:p>
      <w:pPr>
        <w:numPr>
          <w:ilvl w:val="0"/>
          <w:numId w:val="1001"/>
        </w:numPr>
        <w:pStyle w:val="Compact"/>
      </w:pPr>
      <w:r>
        <w:t xml:space="preserve">“</w:t>
      </w:r>
      <w:r>
        <w:t xml:space="preserve">Hypergraph Neural Networks</w:t>
      </w:r>
      <w:r>
        <w:t xml:space="preserve">”</w:t>
      </w:r>
      <w:r>
        <w:t xml:space="preserve"> </w:t>
      </w:r>
      <w:r>
        <w:t xml:space="preserve">topic survey. EmergentMind, citing Yang et al. taxonomy, March 2025.</w:t>
      </w:r>
    </w:p>
    <w:p>
      <w:pPr>
        <w:numPr>
          <w:ilvl w:val="0"/>
          <w:numId w:val="1001"/>
        </w:numPr>
        <w:pStyle w:val="Compact"/>
      </w:pPr>
      <w:r>
        <w:t xml:space="preserve">Liu, H., Li, X., Liu, B., Jiang, D., Liu, Y., Ren, B.</w:t>
      </w:r>
      <w:r>
        <w:t xml:space="preserve"> </w:t>
      </w:r>
      <w:r>
        <w:t xml:space="preserve">“</w:t>
      </w:r>
      <w:r>
        <w:t xml:space="preserve">Neural collaborative graph machines for table structure recognition.</w:t>
      </w:r>
      <w:r>
        <w:t xml:space="preserve">”</w:t>
      </w:r>
      <w:r>
        <w:t xml:space="preserve"> </w:t>
      </w:r>
      <w:r>
        <w:t xml:space="preserve">CVPR 2022.</w:t>
      </w:r>
    </w:p>
    <w:p>
      <w:pPr>
        <w:numPr>
          <w:ilvl w:val="0"/>
          <w:numId w:val="1001"/>
        </w:numPr>
        <w:pStyle w:val="Compact"/>
      </w:pPr>
      <w:r>
        <w:t xml:space="preserve">Xue, W., Yu, B., Wang, W., Tao, D., Li, Q.</w:t>
      </w:r>
      <w:r>
        <w:t xml:space="preserve"> </w:t>
      </w:r>
      <w:r>
        <w:t xml:space="preserve">“</w:t>
      </w:r>
      <w:r>
        <w:t xml:space="preserve">TGRNet: A table graph reconstruction network for table structure recognition.</w:t>
      </w:r>
      <w:r>
        <w:t xml:space="preserve">”</w:t>
      </w:r>
      <w:r>
        <w:t xml:space="preserve"> </w:t>
      </w:r>
      <w:r>
        <w:t xml:space="preserve">ICCV 2021.</w:t>
      </w:r>
    </w:p>
    <w:p>
      <w:pPr>
        <w:numPr>
          <w:ilvl w:val="0"/>
          <w:numId w:val="1001"/>
        </w:numPr>
        <w:pStyle w:val="Compact"/>
      </w:pPr>
      <w:r>
        <w:t xml:space="preserve">Nassar, A., Livathinos, N., Lysak, M., Staar, P.</w:t>
      </w:r>
      <w:r>
        <w:t xml:space="preserve"> </w:t>
      </w:r>
      <w:r>
        <w:t xml:space="preserve">“</w:t>
      </w:r>
      <w:r>
        <w:t xml:space="preserve">TableFormer: Table structure understanding with transformers.</w:t>
      </w:r>
      <w:r>
        <w:t xml:space="preserve">”</w:t>
      </w:r>
      <w:r>
        <w:t xml:space="preserve"> </w:t>
      </w:r>
      <w:r>
        <w:t xml:space="preserve">CVPR 2022 (cross-referenced from this report’s Comparative Landscape companion, Section 3.2).</w:t>
      </w:r>
    </w:p>
    <w:bookmarkStart w:id="79" w:name="X79bc9f1f5e0d821a7370cc8e22f003d2124fac4"/>
    <w:p>
      <w:pPr>
        <w:pStyle w:val="Heading3"/>
      </w:pPr>
      <w:r>
        <w:t xml:space="preserve">A Note on This Report’s Own Evidentiary Status</w:t>
      </w:r>
    </w:p>
    <w:p>
      <w:pPr>
        <w:pStyle w:val="FirstParagraph"/>
      </w:pPr>
      <w:r>
        <w:t xml:space="preserve">Every technique in this report is a</w:t>
      </w:r>
      <w:r>
        <w:t xml:space="preserve"> </w:t>
      </w:r>
      <w:r>
        <w:rPr>
          <w:iCs/>
          <w:i/>
        </w:rPr>
        <w:t xml:space="preserve">proposal</w:t>
      </w:r>
      <w:r>
        <w:t xml:space="preserve"> </w:t>
      </w:r>
      <w:r>
        <w:t xml:space="preserve">in the monograph’s own three-tier evidentiary vocabulary (Established / Demonstrated-at-small-scale / Proposed, per the Feasibility and Validation Report) — none has been implemented or tested against AEGIS’s reference codebase. This report’s contribution is identifying and prioritizing well-grounded candidates, not advancing any of them to a higher evidentiary tier; that advancement, per Section 9’s roadmap and Section 10.3’s verification-burden note, remains future work.</w:t>
      </w:r>
    </w:p>
    <w:bookmarkEnd w:id="79"/>
    <w:bookmarkEnd w:id="80"/>
    <w:bookmarkEnd w:id="81"/>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2026-07-18T10:07:13Z</dcterms:created>
  <dcterms:modified xsi:type="dcterms:W3CDTF">2026-07-18T10:07:13Z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Mathematical, Graph-Theoretic, and Scientific Enhancement Research: Candidate Techniques for System Improvement</vt:lpwstr>
  </property>
</Properties>
</file>