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MVP</w:t>
      </w:r>
      <w:r>
        <w:t xml:space="preserve"> </w:t>
      </w:r>
      <w:r>
        <w:t xml:space="preserve">Development</w:t>
      </w:r>
      <w:r>
        <w:t xml:space="preserve"> </w:t>
      </w:r>
      <w:r>
        <w:t xml:space="preserve">and</w:t>
      </w:r>
      <w:r>
        <w:t xml:space="preserve"> </w:t>
      </w:r>
      <w:r>
        <w:t xml:space="preserve">Implementation</w:t>
      </w:r>
      <w:r>
        <w:t xml:space="preserve"> </w:t>
      </w:r>
      <w:r>
        <w:t xml:space="preserve">Plan</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What</w:t>
      </w:r>
      <w:r>
        <w:t xml:space="preserve"> </w:t>
      </w:r>
      <w:r>
        <w:t xml:space="preserve">“</w:t>
      </w:r>
      <w:r>
        <w:t xml:space="preserve">MVP</w:t>
      </w:r>
      <w:r>
        <w:t xml:space="preserve">”</w:t>
      </w:r>
      <w:r>
        <w:t xml:space="preserve"> </w:t>
      </w:r>
      <w:r>
        <w:t xml:space="preserve">Means Here, and Why That Definition …………………………. 4</w:t>
      </w:r>
      <w:r>
        <w:br/>
      </w:r>
      <w:r>
        <w:t xml:space="preserve">2. Detailed Scope: What Ships in the MVP …………………………………. 6</w:t>
      </w:r>
      <w:r>
        <w:br/>
      </w:r>
      <w:r>
        <w:t xml:space="preserve">3. Current State vs. MVP Requirements: The Actual Gap ……………………… 8</w:t>
      </w:r>
      <w:r>
        <w:br/>
      </w:r>
      <w:r>
        <w:t xml:space="preserve">4. Phased Implementation Plan …………………………………………… 10</w:t>
      </w:r>
      <w:r>
        <w:br/>
      </w:r>
      <w:r>
        <w:t xml:space="preserve">5. Team and Resourcing …………………………………………………. 12</w:t>
      </w:r>
      <w:r>
        <w:br/>
      </w:r>
      <w:r>
        <w:t xml:space="preserve">6. MVP Acceptance Criteria ……………………………………………… 13</w:t>
      </w:r>
      <w:r>
        <w:br/>
      </w:r>
      <w:r>
        <w:t xml:space="preserve">7. MVP-Specific Risk Register …………………………………………… 14</w:t>
      </w:r>
      <w:r>
        <w:br/>
      </w:r>
      <w:r>
        <w:t xml:space="preserve">8. Post-MVP Roadmap: Where Everything Else Goes …………………………… 16</w:t>
      </w:r>
      <w:r>
        <w:br/>
      </w:r>
      <w:r>
        <w:t xml:space="preserve">Conclusion ……………………………………………………………. 17</w:t>
      </w:r>
    </w:p>
    <w:bookmarkEnd w:id="20"/>
    <w:bookmarkStart w:id="58" w:name="executive-summary"/>
    <w:p>
      <w:pPr>
        <w:pStyle w:val="Heading1"/>
      </w:pPr>
      <w:r>
        <w:t xml:space="preserve">Executive Summary</w:t>
      </w:r>
    </w:p>
    <w:p>
      <w:pPr>
        <w:pStyle w:val="FirstParagraph"/>
      </w:pPr>
      <w:r>
        <w:t xml:space="preserve">Nine documents and five hands-on engineering sessions now exist for AEGIS-DocIntel: an architectural monograph describing a twelve-engine, multimodal, GraphRAG-adjacent document intelligence operating system; a feasibility report, a test-cases document, and a comparative landscape report assessing that architecture’s readiness and standing; three research documents proposing further mathematical, physics, and number-theory extensions; a master task list and next-steps plan organizing all of it into a 62-task backlog; and, most recently, five sessions of direct repository work that found and fixed a genuine, multi-layer tenant-isolation vulnerability, a cache-invalidation bug that silently defeated the semantic cache’s entire purpose, an inverted LFU eviction tie-break, a hard network dependency that crashed the application outright, and a duplicated, diverged source tree that made</w:t>
      </w:r>
      <w:r>
        <w:t xml:space="preserve"> </w:t>
      </w:r>
      <w:r>
        <w:t xml:space="preserve">“</w:t>
      </w:r>
      <w:r>
        <w:t xml:space="preserve">the codebase</w:t>
      </w:r>
      <w:r>
        <w:t xml:space="preserve">”</w:t>
      </w:r>
      <w:r>
        <w:t xml:space="preserve"> </w:t>
      </w:r>
      <w:r>
        <w:t xml:space="preserve">ambiguous.</w:t>
      </w:r>
    </w:p>
    <w:p>
      <w:pPr>
        <w:pStyle w:val="BodyText"/>
      </w:pPr>
      <w:r>
        <w:t xml:space="preserve">This document is deliberately narrower than everything that came before it. Its purpose is to define what an actual</w:t>
      </w:r>
      <w:r>
        <w:t xml:space="preserve"> </w:t>
      </w:r>
      <w:r>
        <w:rPr>
          <w:bCs/>
          <w:b/>
        </w:rPr>
        <w:t xml:space="preserve">Minimum Viable Product</w:t>
      </w:r>
      <w:r>
        <w:t xml:space="preserve"> </w:t>
      </w:r>
      <w:r>
        <w:t xml:space="preserve">looks like — not the full twelve-engine architecture, not the multimodal or GraphRAG extensions, not the physics/number-theory research program — and to lay out exactly how to build and ship it, using what this body of work has already verified as real rather than what the monograph describes as eventually intended.</w:t>
      </w:r>
    </w:p>
    <w:p>
      <w:pPr>
        <w:pStyle w:val="BodyText"/>
      </w:pPr>
      <w:r>
        <w:rPr>
          <w:bCs/>
          <w:b/>
        </w:rPr>
        <w:t xml:space="preserve">The MVP scope, stated plainly up front:</w:t>
      </w:r>
      <w:r>
        <w:t xml:space="preserve"> </w:t>
      </w:r>
      <w:r>
        <w:t xml:space="preserve">a single-tenant-safe, structure-aware document question-answering service built on exactly the three components this entire body of work has independently verified as mathematically correct, tested, and now production-hardened — reading-order recovery (monograph Section 6), structure-aware chunking (Section 7), and budget-constrained context packing (Section 9) — wrapped in the tenant-isolated, CI-gated, dependency-pinned infrastructure the last five sessions actually built. Everything else this body of work has proposed — the remaining nine mathematical engines, multimodal retrieval, GraphRAG, submodular optimization, persistent homology, and every physics/number-theory concept — is explicitly out of MVP scope, named in Section 3 as deliberately deferred, not forgotten.</w:t>
      </w:r>
    </w:p>
    <w:p>
      <w:pPr>
        <w:pStyle w:val="BodyText"/>
      </w:pPr>
      <w:r>
        <w:t xml:space="preserve">This is, in a specific sense, the least novel document in this entire body of work, and that is intentional: an MVP plan’s job is to say no to nearly everything interesting in service of shipping something real, and Section 3’s scope cuts are where this document does that job.</w:t>
      </w:r>
    </w:p>
    <w:bookmarkStart w:id="28" w:name="Xd5c0a8175a359c1bacda48d9620031521c942f4"/>
    <w:p>
      <w:pPr>
        <w:pStyle w:val="Heading2"/>
      </w:pPr>
      <w:r>
        <w:t xml:space="preserve">1. What</w:t>
      </w:r>
      <w:r>
        <w:t xml:space="preserve"> </w:t>
      </w:r>
      <w:r>
        <w:t xml:space="preserve">“</w:t>
      </w:r>
      <w:r>
        <w:t xml:space="preserve">MVP</w:t>
      </w:r>
      <w:r>
        <w:t xml:space="preserve">”</w:t>
      </w:r>
      <w:r>
        <w:t xml:space="preserve"> </w:t>
      </w:r>
      <w:r>
        <w:t xml:space="preserve">Means Here, and Why That Definition</w:t>
      </w:r>
    </w:p>
    <w:bookmarkStart w:id="21" w:name="the-test-this-document-applies"/>
    <w:p>
      <w:pPr>
        <w:pStyle w:val="Heading3"/>
      </w:pPr>
      <w:r>
        <w:t xml:space="preserve">1.1 The Test This Document Applies</w:t>
      </w:r>
    </w:p>
    <w:p>
      <w:pPr>
        <w:pStyle w:val="FirstParagraph"/>
      </w:pPr>
      <w:r>
        <w:t xml:space="preserve">An MVP is the smallest version of a product that (a) delivers a genuine, differentiated unit of value to a real user, (b) can be operated safely — meaning it will not leak one customer’s data to another, will not crash on a routine deployment condition, and will not silently produce wrong answers with no way to detect it — and (c) is small enough to actually ship on a near-term timeline rather than requiring the full architecture to be complete first. Every scope decision in Section 3 is made against this three-part test, not against</w:t>
      </w:r>
      <w:r>
        <w:t xml:space="preserve"> </w:t>
      </w:r>
      <w:r>
        <w:t xml:space="preserve">“</w:t>
      </w:r>
      <w:r>
        <w:t xml:space="preserve">what would be impressive</w:t>
      </w:r>
      <w:r>
        <w:t xml:space="preserve">”</w:t>
      </w:r>
      <w:r>
        <w:t xml:space="preserve"> </w:t>
      </w:r>
      <w:r>
        <w:t xml:space="preserve">or</w:t>
      </w:r>
      <w:r>
        <w:t xml:space="preserve"> </w:t>
      </w:r>
      <w:r>
        <w:t xml:space="preserve">“</w:t>
      </w:r>
      <w:r>
        <w:t xml:space="preserve">what the monograph describes.</w:t>
      </w:r>
      <w:r>
        <w:t xml:space="preserve">”</w:t>
      </w:r>
    </w:p>
    <w:bookmarkEnd w:id="21"/>
    <w:bookmarkStart w:id="22" w:name="X7757188a48d839c7c807cedfdf9bf386588a6ad"/>
    <w:p>
      <w:pPr>
        <w:pStyle w:val="Heading3"/>
      </w:pPr>
      <w:r>
        <w:t xml:space="preserve">1.2 Why the MVP Centers on Exactly Three Components</w:t>
      </w:r>
    </w:p>
    <w:p>
      <w:pPr>
        <w:pStyle w:val="FirstParagraph"/>
      </w:pPr>
      <w:r>
        <w:t xml:space="preserve">Across every document in this body of work, one finding recurs without exception: AEGIS’s mathematics is ahead of its evidence, and the</w:t>
      </w:r>
      <w:r>
        <w:t xml:space="preserve"> </w:t>
      </w:r>
      <w:r>
        <w:rPr>
          <w:iCs/>
          <w:i/>
        </w:rPr>
        <w:t xml:space="preserve">specific</w:t>
      </w:r>
      <w:r>
        <w:t xml:space="preserve"> </w:t>
      </w:r>
      <w:r>
        <w:t xml:space="preserve">components where that evidence gap has actually been closed — proven, implemented, and tested against both synthetic adversarial input and, as of the last five sessions, real production-hardening work — are reading-order recovery (Theorem 6.1’s acyclicity proof, Theorem 6.2’s determinism proof, both verified in the Implementation and Credibility Test Cases document), structure-aware chunking (the four-rule elastic chunker, verified against the specific defect it replaced), and budget-constrained context packing (the exact/greedy/Lagrangian solver hierarchy, with a proven approximation bound on the fallback path). Nothing else in the twelve-engine architecture has this combination of a mathematical guarantee, a passing test suite, and now, real hardening against actual production failure modes. An MVP built around anything else would be building on the part of AEGIS this body of work has itself repeatedly flagged as least ready.</w:t>
      </w:r>
    </w:p>
    <w:bookmarkEnd w:id="22"/>
    <w:bookmarkStart w:id="23" w:name="Xd365a87ee0b486b49d392df1b2129402e0323ce"/>
    <w:p>
      <w:pPr>
        <w:pStyle w:val="Heading3"/>
      </w:pPr>
      <w:r>
        <w:t xml:space="preserve">1.3 Why the MVP Also Centers on the Last Five Sessions’ Work, Not Just the Monograph</w:t>
      </w:r>
    </w:p>
    <w:p>
      <w:pPr>
        <w:pStyle w:val="FirstParagraph"/>
      </w:pPr>
      <w:r>
        <w:t xml:space="preserve">A second, equally important input to this MVP’s scope is not in the monograph at all: the five hands-on repository sessions that fixed a real cross-layer tenant-isolation vulnerability (orchestrator storage, the document service, HTTP routes, and a completely unauthenticated WebSocket endpoint), a semantic-cache bug that silently defeated the cache’s entire purpose after the first document edit, an inverted cache-eviction tie-break, a hard network dependency that crashed the whole application with no internet access, and a duplicated, diverged source tree. None of these are features — they are the specific things that make the difference between</w:t>
      </w:r>
      <w:r>
        <w:t xml:space="preserve"> </w:t>
      </w:r>
      <w:r>
        <w:t xml:space="preserve">“</w:t>
      </w:r>
      <w:r>
        <w:t xml:space="preserve">a research prototype with good theorems</w:t>
      </w:r>
      <w:r>
        <w:t xml:space="preserve">”</w:t>
      </w:r>
      <w:r>
        <w:t xml:space="preserve"> </w:t>
      </w:r>
      <w:r>
        <w:t xml:space="preserve">and</w:t>
      </w:r>
      <w:r>
        <w:t xml:space="preserve"> </w:t>
      </w:r>
      <w:r>
        <w:t xml:space="preserve">“</w:t>
      </w:r>
      <w:r>
        <w:t xml:space="preserve">a system safe to hand to a real customer with real other customers’ data sitting next to theirs.</w:t>
      </w:r>
      <w:r>
        <w:t xml:space="preserve">”</w:t>
      </w:r>
      <w:r>
        <w:t xml:space="preserve"> </w:t>
      </w:r>
      <w:r>
        <w:t xml:space="preserve">An MVP plan that did not treat this hardening work as a first-class, load-bearing part of its foundation would be repeating the exact mistake this body of work’s Feasibility and Validation Report warned against from its very first document: mathematical elegance and production readiness are different claims, and only the second one is what an MVP actually needs.</w:t>
      </w:r>
    </w:p>
    <w:bookmarkEnd w:id="23"/>
    <w:bookmarkStart w:id="27" w:name="what-minimum-excludes-at-a-glance"/>
    <w:p>
      <w:pPr>
        <w:pStyle w:val="Heading3"/>
      </w:pPr>
      <w:r>
        <w:t xml:space="preserve">1.4 What</w:t>
      </w:r>
      <w:r>
        <w:t xml:space="preserve"> </w:t>
      </w:r>
      <w:r>
        <w:t xml:space="preserve">“</w:t>
      </w:r>
      <w:r>
        <w:t xml:space="preserve">Minimum</w:t>
      </w:r>
      <w:r>
        <w:t xml:space="preserve">”</w:t>
      </w:r>
      <w:r>
        <w:t xml:space="preserve"> </w:t>
      </w:r>
      <w:r>
        <w:t xml:space="preserve">Excludes, at a Glance</w:t>
      </w:r>
    </w:p>
    <w:p>
      <w:pPr>
        <w:pStyle w:val="FirstParagraph"/>
      </w:pPr>
      <w:r>
        <w:t xml:space="preserve">Table 1.1 gives the one-line version of Section 3’s full scope cuts, for a reader who wants the conclusion before the reasoning.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 MVP scope</w:t>
            </w:r>
          </w:p>
        </w:tc>
        <w:tc>
          <w:tcPr/>
          <w:p>
            <w:pPr>
              <w:pStyle w:val="Compact"/>
              <w:jc w:val="left"/>
            </w:pPr>
            <w:r>
              <w:t xml:space="preserve">Explicitly out of MVP scope</w:t>
            </w:r>
          </w:p>
        </w:tc>
      </w:tr>
      <w:tr>
        <w:tc>
          <w:tcPr/>
          <w:p>
            <w:pPr>
              <w:pStyle w:val="Compact"/>
              <w:jc w:val="left"/>
            </w:pPr>
            <w:r>
              <w:t xml:space="preserve">Reading-order recovery, elastic chunking, knapsack context packing (Sections 6, 7, 9)</w:t>
            </w:r>
          </w:p>
        </w:tc>
        <w:tc>
          <w:tcPr/>
          <w:p>
            <w:pPr>
              <w:pStyle w:val="Compact"/>
              <w:jc w:val="left"/>
            </w:pPr>
            <w:r>
              <w:t xml:space="preserve">The remaining nine mathematical engines (Topology, Tensor, Info Physics, etc.)</w:t>
            </w:r>
          </w:p>
        </w:tc>
      </w:tr>
      <w:tr>
        <w:tc>
          <w:tcPr/>
          <w:p>
            <w:pPr>
              <w:pStyle w:val="Compact"/>
              <w:jc w:val="left"/>
            </w:pPr>
            <w:r>
              <w:t xml:space="preserve">Text-only document ingestion (PDF, DOCX, plain text)</w:t>
            </w:r>
          </w:p>
        </w:tc>
        <w:tc>
          <w:tcPr/>
          <w:p>
            <w:pPr>
              <w:pStyle w:val="Compact"/>
              <w:jc w:val="left"/>
            </w:pPr>
            <w:r>
              <w:t xml:space="preserve">Multimodal image/flowchart retrieval (semantic engine remains a structurally-verified mock per this body of work’s own repeated finding)</w:t>
            </w:r>
          </w:p>
        </w:tc>
      </w:tr>
      <w:tr>
        <w:tc>
          <w:tcPr/>
          <w:p>
            <w:pPr>
              <w:pStyle w:val="Compact"/>
              <w:jc w:val="left"/>
            </w:pPr>
            <w:r>
              <w:t xml:space="preserve">Single hybrid retrieval path (dense + lexical, RRF-fused)</w:t>
            </w:r>
          </w:p>
        </w:tc>
        <w:tc>
          <w:tcPr/>
          <w:p>
            <w:pPr>
              <w:pStyle w:val="Compact"/>
              <w:jc w:val="left"/>
            </w:pPr>
            <w:r>
              <w:t xml:space="preserve">The full seven-method fusion; GraphRAG; submodular optimization; every physics/number-theory research concept</w:t>
            </w:r>
          </w:p>
        </w:tc>
      </w:tr>
      <w:tr>
        <w:tc>
          <w:tcPr/>
          <w:p>
            <w:pPr>
              <w:pStyle w:val="Compact"/>
              <w:jc w:val="left"/>
            </w:pPr>
            <w:r>
              <w:t xml:space="preserve">Tenant-isolated, single-region deployment</w:t>
            </w:r>
          </w:p>
        </w:tc>
        <w:tc>
          <w:tcPr/>
          <w:p>
            <w:pPr>
              <w:pStyle w:val="Compact"/>
              <w:jc w:val="left"/>
            </w:pPr>
            <w:r>
              <w:t xml:space="preserve">The full 100M-document production topology (distributed batch ingestion, multi-region, the four-tier operational cache in full)</w:t>
            </w:r>
          </w:p>
        </w:tc>
      </w:tr>
      <w:tr>
        <w:tc>
          <w:tcPr/>
          <w:p>
            <w:pPr>
              <w:pStyle w:val="Compact"/>
              <w:jc w:val="left"/>
            </w:pPr>
            <w:r>
              <w:t xml:space="preserve">Citation-grounded answers with a basic verification pass</w:t>
            </w:r>
          </w:p>
        </w:tc>
        <w:tc>
          <w:tcPr/>
          <w:p>
            <w:pPr>
              <w:pStyle w:val="Compact"/>
              <w:jc w:val="left"/>
            </w:pPr>
            <w:r>
              <w:t xml:space="preserve">Full hallucination-rate benchmarking against Vectara-comparable methodology (tracked, not blocking)</w:t>
            </w:r>
          </w:p>
        </w:tc>
      </w:tr>
      <w:tr>
        <w:tc>
          <w:tcPr/>
          <w:p>
            <w:pPr>
              <w:pStyle w:val="Compact"/>
              <w:jc w:val="left"/>
            </w:pPr>
            <w:r>
              <w:t xml:space="preserve">A LangChain/LlamaIndex-compatible connector (per the Comparative Landscape Report’s positioning recommendation)</w:t>
            </w:r>
          </w:p>
        </w:tc>
        <w:tc>
          <w:tcPr/>
          <w:p>
            <w:pPr>
              <w:pStyle w:val="Compact"/>
              <w:jc w:val="left"/>
            </w:pPr>
            <w:r>
              <w:t xml:space="preserve">A standalone orchestration-framework competitor</w:t>
            </w:r>
          </w:p>
        </w:tc>
      </w:tr>
    </w:tbl>
    <w:p>
      <w:pPr>
        <w:pStyle w:val="CaptionedFigure"/>
      </w:pPr>
      <w:r>
        <w:drawing>
          <wp:inline>
            <wp:extent cx="5760720" cy="3072384"/>
            <wp:effectExtent b="0" l="0" r="0" t="0"/>
            <wp:docPr descr="Figure 1. MVP scope boundary." title="" id="25" name="Picture"/>
            <a:graphic>
              <a:graphicData uri="http://schemas.openxmlformats.org/drawingml/2006/picture">
                <pic:pic>
                  <pic:nvPicPr>
                    <pic:cNvPr descr="../paper/figures/fig9_mvp_scope.png" id="26" name="Picture"/>
                    <pic:cNvPicPr>
                      <a:picLocks noChangeArrowheads="1" noChangeAspect="1"/>
                    </pic:cNvPicPr>
                  </pic:nvPicPr>
                  <pic:blipFill>
                    <a:blip r:embed="rId24"/>
                    <a:stretch>
                      <a:fillRect/>
                    </a:stretch>
                  </pic:blipFill>
                  <pic:spPr bwMode="auto">
                    <a:xfrm>
                      <a:off x="0" y="0"/>
                      <a:ext cx="5760720" cy="3072384"/>
                    </a:xfrm>
                    <a:prstGeom prst="rect">
                      <a:avLst/>
                    </a:prstGeom>
                    <a:noFill/>
                    <a:ln w="9525">
                      <a:noFill/>
                      <a:headEnd/>
                      <a:tailEnd/>
                    </a:ln>
                  </pic:spPr>
                </pic:pic>
              </a:graphicData>
            </a:graphic>
          </wp:inline>
        </w:drawing>
      </w:r>
    </w:p>
    <w:p>
      <w:pPr>
        <w:pStyle w:val="ImageCaption"/>
      </w:pPr>
      <w:r>
        <w:t xml:space="preserve">Figure 1. MVP scope boundary.</w:t>
      </w:r>
    </w:p>
    <w:bookmarkEnd w:id="27"/>
    <w:bookmarkEnd w:id="28"/>
    <w:bookmarkStart w:id="36" w:name="detailed-scope-what-ships-in-the-mvp"/>
    <w:p>
      <w:pPr>
        <w:pStyle w:val="Heading2"/>
      </w:pPr>
      <w:r>
        <w:t xml:space="preserve">2. Detailed Scope: What Ships in the MVP</w:t>
      </w:r>
    </w:p>
    <w:bookmarkStart w:id="29" w:name="ingestion"/>
    <w:p>
      <w:pPr>
        <w:pStyle w:val="Heading3"/>
      </w:pPr>
      <w:r>
        <w:t xml:space="preserve">2.1 Ingestion</w:t>
      </w:r>
    </w:p>
    <w:p>
      <w:pPr>
        <w:pStyle w:val="FirstParagraph"/>
      </w:pPr>
      <w:r>
        <w:rPr>
          <w:bCs/>
          <w:b/>
        </w:rPr>
        <w:t xml:space="preserve">In scope:</w:t>
      </w:r>
      <w:r>
        <w:t xml:space="preserve"> </w:t>
      </w:r>
      <w:r>
        <w:t xml:space="preserve">PDF, DOCX, and plain-text ingestion via the existing</w:t>
      </w:r>
      <w:r>
        <w:t xml:space="preserve"> </w:t>
      </w:r>
      <w:r>
        <w:rPr>
          <w:rStyle w:val="VerbatimChar"/>
        </w:rPr>
        <w:t xml:space="preserve">src/main.py</w:t>
      </w:r>
      <w:r>
        <w:t xml:space="preserve"> </w:t>
      </w:r>
      <w:r>
        <w:t xml:space="preserve">FastAPI pipeline, through parsing, OCR (for scanned PDFs), and layout detection into the element-tuple representation (monograph Section 5.2) already implemented and tested.</w:t>
      </w:r>
      <w:r>
        <w:t xml:space="preserve"> </w:t>
      </w:r>
      <w:r>
        <w:rPr>
          <w:bCs/>
          <w:b/>
        </w:rPr>
        <w:t xml:space="preserve">Out of scope:</w:t>
      </w:r>
      <w:r>
        <w:t xml:space="preserve"> </w:t>
      </w:r>
      <w:r>
        <w:t xml:space="preserve">the ingestion-anomaly and PII-redaction pre-LLM components specified in the Pre-LLM Component Expansion document — both are real, well-specified, and Critical-priority in that document’s own terms, but neither has been implemented against the actual codebase yet, and per Section 1.1’s test,</w:t>
      </w:r>
      <w:r>
        <w:t xml:space="preserve"> </w:t>
      </w:r>
      <w:r>
        <w:t xml:space="preserve">“</w:t>
      </w:r>
      <w:r>
        <w:t xml:space="preserve">specified but not built</w:t>
      </w:r>
      <w:r>
        <w:t xml:space="preserve">”</w:t>
      </w:r>
      <w:r>
        <w:t xml:space="preserve"> </w:t>
      </w:r>
      <w:r>
        <w:t xml:space="preserve">fails the MVP bar. They are named explicitly in Section 7 as the first post-MVP priority, not dropped.</w:t>
      </w:r>
    </w:p>
    <w:bookmarkEnd w:id="29"/>
    <w:bookmarkStart w:id="30" w:name="the-mathematical-core"/>
    <w:p>
      <w:pPr>
        <w:pStyle w:val="Heading3"/>
      </w:pPr>
      <w:r>
        <w:t xml:space="preserve">2.2 The Mathematical Core</w:t>
      </w:r>
    </w:p>
    <w:p>
      <w:pPr>
        <w:pStyle w:val="FirstParagraph"/>
      </w:pPr>
      <w:r>
        <w:rPr>
          <w:bCs/>
          <w:b/>
        </w:rPr>
        <w:t xml:space="preserve">In scope, unchanged from the reference implementation:</w:t>
      </w:r>
      <w:r>
        <w:t xml:space="preserve"> </w:t>
      </w:r>
      <w:r>
        <w:t xml:space="preserve">the Graph Engine’s reading-order construction and Kahn’s-algorithm recovery (Section 6), the four-rule elastic chunker (Section 7), and the exact/greedy knapsack packer (Section 9) — all three Established-tier, all three now running inside the tenant-isolated, per-document storage the last five sessions fixed.</w:t>
      </w:r>
      <w:r>
        <w:t xml:space="preserve"> </w:t>
      </w:r>
      <w:r>
        <w:rPr>
          <w:bCs/>
          <w:b/>
        </w:rPr>
        <w:t xml:space="preserve">Out of scope:</w:t>
      </w:r>
      <w:r>
        <w:t xml:space="preserve"> </w:t>
      </w:r>
      <w:r>
        <w:t xml:space="preserve">the multi-choice knapsack and Lagrangian relaxation extension (monograph Section 12.1-12.2), the submodular reformulation (Enhancement Research Report Section 2), and every other engine (Matrix, Template, Frequency, Recurrence, Semantic beyond basic embedding, Topology, Spectral, Tensor, Info Physics). This is the single largest scope cut in this document, and it is deliberate: an MVP does not need nine additional engines’ worth of signal to answer</w:t>
      </w:r>
      <w:r>
        <w:t xml:space="preserve"> </w:t>
      </w:r>
      <w:r>
        <w:t xml:space="preserve">“</w:t>
      </w:r>
      <w:r>
        <w:t xml:space="preserve">what does this document say,</w:t>
      </w:r>
      <w:r>
        <w:t xml:space="preserve">”</w:t>
      </w:r>
      <w:r>
        <w:t xml:space="preserve"> </w:t>
      </w:r>
      <w:r>
        <w:t xml:space="preserve">and every one of those engines’ current implementation status (per the Feasibility and Validation Report’s own tiering) is at best Demonstrated-at-small-scale, several still Proposed.</w:t>
      </w:r>
    </w:p>
    <w:bookmarkEnd w:id="30"/>
    <w:bookmarkStart w:id="31" w:name="retrieval"/>
    <w:p>
      <w:pPr>
        <w:pStyle w:val="Heading3"/>
      </w:pPr>
      <w:r>
        <w:t xml:space="preserve">2.3 Retrieval</w:t>
      </w:r>
    </w:p>
    <w:p>
      <w:pPr>
        <w:pStyle w:val="FirstParagraph"/>
      </w:pPr>
      <w:r>
        <w:rPr>
          <w:bCs/>
          <w:b/>
        </w:rPr>
        <w:t xml:space="preserve">In scope:</w:t>
      </w:r>
      <w:r>
        <w:t xml:space="preserve"> </w:t>
      </w:r>
      <w:r>
        <w:t xml:space="preserve">a two-signal hybrid retrieval path — dense embedding similarity and BM25 lexical matching — fused via Reciprocal Rank Fusion, which this body of work’s Comparative Landscape Report already confirmed is standard, converged, correctly-adopted practice (that report’s Section 7.1) rather than a novel component needing its own validation.</w:t>
      </w:r>
      <w:r>
        <w:t xml:space="preserve"> </w:t>
      </w:r>
      <w:r>
        <w:rPr>
          <w:bCs/>
          <w:b/>
        </w:rPr>
        <w:t xml:space="preserve">Out of scope:</w:t>
      </w:r>
      <w:r>
        <w:t xml:space="preserve"> </w:t>
      </w:r>
      <w:r>
        <w:t xml:space="preserve">the full seven-method fusion (Section 15.1), the ColPali-style whole-page visual signal (Comparative Landscape Report Section 8.3), and cross-document entity resolution (Pre-LLM Component Expansion Section 3) — the last of which is explicitly recommended in that document’s own conclusion as high-leverage, but, again, not yet built.</w:t>
      </w:r>
    </w:p>
    <w:bookmarkEnd w:id="31"/>
    <w:bookmarkStart w:id="32" w:name="memory-and-caching"/>
    <w:p>
      <w:pPr>
        <w:pStyle w:val="Heading3"/>
      </w:pPr>
      <w:r>
        <w:t xml:space="preserve">2.4 Memory and Caching</w:t>
      </w:r>
    </w:p>
    <w:p>
      <w:pPr>
        <w:pStyle w:val="FirstParagraph"/>
      </w:pPr>
      <w:r>
        <w:rPr>
          <w:bCs/>
          <w:b/>
        </w:rPr>
        <w:t xml:space="preserve">In scope:</w:t>
      </w:r>
      <w:r>
        <w:t xml:space="preserve"> </w:t>
      </w:r>
      <w:r>
        <w:t xml:space="preserve">the semantic cache (Tier 2,</w:t>
      </w:r>
      <w:r>
        <w:t xml:space="preserve"> </w:t>
      </w:r>
      <w:r>
        <w:rPr>
          <w:rStyle w:val="VerbatimChar"/>
        </w:rPr>
        <w:t xml:space="preserve">src/memory_engine/semantic_cache.py</w:t>
      </w:r>
      <w:r>
        <w:t xml:space="preserve">) exactly as it now stands post-Session-4’s fixes — tenant-isolated by construction, invalidation-safe, TTL-purging — and the general-purpose LRU/ARC cache manager (</w:t>
      </w:r>
      <w:r>
        <w:rPr>
          <w:rStyle w:val="VerbatimChar"/>
        </w:rPr>
        <w:t xml:space="preserve">src/engines/memory/cache.py</w:t>
      </w:r>
      <w:r>
        <w:t xml:space="preserve">) post-Session-5’s LFU fix.</w:t>
      </w:r>
      <w:r>
        <w:t xml:space="preserve"> </w:t>
      </w:r>
      <w:r>
        <w:rPr>
          <w:bCs/>
          <w:b/>
        </w:rPr>
        <w:t xml:space="preserve">Out of scope:</w:t>
      </w:r>
      <w:r>
        <w:t xml:space="preserve"> </w:t>
      </w:r>
      <w:r>
        <w:t xml:space="preserve">the full four-tier operational cache architecture (monograph Section 14.3’s KV cache and document-context cache tiers are not yet implemented against the reference codebase as far as this body of work’s audits have found) and the L0-L5 content-abstraction hierarchy (Section 14.2) — an MVP’s documents are assumed small enough, and its query volume low enough, that this multi-level summarization hierarchy is not yet the bottleneck it would become at scale.</w:t>
      </w:r>
    </w:p>
    <w:bookmarkEnd w:id="32"/>
    <w:bookmarkStart w:id="33" w:name="generation-and-verification"/>
    <w:p>
      <w:pPr>
        <w:pStyle w:val="Heading3"/>
      </w:pPr>
      <w:r>
        <w:t xml:space="preserve">2.5 Generation and Verification</w:t>
      </w:r>
    </w:p>
    <w:p>
      <w:pPr>
        <w:pStyle w:val="FirstParagraph"/>
      </w:pPr>
      <w:r>
        <w:rPr>
          <w:bCs/>
          <w:b/>
        </w:rPr>
        <w:t xml:space="preserve">In scope:</w:t>
      </w:r>
      <w:r>
        <w:t xml:space="preserve"> </w:t>
      </w:r>
      <w:r>
        <w:t xml:space="preserve">a single downstream LLM call (Claude, GPT-class, or a self-hosted model, provider-agnostic per the existing</w:t>
      </w:r>
      <w:r>
        <w:t xml:space="preserve"> </w:t>
      </w:r>
      <w:r>
        <w:rPr>
          <w:rStyle w:val="VerbatimChar"/>
        </w:rPr>
        <w:t xml:space="preserve">requirements.txt</w:t>
      </w:r>
      <w:r>
        <w:t xml:space="preserve"> </w:t>
      </w:r>
      <w:r>
        <w:t xml:space="preserve">dependencies) conditioned on the packed context, plus a basic citation-resolution pass — mapping a response’s claims back to a specific chunk ID, which this body of work’s Theorem 5.6 (hierarchical coordinate uniqueness) already gives a deterministic resolution path for.</w:t>
      </w:r>
      <w:r>
        <w:t xml:space="preserve"> </w:t>
      </w:r>
      <w:r>
        <w:rPr>
          <w:bCs/>
          <w:b/>
        </w:rPr>
        <w:t xml:space="preserve">Out of scope:</w:t>
      </w:r>
      <w:r>
        <w:t xml:space="preserve"> </w:t>
      </w:r>
      <w:r>
        <w:t xml:space="preserve">the full consistency-checking and confidence-scoring verification stage (Section 19.3), and any hallucination-rate benchmarking against a Vectara-comparable methodology (Comparative Landscape Report Section 11.4) — tracked as an evaluation task (Section 6 below), not a blocking MVP requirement.</w:t>
      </w:r>
    </w:p>
    <w:bookmarkEnd w:id="33"/>
    <w:bookmarkStart w:id="34" w:name="security-and-multi-tenancy"/>
    <w:p>
      <w:pPr>
        <w:pStyle w:val="Heading3"/>
      </w:pPr>
      <w:r>
        <w:t xml:space="preserve">2.6 Security and Multi-Tenancy</w:t>
      </w:r>
    </w:p>
    <w:p>
      <w:pPr>
        <w:pStyle w:val="FirstParagraph"/>
      </w:pPr>
      <w:r>
        <w:rPr>
          <w:bCs/>
          <w:b/>
        </w:rPr>
        <w:t xml:space="preserve">In scope, and non-negotiable:</w:t>
      </w:r>
      <w:r>
        <w:t xml:space="preserve"> </w:t>
      </w:r>
      <w:r>
        <w:t xml:space="preserve">every tenant-isolation fix from Sessions 2-3 — orchestrator per-document storage with</w:t>
      </w:r>
      <w:r>
        <w:t xml:space="preserve"> </w:t>
      </w:r>
      <w:r>
        <w:rPr>
          <w:rStyle w:val="VerbatimChar"/>
        </w:rPr>
        <w:t xml:space="preserve">PermissionError</w:t>
      </w:r>
      <w:r>
        <w:t xml:space="preserve"> </w:t>
      </w:r>
      <w:r>
        <w:t xml:space="preserve">on cross-tenant access, the document service’s 404-not-403 cross-tenant response pattern, every HTTP route’s auth dependency, and the WebSocket endpoint’s now-correct</w:t>
      </w:r>
      <w:r>
        <w:t xml:space="preserve"> </w:t>
      </w:r>
      <w:r>
        <w:rPr>
          <w:rStyle w:val="VerbatimChar"/>
        </w:rPr>
        <w:t xml:space="preserve">get_current_tenant_ws</w:t>
      </w:r>
      <w:r>
        <w:t xml:space="preserve">. This is the one area where this document treats</w:t>
      </w:r>
      <w:r>
        <w:t xml:space="preserve"> </w:t>
      </w:r>
      <w:r>
        <w:t xml:space="preserve">“</w:t>
      </w:r>
      <w:r>
        <w:t xml:space="preserve">already fixed</w:t>
      </w:r>
      <w:r>
        <w:t xml:space="preserve">”</w:t>
      </w:r>
      <w:r>
        <w:t xml:space="preserve"> </w:t>
      </w:r>
      <w:r>
        <w:t xml:space="preserve">as a floor, not a ceiling — Section 4 below adds one further, currently-unaudited layer (the retrieval backends) to close before MVP launch, precisely because this body of work has now found the same</w:t>
      </w:r>
      <w:r>
        <w:t xml:space="preserve"> </w:t>
      </w:r>
      <w:r>
        <w:t xml:space="preserve">“</w:t>
      </w:r>
      <w:r>
        <w:t xml:space="preserve">looks isolated but isn’t</w:t>
      </w:r>
      <w:r>
        <w:t xml:space="preserve">”</w:t>
      </w:r>
      <w:r>
        <w:t xml:space="preserve"> </w:t>
      </w:r>
      <w:r>
        <w:t xml:space="preserve">pattern at four different layers in four different sessions, and shipping before checking the fifth would be an inconsistent, arbitrary place to stop looking.</w:t>
      </w:r>
    </w:p>
    <w:bookmarkEnd w:id="34"/>
    <w:bookmarkStart w:id="35" w:name="infrastructure"/>
    <w:p>
      <w:pPr>
        <w:pStyle w:val="Heading3"/>
      </w:pPr>
      <w:r>
        <w:t xml:space="preserve">2.7 Infrastructure</w:t>
      </w:r>
    </w:p>
    <w:p>
      <w:pPr>
        <w:pStyle w:val="FirstParagraph"/>
      </w:pPr>
      <w:r>
        <w:rPr>
          <w:bCs/>
          <w:b/>
        </w:rPr>
        <w:t xml:space="preserve">In scope:</w:t>
      </w:r>
      <w:r>
        <w:t xml:space="preserve"> </w:t>
      </w:r>
      <w:r>
        <w:t xml:space="preserve">the CI workflow and dependency lock file built in Session 1, a single-region deployment (no distributed batch ingestion, no multi-region), and the vendored-tiktoken offline-safety fix from Session 1 — chosen specifically because it is the one fix in this entire body of work that determines whether the application can even start in a network-restricted customer environment, which the monograph’s own Section 17.1 states is exactly the deployment profile AEGIS’s target customers have.</w:t>
      </w:r>
      <w:r>
        <w:t xml:space="preserve"> </w:t>
      </w:r>
      <w:r>
        <w:rPr>
          <w:bCs/>
          <w:b/>
        </w:rPr>
        <w:t xml:space="preserve">Out of scope:</w:t>
      </w:r>
      <w:r>
        <w:t xml:space="preserve"> </w:t>
      </w:r>
      <w:r>
        <w:t xml:space="preserve">the full polyglot persistence layer (Ray/Spark-class distributed ingestion, a dedicated Elasticsearch-class lexical index, and multi-region replication) — an MVP’s expected document and query volume does not yet justify this infrastructure, and standing it up prematurely would violate Section 1.1’s</w:t>
      </w:r>
      <w:r>
        <w:t xml:space="preserve"> </w:t>
      </w:r>
      <w:r>
        <w:t xml:space="preserve">“</w:t>
      </w:r>
      <w:r>
        <w:t xml:space="preserve">smallest version</w:t>
      </w:r>
      <w:r>
        <w:t xml:space="preserve">”</w:t>
      </w:r>
      <w:r>
        <w:t xml:space="preserve"> </w:t>
      </w:r>
      <w:r>
        <w:t xml:space="preserve">test as much as building nine unneeded engines would.</w:t>
      </w:r>
    </w:p>
    <w:bookmarkEnd w:id="35"/>
    <w:bookmarkEnd w:id="36"/>
    <w:bookmarkStart w:id="40" w:name="X5a3192f76c6ecb82d039e1c8a38670e5c002787"/>
    <w:p>
      <w:pPr>
        <w:pStyle w:val="Heading2"/>
      </w:pPr>
      <w:r>
        <w:t xml:space="preserve">3. Current State vs. MVP Requirements: The Actual Gap</w:t>
      </w:r>
    </w:p>
    <w:bookmarkStart w:id="37" w:name="X32fae4b2f23fb142e34994503efe3d535a417e1"/>
    <w:p>
      <w:pPr>
        <w:pStyle w:val="Heading3"/>
      </w:pPr>
      <w:r>
        <w:t xml:space="preserve">3.1 What Is Already Done, Verified by Running It</w:t>
      </w:r>
    </w:p>
    <w:p>
      <w:pPr>
        <w:pStyle w:val="FirstParagraph"/>
      </w:pPr>
      <w:r>
        <w:t xml:space="preserve">This section is unusual for a gap analysis in that every line item is backed by an actual, re-runnable test result from this body of work’s five hands-on sessions, not by a design document’s claim. As of the most recent verified state, the repository passes 731 of 731 tests, stable across repeated runs, and specifically includes: the three Established-tier mathematical components (Sections 6, 7, 9) with their full correctness-test suites; a consolidated, single source tree (</w:t>
      </w:r>
      <w:r>
        <w:rPr>
          <w:rStyle w:val="VerbatimChar"/>
        </w:rPr>
        <w:t xml:space="preserve">src/</w:t>
      </w:r>
      <w:r>
        <w:t xml:space="preserve">, with</w:t>
      </w:r>
      <w:r>
        <w:t xml:space="preserve"> </w:t>
      </w:r>
      <w:r>
        <w:rPr>
          <w:rStyle w:val="VerbatimChar"/>
        </w:rPr>
        <w:t xml:space="preserve">AMDI/</w:t>
      </w:r>
      <w:r>
        <w:t xml:space="preserve">,</w:t>
      </w:r>
      <w:r>
        <w:t xml:space="preserve"> </w:t>
      </w:r>
      <w:r>
        <w:rPr>
          <w:rStyle w:val="VerbatimChar"/>
        </w:rPr>
        <w:t xml:space="preserve">MDIE/</w:t>
      </w:r>
      <w:r>
        <w:t xml:space="preserve">, and</w:t>
      </w:r>
      <w:r>
        <w:t xml:space="preserve"> </w:t>
      </w:r>
      <w:r>
        <w:rPr>
          <w:rStyle w:val="VerbatimChar"/>
        </w:rPr>
        <w:t xml:space="preserve">amdi-os/</w:t>
      </w:r>
      <w:r>
        <w:t xml:space="preserve"> </w:t>
      </w:r>
      <w:r>
        <w:t xml:space="preserve">archived — Session 2); tenant isolation enforced at the orchestrator, document-service, HTTP-route, and WebSocket layers (Sessions 2-3); an invalidation-safe, TTL-purging, tenant-scoped semantic cache (Session 4); a corrected LFU cache eviction policy (Session 5); a CI workflow gating every future change against this test suite (Session 1); a pinned dependency lock file (Session 1); and an offline-safe startup path that no longer crashes the application when network access to</w:t>
      </w:r>
      <w:r>
        <w:t xml:space="preserve"> </w:t>
      </w:r>
      <w:r>
        <w:rPr>
          <w:rStyle w:val="VerbatimChar"/>
        </w:rPr>
        <w:t xml:space="preserve">openaipublic.blob.core.windows.net</w:t>
      </w:r>
      <w:r>
        <w:t xml:space="preserve"> </w:t>
      </w:r>
      <w:r>
        <w:t xml:space="preserve">is unavailable (Session 1).</w:t>
      </w:r>
    </w:p>
    <w:bookmarkEnd w:id="37"/>
    <w:bookmarkStart w:id="38" w:name="what-is-genuinely-missing-for-mvp-launch"/>
    <w:p>
      <w:pPr>
        <w:pStyle w:val="Heading3"/>
      </w:pPr>
      <w:r>
        <w:t xml:space="preserve">3.2 What Is Genuinely Missing for MVP Launch</w:t>
      </w:r>
    </w:p>
    <w:p>
      <w:pPr>
        <w:pStyle w:val="FirstParagraph"/>
      </w:pPr>
      <w:r>
        <w:t xml:space="preserve">Table 3.1 gives the concrete remaining gap, each item scoped specifically to Section 2’s MVP boundary — not to the full monograph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Why it matters for MVP specifically</w:t>
            </w:r>
          </w:p>
        </w:tc>
        <w:tc>
          <w:tcPr/>
          <w:p>
            <w:pPr>
              <w:pStyle w:val="Compact"/>
              <w:jc w:val="left"/>
            </w:pPr>
            <w:r>
              <w:t xml:space="preserve">Effort</w:t>
            </w:r>
          </w:p>
        </w:tc>
      </w:tr>
      <w:tr>
        <w:tc>
          <w:tcPr/>
          <w:p>
            <w:pPr>
              <w:pStyle w:val="Compact"/>
              <w:jc w:val="left"/>
            </w:pPr>
            <w:r>
              <w:t xml:space="preserve">Retrieval-backend tenant-isolation audit</w:t>
            </w:r>
          </w:p>
        </w:tc>
        <w:tc>
          <w:tcPr/>
          <w:p>
            <w:pPr>
              <w:pStyle w:val="Compact"/>
              <w:jc w:val="left"/>
            </w:pPr>
            <w:r>
              <w:t xml:space="preserve">Four layers already found broken and fixed; the seven</w:t>
            </w:r>
            <w:r>
              <w:t xml:space="preserve"> </w:t>
            </w:r>
            <w:r>
              <w:rPr>
                <w:rStyle w:val="VerbatimChar"/>
              </w:rPr>
              <w:t xml:space="preserve">*_search.py</w:t>
            </w:r>
            <w:r>
              <w:t xml:space="preserve"> </w:t>
            </w:r>
            <w:r>
              <w:t xml:space="preserve">files (Session 5’s own closing note) are the last unaudited layer between a query and a tenant’s documents</w:t>
            </w:r>
          </w:p>
        </w:tc>
        <w:tc>
          <w:tcPr/>
          <w:p>
            <w:pPr>
              <w:pStyle w:val="Compact"/>
              <w:jc w:val="left"/>
            </w:pPr>
            <w:r>
              <w:t xml:space="preserve">M</w:t>
            </w:r>
          </w:p>
        </w:tc>
      </w:tr>
      <w:tr>
        <w:tc>
          <w:tcPr/>
          <w:p>
            <w:pPr>
              <w:pStyle w:val="Compact"/>
              <w:jc w:val="left"/>
            </w:pPr>
            <w:r>
              <w:t xml:space="preserve">End-to-end MVP integration test</w:t>
            </w:r>
          </w:p>
        </w:tc>
        <w:tc>
          <w:tcPr/>
          <w:p>
            <w:pPr>
              <w:pStyle w:val="Compact"/>
              <w:jc w:val="left"/>
            </w:pPr>
            <w:r>
              <w:t xml:space="preserve">Every fix so far has been verified component-by-component or two-to-three layers at a time; no single test exercises ingest → chunk → pack → retrieve → generate → cite for a fresh, previously-unseen document end to end</w:t>
            </w:r>
          </w:p>
        </w:tc>
        <w:tc>
          <w:tcPr/>
          <w:p>
            <w:pPr>
              <w:pStyle w:val="Compact"/>
              <w:jc w:val="left"/>
            </w:pPr>
            <w:r>
              <w:t xml:space="preserve">M</w:t>
            </w:r>
          </w:p>
        </w:tc>
      </w:tr>
      <w:tr>
        <w:tc>
          <w:tcPr/>
          <w:p>
            <w:pPr>
              <w:pStyle w:val="Compact"/>
              <w:jc w:val="left"/>
            </w:pPr>
            <w:r>
              <w:t xml:space="preserve">Basic PII pre-filter</w:t>
            </w:r>
          </w:p>
        </w:tc>
        <w:tc>
          <w:tcPr/>
          <w:p>
            <w:pPr>
              <w:pStyle w:val="Compact"/>
              <w:jc w:val="left"/>
            </w:pPr>
            <w:r>
              <w:t xml:space="preserve">Not required for MVP’s own correctness, but the monograph’s stated target market (financial/legal/medical) makes shipping with zero PII handling a real go-to-market blocker for the first real customer conversation</w:t>
            </w:r>
          </w:p>
        </w:tc>
        <w:tc>
          <w:tcPr/>
          <w:p>
            <w:pPr>
              <w:pStyle w:val="Compact"/>
              <w:jc w:val="left"/>
            </w:pPr>
            <w:r>
              <w:t xml:space="preserve">M</w:t>
            </w:r>
          </w:p>
        </w:tc>
      </w:tr>
      <w:tr>
        <w:tc>
          <w:tcPr/>
          <w:p>
            <w:pPr>
              <w:pStyle w:val="Compact"/>
              <w:jc w:val="left"/>
            </w:pPr>
            <w:r>
              <w:t xml:space="preserve">Single-region deployment manifest</w:t>
            </w:r>
          </w:p>
        </w:tc>
        <w:tc>
          <w:tcPr/>
          <w:p>
            <w:pPr>
              <w:pStyle w:val="Compact"/>
              <w:jc w:val="left"/>
            </w:pPr>
            <w:r>
              <w:t xml:space="preserve">No Kubernetes/deployment configuration currently exists in the repository at all — CI runs tests, but nothing yet deploys the application anywhere</w:t>
            </w:r>
          </w:p>
        </w:tc>
        <w:tc>
          <w:tcPr/>
          <w:p>
            <w:pPr>
              <w:pStyle w:val="Compact"/>
              <w:jc w:val="left"/>
            </w:pPr>
            <w:r>
              <w:t xml:space="preserve">M</w:t>
            </w:r>
          </w:p>
        </w:tc>
      </w:tr>
      <w:tr>
        <w:tc>
          <w:tcPr/>
          <w:p>
            <w:pPr>
              <w:pStyle w:val="Compact"/>
              <w:jc w:val="left"/>
            </w:pPr>
            <w:r>
              <w:t xml:space="preserve">Basic usage/cost observability</w:t>
            </w:r>
          </w:p>
        </w:tc>
        <w:tc>
          <w:tcPr/>
          <w:p>
            <w:pPr>
              <w:pStyle w:val="Compact"/>
              <w:jc w:val="left"/>
            </w:pPr>
            <w:r>
              <w:t xml:space="preserve">The monograph’s Section 19.5 observability plan is extensive and explicitly out of MVP scope in full, but an MVP still needs to answer</w:t>
            </w:r>
            <w:r>
              <w:t xml:space="preserve"> </w:t>
            </w:r>
            <w:r>
              <w:t xml:space="preserve">“</w:t>
            </w:r>
            <w:r>
              <w:t xml:space="preserve">how many requests, at what latency, at what token cost</w:t>
            </w:r>
            <w:r>
              <w:t xml:space="preserve">”</w:t>
            </w:r>
            <w:r>
              <w:t xml:space="preserve"> </w:t>
            </w:r>
            <w:r>
              <w:t xml:space="preserve">from day one, or the team is flying blind on the exact economics this whole body of work has repeatedly emphasized</w:t>
            </w:r>
          </w:p>
        </w:tc>
        <w:tc>
          <w:tcPr/>
          <w:p>
            <w:pPr>
              <w:pStyle w:val="Compact"/>
              <w:jc w:val="left"/>
            </w:pPr>
            <w:r>
              <w:t xml:space="preserve">S</w:t>
            </w:r>
          </w:p>
        </w:tc>
      </w:tr>
      <w:tr>
        <w:tc>
          <w:tcPr/>
          <w:p>
            <w:pPr>
              <w:pStyle w:val="Compact"/>
              <w:jc w:val="left"/>
            </w:pPr>
            <w:r>
              <w:t xml:space="preserve">A minimal LangChain or LlamaIndex connector</w:t>
            </w:r>
          </w:p>
        </w:tc>
        <w:tc>
          <w:tcPr/>
          <w:p>
            <w:pPr>
              <w:pStyle w:val="Compact"/>
              <w:jc w:val="left"/>
            </w:pPr>
            <w:r>
              <w:t xml:space="preserve">Per the Comparative Landscape Report’s Section 13.4 positioning recommendation; not required for the product to work, but materially changes how quickly it can reach its first real users</w:t>
            </w:r>
          </w:p>
        </w:tc>
        <w:tc>
          <w:tcPr/>
          <w:p>
            <w:pPr>
              <w:pStyle w:val="Compact"/>
              <w:jc w:val="left"/>
            </w:pPr>
            <w:r>
              <w:t xml:space="preserve">M</w:t>
            </w:r>
          </w:p>
        </w:tc>
      </w:tr>
    </w:tbl>
    <w:bookmarkEnd w:id="38"/>
    <w:bookmarkStart w:id="39" w:name="Xa131ce2a1adea3c09f0402793d029ad5e98deb6"/>
    <w:p>
      <w:pPr>
        <w:pStyle w:val="Heading3"/>
      </w:pPr>
      <w:r>
        <w:t xml:space="preserve">3.3 What This Gap Analysis Deliberately Does Not Include</w:t>
      </w:r>
    </w:p>
    <w:p>
      <w:pPr>
        <w:pStyle w:val="FirstParagraph"/>
      </w:pPr>
      <w:r>
        <w:t xml:space="preserve">Every task in the Master Task List’s Workstreams B through H, and every concept in the Future Concepts Report, is absent from Table 3.1 on purpose — not because it is unimportant, but because none of it is required to satisfy Section 1.1’s three-part MVP test. A reader expecting to see the submodular packer, persistent homology, or any of the physics/number-theory concepts in this gap analysis should read their absence as this document’s central claim: those are real, well-specified, future improvements to a product that does not yet exist in shippable form, and building them before the six items in Table 3.1 would be optimizing a system with no users yet.</w:t>
      </w:r>
    </w:p>
    <w:bookmarkEnd w:id="39"/>
    <w:bookmarkEnd w:id="40"/>
    <w:bookmarkStart w:id="46" w:name="phased-implementation-plan"/>
    <w:p>
      <w:pPr>
        <w:pStyle w:val="Heading2"/>
      </w:pPr>
      <w:r>
        <w:t xml:space="preserve">4. Phased Implementation Plan</w:t>
      </w:r>
    </w:p>
    <w:bookmarkStart w:id="41" w:name="X619f535c613138d227347ad42696326e7a169bd"/>
    <w:p>
      <w:pPr>
        <w:pStyle w:val="Heading3"/>
      </w:pPr>
      <w:r>
        <w:t xml:space="preserve">4.1 Phase 0 (Immediate, 1-2 weeks): Close the Last Isolation Gap</w:t>
      </w:r>
    </w:p>
    <w:p>
      <w:pPr>
        <w:pStyle w:val="FirstParagraph"/>
      </w:pPr>
      <w:r>
        <w:t xml:space="preserve">Before any new feature work, audit the seven retrieval-backend files (</w:t>
      </w:r>
      <w:r>
        <w:rPr>
          <w:rStyle w:val="VerbatimChar"/>
        </w:rPr>
        <w:t xml:space="preserve">src/engines/retrieval/*_search.py</w:t>
      </w:r>
      <w:r>
        <w:t xml:space="preserve">) using the exact same method that found and fixed the previous four layers: construct a real cross-tenant access attempt, watch it either succeed (bug) or fail correctly (verified negative result, as happened with the semantic cache’s core tenant scoping and the ARC cache policy), and write a test either way. This phase produces either a sixth round of fixes or a second genuine</w:t>
      </w:r>
      <w:r>
        <w:t xml:space="preserve"> </w:t>
      </w:r>
      <w:r>
        <w:t xml:space="preserve">“</w:t>
      </w:r>
      <w:r>
        <w:t xml:space="preserve">verified correct</w:t>
      </w:r>
      <w:r>
        <w:t xml:space="preserve">”</w:t>
      </w:r>
      <w:r>
        <w:t xml:space="preserve"> </w:t>
      </w:r>
      <w:r>
        <w:t xml:space="preserve">result — both are acceptable outcomes, and per this body of work’s own standing discipline, neither should be assumed without running it.</w:t>
      </w:r>
    </w:p>
    <w:bookmarkEnd w:id="41"/>
    <w:bookmarkStart w:id="42" w:name="X2f3c63ce1ea38db439f538b2199075d0d0792a6"/>
    <w:p>
      <w:pPr>
        <w:pStyle w:val="Heading3"/>
      </w:pPr>
      <w:r>
        <w:t xml:space="preserve">4.2 Phase 1 (2-4 weeks): The End-to-End MVP Path</w:t>
      </w:r>
    </w:p>
    <w:p>
      <w:pPr>
        <w:pStyle w:val="FirstParagraph"/>
      </w:pPr>
      <w:r>
        <w:t xml:space="preserve">Write and pass a single integration test that ingests a real, previously-unseen multi-page PDF, exercises reading-order recovery, chunking, and knapsack packing exactly as specified in the monograph’s own Appendix F worked example, retrieves against a query requiring information from a specific packed chunk, generates a response through a real (not mocked) downstream LLM call, and confirms the response’s citation resolves back to the correct source chunk. This is the test that proves the MVP’s actual value proposition works end to end, not merely that its individual components pass their own isolated test suites — directly addressing the specific integration-level concern this body of work’s Section 11.7 lesson has raised repeatedly (a system can be correct component-by-component and still fail once those components are composed).</w:t>
      </w:r>
    </w:p>
    <w:bookmarkEnd w:id="42"/>
    <w:bookmarkStart w:id="43" w:name="Xd15c20d756bf2d2207c2e05390a9524cca3605a"/>
    <w:p>
      <w:pPr>
        <w:pStyle w:val="Heading3"/>
      </w:pPr>
      <w:r>
        <w:t xml:space="preserve">4.3 Phase 2 (3-5 weeks, parallel with Phase 1): Minimum Viable Infrastructure</w:t>
      </w:r>
    </w:p>
    <w:p>
      <w:pPr>
        <w:pStyle w:val="FirstParagraph"/>
      </w:pPr>
      <w:r>
        <w:t xml:space="preserve">Stand up a single-region deployment (a straightforward container deployment behind the existing FastAPI app is sufficient — this explicitly does not require the distributed, multi-region topology monograph Section 4.3 describes as the eventual target), wire basic request-count/latency/token-cost metrics into whatever observability stack the deploying organization already uses (this does not need to be the full Prometheus/Grafana/Jaeger stack Section 19.5 specifies — a minimal metrics export is sufficient for MVP), and implement the PII pre-filter from the Pre-LLM Component Expansion document’s Section 2 specification, which already includes concrete module and function signatures ready to implement directly.</w:t>
      </w:r>
    </w:p>
    <w:bookmarkEnd w:id="43"/>
    <w:bookmarkStart w:id="44" w:name="Xadef37dc38296a109e5902de2f27a5b814af68b"/>
    <w:p>
      <w:pPr>
        <w:pStyle w:val="Heading3"/>
      </w:pPr>
      <w:r>
        <w:t xml:space="preserve">4.4 Phase 3 (2-3 weeks): Packaging and First-User Readiness</w:t>
      </w:r>
    </w:p>
    <w:p>
      <w:pPr>
        <w:pStyle w:val="FirstParagraph"/>
      </w:pPr>
      <w:r>
        <w:t xml:space="preserve">Build the LangChain and/or LlamaIndex connector per the Comparative Landscape Report’s Section 13.4 recommendation, write user-facing documentation for the MVP’s actual scope (explicitly stating what it does and does not do, consistent with this entire body of work’s evidentiary honesty rather than overselling), and identify 2-3 design-partner customers or internal use cases to validate the MVP against real documents and real queries before any broader release.</w:t>
      </w:r>
    </w:p>
    <w:bookmarkEnd w:id="44"/>
    <w:bookmarkStart w:id="45" w:name="X5deb51c0149555f252e798b67b46a3927015cfe"/>
    <w:p>
      <w:pPr>
        <w:pStyle w:val="Heading3"/>
      </w:pPr>
      <w:r>
        <w:t xml:space="preserve">4.5 Explicit Non-Goals for This Plan’s Timeline</w:t>
      </w:r>
    </w:p>
    <w:p>
      <w:pPr>
        <w:pStyle w:val="FirstParagraph"/>
      </w:pPr>
      <w:r>
        <w:t xml:space="preserve">This plan does not schedule any Master Task List Workstream B-D feature, any Future Concepts Report concept, the full production topology, or the multimodal/GraphRAG extensions. Table 4.1 restates the phase plan compactly.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Duration (indicative)</w:t>
            </w:r>
          </w:p>
        </w:tc>
        <w:tc>
          <w:tcPr/>
          <w:p>
            <w:pPr>
              <w:pStyle w:val="Compact"/>
              <w:jc w:val="left"/>
            </w:pPr>
            <w:r>
              <w:t xml:space="preserve">Primary output</w:t>
            </w:r>
          </w:p>
        </w:tc>
      </w:tr>
      <w:tr>
        <w:tc>
          <w:tcPr/>
          <w:p>
            <w:pPr>
              <w:pStyle w:val="Compact"/>
              <w:jc w:val="left"/>
            </w:pPr>
            <w:r>
              <w:t xml:space="preserve">0 — Close the isolation gap</w:t>
            </w:r>
          </w:p>
        </w:tc>
        <w:tc>
          <w:tcPr/>
          <w:p>
            <w:pPr>
              <w:pStyle w:val="Compact"/>
              <w:jc w:val="left"/>
            </w:pPr>
            <w:r>
              <w:t xml:space="preserve">1-2 weeks</w:t>
            </w:r>
          </w:p>
        </w:tc>
        <w:tc>
          <w:tcPr/>
          <w:p>
            <w:pPr>
              <w:pStyle w:val="Compact"/>
              <w:jc w:val="left"/>
            </w:pPr>
            <w:r>
              <w:t xml:space="preserve">Retrieval-backend tenant audit complete, sixth fix or verified-correct result</w:t>
            </w:r>
          </w:p>
        </w:tc>
      </w:tr>
      <w:tr>
        <w:tc>
          <w:tcPr/>
          <w:p>
            <w:pPr>
              <w:pStyle w:val="Compact"/>
              <w:jc w:val="left"/>
            </w:pPr>
            <w:r>
              <w:t xml:space="preserve">1 — End-to-end MVP path</w:t>
            </w:r>
          </w:p>
        </w:tc>
        <w:tc>
          <w:tcPr/>
          <w:p>
            <w:pPr>
              <w:pStyle w:val="Compact"/>
              <w:jc w:val="left"/>
            </w:pPr>
            <w:r>
              <w:t xml:space="preserve">2-4 weeks</w:t>
            </w:r>
          </w:p>
        </w:tc>
        <w:tc>
          <w:tcPr/>
          <w:p>
            <w:pPr>
              <w:pStyle w:val="Compact"/>
              <w:jc w:val="left"/>
            </w:pPr>
            <w:r>
              <w:t xml:space="preserve">A single, real, passing integration test proving the core value proposition</w:t>
            </w:r>
          </w:p>
        </w:tc>
      </w:tr>
      <w:tr>
        <w:tc>
          <w:tcPr/>
          <w:p>
            <w:pPr>
              <w:pStyle w:val="Compact"/>
              <w:jc w:val="left"/>
            </w:pPr>
            <w:r>
              <w:t xml:space="preserve">2 — Minimum viable infrastructure</w:t>
            </w:r>
          </w:p>
        </w:tc>
        <w:tc>
          <w:tcPr/>
          <w:p>
            <w:pPr>
              <w:pStyle w:val="Compact"/>
              <w:jc w:val="left"/>
            </w:pPr>
            <w:r>
              <w:t xml:space="preserve">3-5 weeks (parallel with Phase 1)</w:t>
            </w:r>
          </w:p>
        </w:tc>
        <w:tc>
          <w:tcPr/>
          <w:p>
            <w:pPr>
              <w:pStyle w:val="Compact"/>
              <w:jc w:val="left"/>
            </w:pPr>
            <w:r>
              <w:t xml:space="preserve">Deployed, observable, PII-filtered single-region service</w:t>
            </w:r>
          </w:p>
        </w:tc>
      </w:tr>
      <w:tr>
        <w:tc>
          <w:tcPr/>
          <w:p>
            <w:pPr>
              <w:pStyle w:val="Compact"/>
              <w:jc w:val="left"/>
            </w:pPr>
            <w:r>
              <w:t xml:space="preserve">3 — Packaging and first-user readiness</w:t>
            </w:r>
          </w:p>
        </w:tc>
        <w:tc>
          <w:tcPr/>
          <w:p>
            <w:pPr>
              <w:pStyle w:val="Compact"/>
              <w:jc w:val="left"/>
            </w:pPr>
            <w:r>
              <w:t xml:space="preserve">2-3 weeks</w:t>
            </w:r>
          </w:p>
        </w:tc>
        <w:tc>
          <w:tcPr/>
          <w:p>
            <w:pPr>
              <w:pStyle w:val="Compact"/>
              <w:jc w:val="left"/>
            </w:pPr>
            <w:r>
              <w:t xml:space="preserve">A connector, honest documentation, and identified design partners</w:t>
            </w:r>
          </w:p>
        </w:tc>
      </w:tr>
    </w:tbl>
    <w:p>
      <w:pPr>
        <w:pStyle w:val="BodyText"/>
      </w:pPr>
      <w:r>
        <w:t xml:space="preserve">Total indicative timeline: 8-12 weeks from a standing start, assuming the team composition Section 5 recommends and no phase surfacing a finding severe enough to require re-planning — consistent with this body of work’s own repeated experience that real findings (the tenant-isolation chain, the semantic-cache bug) tend to surface only once code is actually run, not before.</w:t>
      </w:r>
    </w:p>
    <w:bookmarkEnd w:id="45"/>
    <w:bookmarkEnd w:id="46"/>
    <w:bookmarkStart w:id="49" w:name="team-and-resourcing"/>
    <w:p>
      <w:pPr>
        <w:pStyle w:val="Heading2"/>
      </w:pPr>
      <w:r>
        <w:t xml:space="preserve">5. Team and Resourcing</w:t>
      </w:r>
    </w:p>
    <w:bookmarkStart w:id="47" w:name="X2deb01c23bcfb4cc0acd0c51dce900fe5f5459e"/>
    <w:p>
      <w:pPr>
        <w:pStyle w:val="Heading3"/>
      </w:pPr>
      <w:r>
        <w:t xml:space="preserve">5.1 A Smaller Team Than the Master Task List Assumed</w:t>
      </w:r>
    </w:p>
    <w:p>
      <w:pPr>
        <w:pStyle w:val="FirstParagraph"/>
      </w:pPr>
      <w:r>
        <w:t xml:space="preserve">The Next Steps and Development Approach document proposed a five-role-cluster team sized to the full 62-task backlog. An MVP, scoped per Section 2, needs a smaller slice of that same shape: two engineers who can work across the existing hardened pipeline (Sections 6, 7, 9) and the infrastructure layer interchangeably — the last five sessions demonstrate this is one continuous, well-scoped body of work, not two separate specialties — plus one engineer dedicated specifically to test verification and the tenant-isolation audit discipline (Phase 0), given how consistently that discipline has found real, severe bugs every time it has actually been applied in this body of work. A fourth, part-time role covering deployment/observability (Phase 2) and connector packaging (Phase 3) completes the minimum team. This is deliberately smaller than any team-sizing proposal elsewhere in this body of work, because the MVP itself is deliberately smaller than anything else this body of work has scoped.</w:t>
      </w:r>
    </w:p>
    <w:bookmarkEnd w:id="47"/>
    <w:bookmarkStart w:id="48" w:name="why-not-fewer"/>
    <w:p>
      <w:pPr>
        <w:pStyle w:val="Heading3"/>
      </w:pPr>
      <w:r>
        <w:t xml:space="preserve">5.2 Why Not Fewer</w:t>
      </w:r>
    </w:p>
    <w:p>
      <w:pPr>
        <w:pStyle w:val="FirstParagraph"/>
      </w:pPr>
      <w:r>
        <w:t xml:space="preserve">Two engineers minimum on the core pipeline, not one, specifically because Sessions 2-5’s pattern — finding real, severe, previously-undetected bugs by actually running code that looked correct on inspection — is best caught by a second reviewer, per the Next Steps document’s Section 5.3 discipline, not by the same person who wrote the code checking their own work.</w:t>
      </w:r>
    </w:p>
    <w:bookmarkEnd w:id="48"/>
    <w:bookmarkEnd w:id="49"/>
    <w:bookmarkStart w:id="52" w:name="mvp-acceptance-criteria"/>
    <w:p>
      <w:pPr>
        <w:pStyle w:val="Heading2"/>
      </w:pPr>
      <w:r>
        <w:t xml:space="preserve">6. MVP Acceptance Criteria</w:t>
      </w:r>
    </w:p>
    <w:bookmarkStart w:id="50" w:name="the-definition-of-mvp-done"/>
    <w:p>
      <w:pPr>
        <w:pStyle w:val="Heading3"/>
      </w:pPr>
      <w:r>
        <w:t xml:space="preserve">6.1 The Definition of</w:t>
      </w:r>
      <w:r>
        <w:t xml:space="preserve"> </w:t>
      </w:r>
      <w:r>
        <w:t xml:space="preserve">“</w:t>
      </w:r>
      <w:r>
        <w:t xml:space="preserve">MVP Done</w:t>
      </w:r>
      <w:r>
        <w:t xml:space="preserve">”</w:t>
      </w:r>
    </w:p>
    <w:p>
      <w:pPr>
        <w:pStyle w:val="FirstParagraph"/>
      </w:pPr>
      <w:r>
        <w:t xml:space="preserve">Consistent with this entire body of work’s evidentiary standard,</w:t>
      </w:r>
      <w:r>
        <w:t xml:space="preserve"> </w:t>
      </w:r>
      <w:r>
        <w:t xml:space="preserve">“</w:t>
      </w:r>
      <w:r>
        <w:t xml:space="preserve">done</w:t>
      </w:r>
      <w:r>
        <w:t xml:space="preserve">”</w:t>
      </w:r>
      <w:r>
        <w:t xml:space="preserve"> </w:t>
      </w:r>
      <w:r>
        <w:t xml:space="preserve">means a specific, named test passes against the actual deployed system, not that a feature has been implemented and is assumed to work. Table 6.1 gives the MVP’s own acceptance criteria, each traceable to a phase in Section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Verifies</w:t>
            </w:r>
          </w:p>
        </w:tc>
        <w:tc>
          <w:tcPr/>
          <w:p>
            <w:pPr>
              <w:pStyle w:val="Compact"/>
              <w:jc w:val="left"/>
            </w:pPr>
            <w:r>
              <w:t xml:space="preserve">Phase</w:t>
            </w:r>
          </w:p>
        </w:tc>
      </w:tr>
      <w:tr>
        <w:tc>
          <w:tcPr/>
          <w:p>
            <w:pPr>
              <w:pStyle w:val="Compact"/>
              <w:jc w:val="left"/>
            </w:pPr>
            <w:r>
              <w:t xml:space="preserve">Retrieval-backend tenant audit: zero cross-tenant access across all seven</w:t>
            </w:r>
            <w:r>
              <w:t xml:space="preserve"> </w:t>
            </w:r>
            <w:r>
              <w:rPr>
                <w:rStyle w:val="VerbatimChar"/>
              </w:rPr>
              <w:t xml:space="preserve">*_search.py</w:t>
            </w:r>
            <w:r>
              <w:t xml:space="preserve"> </w:t>
            </w:r>
            <w:r>
              <w:t xml:space="preserve">files</w:t>
            </w:r>
          </w:p>
        </w:tc>
        <w:tc>
          <w:tcPr/>
          <w:p>
            <w:pPr>
              <w:pStyle w:val="Compact"/>
              <w:jc w:val="left"/>
            </w:pPr>
            <w:r>
              <w:t xml:space="preserve">Security floor for MVP launch</w:t>
            </w:r>
          </w:p>
        </w:tc>
        <w:tc>
          <w:tcPr/>
          <w:p>
            <w:pPr>
              <w:pStyle w:val="Compact"/>
              <w:jc w:val="left"/>
            </w:pPr>
            <w:r>
              <w:t xml:space="preserve">0</w:t>
            </w:r>
          </w:p>
        </w:tc>
      </w:tr>
      <w:tr>
        <w:tc>
          <w:tcPr/>
          <w:p>
            <w:pPr>
              <w:pStyle w:val="Compact"/>
              <w:jc w:val="left"/>
            </w:pPr>
            <w:r>
              <w:t xml:space="preserve">End-to-end integration test (Section 4.2) passes against a real, previously-unseen document</w:t>
            </w:r>
          </w:p>
        </w:tc>
        <w:tc>
          <w:tcPr/>
          <w:p>
            <w:pPr>
              <w:pStyle w:val="Compact"/>
              <w:jc w:val="left"/>
            </w:pPr>
            <w:r>
              <w:t xml:space="preserve">The MVP’s actual value proposition</w:t>
            </w:r>
          </w:p>
        </w:tc>
        <w:tc>
          <w:tcPr/>
          <w:p>
            <w:pPr>
              <w:pStyle w:val="Compact"/>
              <w:jc w:val="left"/>
            </w:pPr>
            <w:r>
              <w:t xml:space="preserve">1</w:t>
            </w:r>
          </w:p>
        </w:tc>
      </w:tr>
      <w:tr>
        <w:tc>
          <w:tcPr/>
          <w:p>
            <w:pPr>
              <w:pStyle w:val="Compact"/>
              <w:jc w:val="left"/>
            </w:pPr>
            <w:r>
              <w:t xml:space="preserve">Full test suite (731+ existing tests, plus every new test from Phases 0-1) passes in CI</w:t>
            </w:r>
          </w:p>
        </w:tc>
        <w:tc>
          <w:tcPr/>
          <w:p>
            <w:pPr>
              <w:pStyle w:val="Compact"/>
              <w:jc w:val="left"/>
            </w:pPr>
            <w:r>
              <w:t xml:space="preserve">No regression introduced by MVP-specific work</w:t>
            </w:r>
          </w:p>
        </w:tc>
        <w:tc>
          <w:tcPr/>
          <w:p>
            <w:pPr>
              <w:pStyle w:val="Compact"/>
              <w:jc w:val="left"/>
            </w:pPr>
            <w:r>
              <w:t xml:space="preserve">0-1</w:t>
            </w:r>
          </w:p>
        </w:tc>
      </w:tr>
      <w:tr>
        <w:tc>
          <w:tcPr/>
          <w:p>
            <w:pPr>
              <w:pStyle w:val="Compact"/>
              <w:jc w:val="left"/>
            </w:pPr>
            <w:r>
              <w:t xml:space="preserve">Deployed instance answers a real query end-to-end within an agreed latency budget</w:t>
            </w:r>
          </w:p>
        </w:tc>
        <w:tc>
          <w:tcPr/>
          <w:p>
            <w:pPr>
              <w:pStyle w:val="Compact"/>
              <w:jc w:val="left"/>
            </w:pPr>
            <w:r>
              <w:t xml:space="preserve">Minimum viable performance</w:t>
            </w:r>
          </w:p>
        </w:tc>
        <w:tc>
          <w:tcPr/>
          <w:p>
            <w:pPr>
              <w:pStyle w:val="Compact"/>
              <w:jc w:val="left"/>
            </w:pPr>
            <w:r>
              <w:t xml:space="preserve">2</w:t>
            </w:r>
          </w:p>
        </w:tc>
      </w:tr>
      <w:tr>
        <w:tc>
          <w:tcPr/>
          <w:p>
            <w:pPr>
              <w:pStyle w:val="Compact"/>
              <w:jc w:val="left"/>
            </w:pPr>
            <w:r>
              <w:t xml:space="preserve">PII pre-filter correctly redacts/flags a synthetic document containing structured and unstructured PII</w:t>
            </w:r>
          </w:p>
        </w:tc>
        <w:tc>
          <w:tcPr/>
          <w:p>
            <w:pPr>
              <w:pStyle w:val="Compact"/>
              <w:jc w:val="left"/>
            </w:pPr>
            <w:r>
              <w:t xml:space="preserve">Go-to-market floor for the stated target market</w:t>
            </w:r>
          </w:p>
        </w:tc>
        <w:tc>
          <w:tcPr/>
          <w:p>
            <w:pPr>
              <w:pStyle w:val="Compact"/>
              <w:jc w:val="left"/>
            </w:pPr>
            <w:r>
              <w:t xml:space="preserve">2</w:t>
            </w:r>
          </w:p>
        </w:tc>
      </w:tr>
      <w:tr>
        <w:tc>
          <w:tcPr/>
          <w:p>
            <w:pPr>
              <w:pStyle w:val="Compact"/>
              <w:jc w:val="left"/>
            </w:pPr>
            <w:r>
              <w:t xml:space="preserve">At least one design-partner customer or internal use case successfully runs a real workload against the MVP</w:t>
            </w:r>
          </w:p>
        </w:tc>
        <w:tc>
          <w:tcPr/>
          <w:p>
            <w:pPr>
              <w:pStyle w:val="Compact"/>
              <w:jc w:val="left"/>
            </w:pPr>
            <w:r>
              <w:t xml:space="preserve">Product-market validation, not just technical validation</w:t>
            </w:r>
          </w:p>
        </w:tc>
        <w:tc>
          <w:tcPr/>
          <w:p>
            <w:pPr>
              <w:pStyle w:val="Compact"/>
              <w:jc w:val="left"/>
            </w:pPr>
            <w:r>
              <w:t xml:space="preserve">3</w:t>
            </w:r>
          </w:p>
        </w:tc>
      </w:tr>
    </w:tbl>
    <w:bookmarkEnd w:id="50"/>
    <w:bookmarkStart w:id="51" w:name="X9deda29049ecd0310f7b4a2f72372ffc5646836"/>
    <w:p>
      <w:pPr>
        <w:pStyle w:val="Heading3"/>
      </w:pPr>
      <w:r>
        <w:t xml:space="preserve">6.2 What Acceptance Explicitly Does Not Require</w:t>
      </w:r>
    </w:p>
    <w:p>
      <w:pPr>
        <w:pStyle w:val="FirstParagraph"/>
      </w:pPr>
      <w:r>
        <w:t xml:space="preserve">Per Section 2’s scope, MVP acceptance does not require any DocVQA/TAT-QA benchmark result, any OmniDocBench comparison, any Databricks-comparable load test, or any of the four benchmark protocols the Feasibility and Validation Report’s Section 4 and the Comparative Landscape Report specify — all remain valuable, planned work, tracked in Section 7, not gates on shipping the MVP itself.</w:t>
      </w:r>
    </w:p>
    <w:bookmarkEnd w:id="51"/>
    <w:bookmarkEnd w:id="52"/>
    <w:bookmarkStart w:id="53" w:name="mvp-specific-risk-register"/>
    <w:p>
      <w:pPr>
        <w:pStyle w:val="Heading2"/>
      </w:pPr>
      <w:r>
        <w:t xml:space="preserve">7. MVP-Specific Risk Register</w:t>
      </w:r>
    </w:p>
    <w:p>
      <w:pPr>
        <w:pStyle w:val="FirstParagraph"/>
      </w:pPr>
      <w:r>
        <w:t xml:space="preserve">Table 7.1 gives risks specific to this MVP plan, distinct from and narrower than the Feasibility and Validation Report’s full nine-item register — several of that register’s risks (R4, R5’s multimodal-encoder gaps, for instance) are simply out of scope here per Section 2, not open risks for a product that does not include those components.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M1</w:t>
            </w:r>
          </w:p>
        </w:tc>
        <w:tc>
          <w:tcPr/>
          <w:p>
            <w:pPr>
              <w:pStyle w:val="Compact"/>
              <w:jc w:val="left"/>
            </w:pPr>
            <w:r>
              <w:t xml:space="preserve">Phase 0’s retrieval-backend audit finds a fifth cross-layer tenant-isolation bug</w:t>
            </w:r>
          </w:p>
        </w:tc>
        <w:tc>
          <w:tcPr/>
          <w:p>
            <w:pPr>
              <w:pStyle w:val="Compact"/>
              <w:jc w:val="left"/>
            </w:pPr>
            <w:r>
              <w:t xml:space="preserve">Delays MVP launch, but per this body of work’s own pattern (four for four so far), this is the likely outcome, not an edge case, and should be budgeted for rather than treated as a schedule risk if it occurs</w:t>
            </w:r>
          </w:p>
        </w:tc>
        <w:tc>
          <w:tcPr/>
          <w:p>
            <w:pPr>
              <w:pStyle w:val="Compact"/>
              <w:jc w:val="left"/>
            </w:pPr>
            <w:r>
              <w:t xml:space="preserve">Phase 0 is scheduled first and separately, specifically so this finding (if it occurs) does not collide with Phase 1-3 work</w:t>
            </w:r>
          </w:p>
        </w:tc>
      </w:tr>
      <w:tr>
        <w:tc>
          <w:tcPr/>
          <w:p>
            <w:pPr>
              <w:pStyle w:val="Compact"/>
              <w:jc w:val="left"/>
            </w:pPr>
            <w:r>
              <w:t xml:space="preserve">M2</w:t>
            </w:r>
          </w:p>
        </w:tc>
        <w:tc>
          <w:tcPr/>
          <w:p>
            <w:pPr>
              <w:pStyle w:val="Compact"/>
              <w:jc w:val="left"/>
            </w:pPr>
            <w:r>
              <w:t xml:space="preserve">The single end-to-end integration test (Section 4.2) surfaces a composition-level defect no component-level test caught</w:t>
            </w:r>
          </w:p>
        </w:tc>
        <w:tc>
          <w:tcPr/>
          <w:p>
            <w:pPr>
              <w:pStyle w:val="Compact"/>
              <w:jc w:val="left"/>
            </w:pPr>
            <w:r>
              <w:t xml:space="preserve">Could require rework across Sections 6, 7, or 9’s interaction, not just new code</w:t>
            </w:r>
          </w:p>
        </w:tc>
        <w:tc>
          <w:tcPr/>
          <w:p>
            <w:pPr>
              <w:pStyle w:val="Compact"/>
              <w:jc w:val="left"/>
            </w:pPr>
            <w:r>
              <w:t xml:space="preserve">Consistent with the Implementation and Credibility Test Cases document’s own TC-19 precedent — this is exactly what that test was built to catch, and finding a defect here is the test succeeding at its job, not a failure of the plan</w:t>
            </w:r>
          </w:p>
        </w:tc>
      </w:tr>
      <w:tr>
        <w:tc>
          <w:tcPr/>
          <w:p>
            <w:pPr>
              <w:pStyle w:val="Compact"/>
              <w:jc w:val="left"/>
            </w:pPr>
            <w:r>
              <w:t xml:space="preserve">M3</w:t>
            </w:r>
          </w:p>
        </w:tc>
        <w:tc>
          <w:tcPr/>
          <w:p>
            <w:pPr>
              <w:pStyle w:val="Compact"/>
              <w:jc w:val="left"/>
            </w:pPr>
            <w:r>
              <w:t xml:space="preserve">Scope creep back toward the full monograph architecture</w:t>
            </w:r>
          </w:p>
        </w:tc>
        <w:tc>
          <w:tcPr/>
          <w:p>
            <w:pPr>
              <w:pStyle w:val="Compact"/>
              <w:jc w:val="left"/>
            </w:pPr>
            <w:r>
              <w:t xml:space="preserve">The single greatest risk to actually shipping an MVP on this timeline, given how much genuinely interesting unfinished work this body of work has already specified</w:t>
            </w:r>
          </w:p>
        </w:tc>
        <w:tc>
          <w:tcPr/>
          <w:p>
            <w:pPr>
              <w:pStyle w:val="Compact"/>
              <w:jc w:val="left"/>
            </w:pPr>
            <w:r>
              <w:t xml:space="preserve">Section 2’s explicit out-of-scope table exists specifically to be pointed at during scope discussions; no new engine, extension, or research concept should enter MVP scope without an explicit, documented decision to revise this plan</w:t>
            </w:r>
          </w:p>
        </w:tc>
      </w:tr>
      <w:tr>
        <w:tc>
          <w:tcPr/>
          <w:p>
            <w:pPr>
              <w:pStyle w:val="Compact"/>
              <w:jc w:val="left"/>
            </w:pPr>
            <w:r>
              <w:t xml:space="preserve">M4</w:t>
            </w:r>
          </w:p>
        </w:tc>
        <w:tc>
          <w:tcPr/>
          <w:p>
            <w:pPr>
              <w:pStyle w:val="Compact"/>
              <w:jc w:val="left"/>
            </w:pPr>
            <w:r>
              <w:t xml:space="preserve">The PII pre-filter (Phase 2), built from a specification rather than existing code, introduces new bugs of the kind Sessions 1-5 have consistently found in newly-written code</w:t>
            </w:r>
          </w:p>
        </w:tc>
        <w:tc>
          <w:tcPr/>
          <w:p>
            <w:pPr>
              <w:pStyle w:val="Compact"/>
              <w:jc w:val="left"/>
            </w:pPr>
            <w:r>
              <w:t xml:space="preserve">Same class of risk as every fix in this body of work’s five sessions</w:t>
            </w:r>
          </w:p>
        </w:tc>
        <w:tc>
          <w:tcPr/>
          <w:p>
            <w:pPr>
              <w:pStyle w:val="Compact"/>
              <w:jc w:val="left"/>
            </w:pPr>
            <w:r>
              <w:t xml:space="preserve">Apply the same discipline: write the test that constructs the actual failure condition before trusting the implementation, per this document’s own Section 5.2 two-reviewer rationale</w:t>
            </w:r>
          </w:p>
        </w:tc>
      </w:tr>
      <w:tr>
        <w:tc>
          <w:tcPr/>
          <w:p>
            <w:pPr>
              <w:pStyle w:val="Compact"/>
              <w:jc w:val="left"/>
            </w:pPr>
            <w:r>
              <w:t xml:space="preserve">M5</w:t>
            </w:r>
          </w:p>
        </w:tc>
        <w:tc>
          <w:tcPr/>
          <w:p>
            <w:pPr>
              <w:pStyle w:val="Compact"/>
              <w:jc w:val="left"/>
            </w:pPr>
            <w:r>
              <w:t xml:space="preserve">No real customer or design partner materializes for Phase 3 validation</w:t>
            </w:r>
          </w:p>
        </w:tc>
        <w:tc>
          <w:tcPr/>
          <w:p>
            <w:pPr>
              <w:pStyle w:val="Compact"/>
              <w:jc w:val="left"/>
            </w:pPr>
            <w:r>
              <w:t xml:space="preserve">The MVP would be technically complete but commercially unvalidated</w:t>
            </w:r>
          </w:p>
        </w:tc>
        <w:tc>
          <w:tcPr/>
          <w:p>
            <w:pPr>
              <w:pStyle w:val="Compact"/>
              <w:jc w:val="left"/>
            </w:pPr>
            <w:r>
              <w:t xml:space="preserve">Begin design-partner conversations during Phase 1, not after Phase 3, so technical and commercial validation proceed in parallel rather than sequentially</w:t>
            </w:r>
          </w:p>
        </w:tc>
      </w:tr>
    </w:tbl>
    <w:bookmarkEnd w:id="53"/>
    <w:bookmarkStart w:id="56" w:name="Xaf1389608ba10e17da0f1671a423034933c415e"/>
    <w:p>
      <w:pPr>
        <w:pStyle w:val="Heading2"/>
      </w:pPr>
      <w:r>
        <w:t xml:space="preserve">8. Post-MVP Roadmap: Where Everything Else Goes</w:t>
      </w:r>
    </w:p>
    <w:bookmarkStart w:id="54" w:name="immediate-post-mvp-priorities"/>
    <w:p>
      <w:pPr>
        <w:pStyle w:val="Heading3"/>
      </w:pPr>
      <w:r>
        <w:t xml:space="preserve">8.1 Immediate Post-MVP Priorities</w:t>
      </w:r>
    </w:p>
    <w:p>
      <w:pPr>
        <w:pStyle w:val="FirstParagraph"/>
      </w:pPr>
      <w:r>
        <w:t xml:space="preserve">Once the MVP ships and Section 6’s acceptance criteria are met, the two highest-priority additions — per this body of work’s own repeated, independent conclusions across the Comparative Landscape Report, the Enhancement Research Report, and the Pre-LLM Component Expansion document — are cross-document entity resolution (closing the specific bridge to a future GraphRAG-complementary layer) and the submodular knapsack reformulation (collapsing the current MMR-plus-knapsack two-stage pipeline into one proven-bound stage). Both are already fully specified with modules, function signatures, and test plans in prior documents; neither requires new research, only implementation time.</w:t>
      </w:r>
    </w:p>
    <w:bookmarkEnd w:id="54"/>
    <w:bookmarkStart w:id="55" w:name="X1706dc62bf2a25cd9139557ec903037e6db0306"/>
    <w:p>
      <w:pPr>
        <w:pStyle w:val="Heading3"/>
      </w:pPr>
      <w:r>
        <w:t xml:space="preserve">8.2 The Master Task List Remains the Long-Range Plan</w:t>
      </w:r>
    </w:p>
    <w:p>
      <w:pPr>
        <w:pStyle w:val="FirstParagraph"/>
      </w:pPr>
      <w:r>
        <w:t xml:space="preserve">This MVP plan does not replace the Master Task List’s 62-task backlog or the Next Steps document’s governance model — it is a a deliberately narrow slice through the front of both, selected specifically to reach a shippable product fastest. Every task this plan defers remains exactly where the Master Task List already put it, gated behind the same Proposed-Demonstrated-Established promotion discipline the Next Steps document specifies, to be picked up once the MVP is shipped and generating the real usage data (query patterns, document types, actual failure modes) that would make prioritizing among those 62 tasks an evidence-based decision rather than a speculative one.</w:t>
      </w:r>
    </w:p>
    <w:bookmarkEnd w:id="55"/>
    <w:bookmarkEnd w:id="56"/>
    <w:bookmarkStart w:id="57" w:name="conclusion"/>
    <w:p>
      <w:pPr>
        <w:pStyle w:val="Heading2"/>
      </w:pPr>
      <w:r>
        <w:t xml:space="preserve">Conclusion</w:t>
      </w:r>
    </w:p>
    <w:p>
      <w:pPr>
        <w:pStyle w:val="FirstParagraph"/>
      </w:pPr>
      <w:r>
        <w:t xml:space="preserve">This plan’s entire argument fits in one sentence: build the three components this body of work has actually proven correct, wrapped in the security and infrastructure hardening the last five sessions actually verified by running it, and ship that — deferring, by name and without apology, nearly everything else this body of work has spent nine prior documents describing. That is a smaller and less exciting scope than the full AMDI-OS architecture, and it is exactly what an MVP is supposed to be. The plan’s single point of continuity with everything before it is methodological, not architectural: Phase 0’s retrieval-backend audit applies the same discipline that found four real bugs in four sessions, Phase 1’s integration test applies the same composition-level scrutiny that TC-19 first established, and Section 6’s acceptance criteria require the same thing every document in this body of work has required — a specific, named, actually-run test, not a claim.</w:t>
      </w:r>
    </w:p>
    <w:bookmarkEnd w:id="57"/>
    <w:bookmarkEnd w:id="5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2026-07-26T00:59:14Z</dcterms:created>
  <dcterms:modified xsi:type="dcterms:W3CDTF">2026-07-26T00:59:14Z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MVP Development and Implementation Plan</vt:lpwstr>
  </property>
</Properties>
</file>