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AEGIS-DocIntel</w:t>
      </w:r>
      <w:r>
        <w:t xml:space="preserve"> </w:t>
      </w:r>
      <w:r>
        <w:t xml:space="preserve">/</w:t>
      </w:r>
      <w:r>
        <w:t xml:space="preserve"> </w:t>
      </w:r>
      <w:r>
        <w:t xml:space="preserve">AMDI-OS</w:t>
      </w:r>
    </w:p>
    <w:p>
      <w:pPr>
        <w:pStyle w:val="Subtitle"/>
      </w:pPr>
      <w:r>
        <w:t xml:space="preserve">Pre-LLM</w:t>
      </w:r>
      <w:r>
        <w:t xml:space="preserve"> </w:t>
      </w:r>
      <w:r>
        <w:t xml:space="preserve">Component</w:t>
      </w:r>
      <w:r>
        <w:t xml:space="preserve"> </w:t>
      </w:r>
      <w:r>
        <w:t xml:space="preserve">Expansion:</w:t>
      </w:r>
      <w:r>
        <w:t xml:space="preserve"> </w:t>
      </w:r>
      <w:r>
        <w:t xml:space="preserve">Modules,</w:t>
      </w:r>
      <w:r>
        <w:t xml:space="preserve"> </w:t>
      </w:r>
      <w:r>
        <w:t xml:space="preserve">Functions,</w:t>
      </w:r>
      <w:r>
        <w:t xml:space="preserve"> </w:t>
      </w:r>
      <w:r>
        <w:t xml:space="preserve">and</w:t>
      </w:r>
      <w:r>
        <w:t xml:space="preserve"> </w:t>
      </w:r>
      <w:r>
        <w:t xml:space="preserve">Technology</w:t>
      </w:r>
      <w:r>
        <w:t xml:space="preserve"> </w:t>
      </w:r>
      <w:r>
        <w:t xml:space="preserve">Stack</w:t>
      </w:r>
      <w:r>
        <w:t xml:space="preserve"> </w:t>
      </w:r>
      <w:r>
        <w:t xml:space="preserve">Specification</w:t>
      </w:r>
    </w:p>
    <w:p>
      <w:pPr>
        <w:pStyle w:val="Author"/>
      </w:pPr>
      <w:r>
        <w:t xml:space="preserve">Sahil</w:t>
      </w:r>
      <w:r>
        <w:t xml:space="preserve"> </w:t>
      </w:r>
      <w:r>
        <w:t xml:space="preserve">Khutey,</w:t>
      </w:r>
      <w:r>
        <w:t xml:space="preserve"> </w:t>
      </w:r>
      <w:r>
        <w:t xml:space="preserve">with</w:t>
      </w:r>
      <w:r>
        <w:t xml:space="preserve"> </w:t>
      </w:r>
      <w:r>
        <w:t xml:space="preserve">AI</w:t>
      </w:r>
      <w:r>
        <w:t xml:space="preserve"> </w:t>
      </w:r>
      <w:r>
        <w:t xml:space="preserve">Research</w:t>
      </w:r>
      <w:r>
        <w:t xml:space="preserve"> </w:t>
      </w:r>
      <w:r>
        <w:t xml:space="preserve">Collaborator</w:t>
      </w:r>
      <w:r>
        <w:t xml:space="preserve"> </w:t>
      </w:r>
      <w:r>
        <w:t xml:space="preserve">(Gensouls</w:t>
      </w:r>
      <w:r>
        <w:t xml:space="preserve"> </w:t>
      </w:r>
      <w:r>
        <w:t xml:space="preserve">Lab)</w:t>
      </w:r>
    </w:p>
    <w:p>
      <w:pPr>
        <w:pStyle w:val="Date"/>
      </w:pPr>
      <w:r>
        <w:t xml:space="preserve">July</w:t>
      </w:r>
      <w:r>
        <w:t xml:space="preserve"> </w:t>
      </w:r>
      <w:r>
        <w:t xml:space="preserve">2026</w:t>
      </w:r>
    </w:p>
    <w:bookmarkStart w:id="20" w:name="table-of-contents"/>
    <w:p>
      <w:pPr>
        <w:pStyle w:val="Heading1"/>
      </w:pPr>
      <w:r>
        <w:t xml:space="preserve">Table of Contents</w:t>
      </w:r>
    </w:p>
    <w:p>
      <w:pPr>
        <w:pStyle w:val="FirstParagraph"/>
      </w:pPr>
      <w:r>
        <w:t xml:space="preserve">Executive Summary ……………………………………………………. 3</w:t>
      </w:r>
      <w:r>
        <w:br/>
      </w:r>
      <w:r>
        <w:t xml:space="preserve">1. Technology Selection Principles and Shared Stack ……………………… 4</w:t>
      </w:r>
      <w:r>
        <w:br/>
      </w:r>
      <w:r>
        <w:t xml:space="preserve">2. PII and Compliance Redaction Pre-Filter ……………………………… 6</w:t>
      </w:r>
      <w:r>
        <w:br/>
      </w:r>
      <w:r>
        <w:t xml:space="preserve">3. Cross-Document Entity Resolution ……………………………………. 9</w:t>
      </w:r>
      <w:r>
        <w:br/>
      </w:r>
      <w:r>
        <w:t xml:space="preserve">4. Document Version and Structural Diff Engine ………………………….. 12</w:t>
      </w:r>
      <w:r>
        <w:br/>
      </w:r>
      <w:r>
        <w:t xml:space="preserve">5. Ingestion Anomaly and Adversarial-Content Gate ……………………….. 15</w:t>
      </w:r>
      <w:r>
        <w:br/>
      </w:r>
      <w:r>
        <w:t xml:space="preserve">6. Numerical and Unit Normalization Layer ………………………………. 18</w:t>
      </w:r>
      <w:r>
        <w:br/>
      </w:r>
      <w:r>
        <w:t xml:space="preserve">7. Query Decomposition Pre-Processor …………………………………… 21</w:t>
      </w:r>
      <w:r>
        <w:br/>
      </w:r>
      <w:r>
        <w:t xml:space="preserve">8. Master Technology Stack Table ………………………………………. 24</w:t>
      </w:r>
      <w:r>
        <w:br/>
      </w:r>
      <w:r>
        <w:t xml:space="preserve">9. Consolidated Test Plan …………………………………………….. 26</w:t>
      </w:r>
      <w:r>
        <w:br/>
      </w:r>
      <w:r>
        <w:t xml:space="preserve">Conclusion ………………………………………………………….. 29</w:t>
      </w:r>
    </w:p>
    <w:bookmarkEnd w:id="20"/>
    <w:bookmarkStart w:id="78" w:name="executive-summary"/>
    <w:p>
      <w:pPr>
        <w:pStyle w:val="Heading1"/>
      </w:pPr>
      <w:r>
        <w:t xml:space="preserve">Executive Summary</w:t>
      </w:r>
    </w:p>
    <w:p>
      <w:pPr>
        <w:pStyle w:val="FirstParagraph"/>
      </w:pPr>
      <w:r>
        <w:t xml:space="preserve">This document specifies the concrete modules, function signatures, and technology stack for the six pre-LLM architectural gaps identified as the next expansion of AEGIS-DocIntel’s operating-system layer: PII/compliance redaction, cross-document entity resolution, document version/diff tracking, ingestion anomaly detection, numerical/unit normalization, and query decomposition. Each of these sits strictly upstream of any language-model call, consistent with the pre-LLM framing of monograph Section 4.1, and each is specified here with the same rigor as the Implementation Specification’s nine features: typed data structures, function signatures, a named technology stack with rationale, an integration point into AEGIS’s existing engine structure, and a test plan.</w:t>
      </w:r>
    </w:p>
    <w:p>
      <w:pPr>
        <w:pStyle w:val="BodyText"/>
      </w:pPr>
      <w:r>
        <w:t xml:space="preserve">Every technology choice in this document is a named, mature, widely-adopted library — Microsoft Presidio for PII detection, Splink for probabilistic entity resolution, Pint for unit-aware numerical computation, APTED for tree-edit-distance structural diffing — selected specifically because AEGIS’s own design philosophy (monograph Section 4.1’s separation of concerns, and this body of work’s repeated preference for training-free, closed-form components over trained models wherever one exists) favors mature, purpose-built libraries over custom-built or LLM-based alternatives for well-solved sub-problems. Where a genuinely trained-model component is unavoidable (entity-linking embeddings, adversarial-content classification), this document flags it explicitly and applies the same Established/Demonstrated/Proposed evidentiary discipline this entire body of work has maintained throughout.</w:t>
      </w:r>
    </w:p>
    <w:p>
      <w:pPr>
        <w:pStyle w:val="BodyText"/>
      </w:pPr>
      <w:r>
        <w:t xml:space="preserve">Section 1 sets the technology-selection principles and the shared Python-based stack these six components extend. Sections 2-7 specify each component in turn. Section 8 consolidates every new dependency into a single master stack table, and Section 9 gives the test plan (continuing this body of work’s TC-* numbering as TC-P-01 onward).</w:t>
      </w:r>
    </w:p>
    <w:bookmarkStart w:id="25" w:name="Xb3dea9282868e0edf19a275291e11907a5a2c5b"/>
    <w:p>
      <w:pPr>
        <w:pStyle w:val="Heading2"/>
      </w:pPr>
      <w:r>
        <w:t xml:space="preserve">1. Technology Selection Principles and Shared Stack</w:t>
      </w:r>
    </w:p>
    <w:bookmarkStart w:id="21" w:name="selection-principles"/>
    <w:p>
      <w:pPr>
        <w:pStyle w:val="Heading3"/>
      </w:pPr>
      <w:r>
        <w:t xml:space="preserve">1.1 Selection Principles</w:t>
      </w:r>
    </w:p>
    <w:p>
      <w:pPr>
        <w:pStyle w:val="FirstParagraph"/>
      </w:pPr>
      <w:r>
        <w:t xml:space="preserve">Four principles govern every technology choice in Sections 2-7, applied consistently:</w:t>
      </w:r>
      <w:r>
        <w:t xml:space="preserve"> </w:t>
      </w:r>
      <w:r>
        <w:rPr>
          <w:bCs/>
          <w:b/>
        </w:rPr>
        <w:t xml:space="preserve">prefer training-free over trained</w:t>
      </w:r>
      <w:r>
        <w:t xml:space="preserve"> </w:t>
      </w:r>
      <w:r>
        <w:t xml:space="preserve">wherever a closed-form or rule-based method achieves comparable results, consistent with this body of work’s repeated observation (Feasibility and Validation Report Section 2.1) that AEGIS’s most successfully hardened components are exactly its training-free ones;</w:t>
      </w:r>
      <w:r>
        <w:t xml:space="preserve"> </w:t>
      </w:r>
      <w:r>
        <w:rPr>
          <w:bCs/>
          <w:b/>
        </w:rPr>
        <w:t xml:space="preserve">prefer a mature, widely-adopted library over a custom implementation</w:t>
      </w:r>
      <w:r>
        <w:t xml:space="preserve"> </w:t>
      </w:r>
      <w:r>
        <w:t xml:space="preserve">for any well-solved sub-problem, so that AEGIS’s own engineering effort concentrates on the genuinely novel parts of its architecture rather than re-solving PII detection or unit conversion from scratch;</w:t>
      </w:r>
      <w:r>
        <w:t xml:space="preserve"> </w:t>
      </w:r>
      <w:r>
        <w:rPr>
          <w:bCs/>
          <w:b/>
        </w:rPr>
        <w:t xml:space="preserve">prefer a library already in AEGIS’s dependency graph</w:t>
      </w:r>
      <w:r>
        <w:t xml:space="preserve"> </w:t>
      </w:r>
      <w:r>
        <w:t xml:space="preserve">where one exists (for instance, reusing the POT library already introduced by the Enhancement Research Report’s optimal-transport work, or spaCy if already present for the Semantic Engine’s named-entity recognition per monograph Section 5.4) over introducing a redundant alternative; and</w:t>
      </w:r>
      <w:r>
        <w:t xml:space="preserve"> </w:t>
      </w:r>
      <w:r>
        <w:rPr>
          <w:bCs/>
          <w:b/>
        </w:rPr>
        <w:t xml:space="preserve">flag every trained-model dependency explicitly</w:t>
      </w:r>
      <w:r>
        <w:t xml:space="preserve">, since a trained component carries the drift-monitoring and retraining burden the Feasibility and Validation Report’s risks R4-R5 already established as a recurring cost for AEGIS’s other trained components.</w:t>
      </w:r>
    </w:p>
    <w:bookmarkEnd w:id="21"/>
    <w:bookmarkStart w:id="22" w:name="shared-language-and-runtime"/>
    <w:p>
      <w:pPr>
        <w:pStyle w:val="Heading3"/>
      </w:pPr>
      <w:r>
        <w:t xml:space="preserve">1.2 Shared Language and Runtime</w:t>
      </w:r>
    </w:p>
    <w:p>
      <w:pPr>
        <w:pStyle w:val="FirstParagraph"/>
      </w:pPr>
      <w:r>
        <w:t xml:space="preserve">Every module specified in this document is Python, consistent with AEGIS’s existing engine implementations (monograph Section 5, Appendix G’s interface contracts) and with every dependency introduced by the Enhancement Research Report and Implementation Specification (POT, GUDHI, SubModLib, DHG). No component in this document requires a new runtime or language beyond what AEGIS’s existing twelve-engine codebase already assumes.</w:t>
      </w:r>
    </w:p>
    <w:bookmarkEnd w:id="22"/>
    <w:bookmarkStart w:id="23" w:name="module-placement-convention"/>
    <w:p>
      <w:pPr>
        <w:pStyle w:val="Heading3"/>
      </w:pPr>
      <w:r>
        <w:t xml:space="preserve">1.3 Module Placement Convention</w:t>
      </w:r>
    </w:p>
    <w:p>
      <w:pPr>
        <w:pStyle w:val="FirstParagraph"/>
      </w:pPr>
      <w:r>
        <w:t xml:space="preserve">Following the Implementation Specification’s Section 5.1 directory convention, each new component in Sections 2-7 is placed under a new top-level</w:t>
      </w:r>
      <w:r>
        <w:t xml:space="preserve"> </w:t>
      </w:r>
      <w:r>
        <w:rPr>
          <w:rStyle w:val="VerbatimChar"/>
        </w:rPr>
        <w:t xml:space="preserve">compliance/</w:t>
      </w:r>
      <w:r>
        <w:t xml:space="preserve">,</w:t>
      </w:r>
      <w:r>
        <w:t xml:space="preserve"> </w:t>
      </w:r>
      <w:r>
        <w:rPr>
          <w:rStyle w:val="VerbatimChar"/>
        </w:rPr>
        <w:t xml:space="preserve">entity/</w:t>
      </w:r>
      <w:r>
        <w:t xml:space="preserve">,</w:t>
      </w:r>
      <w:r>
        <w:t xml:space="preserve"> </w:t>
      </w:r>
      <w:r>
        <w:rPr>
          <w:rStyle w:val="VerbatimChar"/>
        </w:rPr>
        <w:t xml:space="preserve">versioning/</w:t>
      </w:r>
      <w:r>
        <w:t xml:space="preserve">, or</w:t>
      </w:r>
      <w:r>
        <w:t xml:space="preserve"> </w:t>
      </w:r>
      <w:r>
        <w:rPr>
          <w:rStyle w:val="VerbatimChar"/>
        </w:rPr>
        <w:t xml:space="preserve">query/</w:t>
      </w:r>
      <w:r>
        <w:t xml:space="preserve"> </w:t>
      </w:r>
      <w:r>
        <w:t xml:space="preserve">package where it introduces a genuinely new engine category, or under the existing</w:t>
      </w:r>
      <w:r>
        <w:t xml:space="preserve"> </w:t>
      </w:r>
      <w:r>
        <w:rPr>
          <w:rStyle w:val="VerbatimChar"/>
        </w:rPr>
        <w:t xml:space="preserve">engines/matrix/</w:t>
      </w:r>
      <w:r>
        <w:t xml:space="preserve"> </w:t>
      </w:r>
      <w:r>
        <w:t xml:space="preserve">or</w:t>
      </w:r>
      <w:r>
        <w:t xml:space="preserve"> </w:t>
      </w:r>
      <w:r>
        <w:rPr>
          <w:rStyle w:val="VerbatimChar"/>
        </w:rPr>
        <w:t xml:space="preserve">engines/ingestion/</w:t>
      </w:r>
      <w:r>
        <w:t xml:space="preserve"> </w:t>
      </w:r>
      <w:r>
        <w:t xml:space="preserve">path where it extends an existing engine’s responsibility. Table 1.1 previews this placement; each section below restates it at the point of detail.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Package</w:t>
            </w:r>
          </w:p>
        </w:tc>
        <w:tc>
          <w:tcPr/>
          <w:p>
            <w:pPr>
              <w:pStyle w:val="Compact"/>
              <w:jc w:val="left"/>
            </w:pPr>
            <w:r>
              <w:t xml:space="preserve">New or extends existing?</w:t>
            </w:r>
          </w:p>
        </w:tc>
      </w:tr>
      <w:tr>
        <w:tc>
          <w:tcPr/>
          <w:p>
            <w:pPr>
              <w:pStyle w:val="Compact"/>
              <w:jc w:val="left"/>
            </w:pPr>
            <w:r>
              <w:t xml:space="preserve">PII/compliance redaction</w:t>
            </w:r>
          </w:p>
        </w:tc>
        <w:tc>
          <w:tcPr/>
          <w:p>
            <w:pPr>
              <w:pStyle w:val="Compact"/>
              <w:jc w:val="left"/>
            </w:pPr>
            <w:r>
              <w:rPr>
                <w:rStyle w:val="VerbatimChar"/>
              </w:rPr>
              <w:t xml:space="preserve">compliance/pii_detector.py</w:t>
            </w:r>
            <w:r>
              <w:t xml:space="preserve">,</w:t>
            </w:r>
            <w:r>
              <w:t xml:space="preserve"> </w:t>
            </w:r>
            <w:r>
              <w:rPr>
                <w:rStyle w:val="VerbatimChar"/>
              </w:rPr>
              <w:t xml:space="preserve">compliance/redaction_engine.py</w:t>
            </w:r>
          </w:p>
        </w:tc>
        <w:tc>
          <w:tcPr/>
          <w:p>
            <w:pPr>
              <w:pStyle w:val="Compact"/>
              <w:jc w:val="left"/>
            </w:pPr>
            <w:r>
              <w:t xml:space="preserve">New package</w:t>
            </w:r>
          </w:p>
        </w:tc>
      </w:tr>
      <w:tr>
        <w:tc>
          <w:tcPr/>
          <w:p>
            <w:pPr>
              <w:pStyle w:val="Compact"/>
              <w:jc w:val="left"/>
            </w:pPr>
            <w:r>
              <w:t xml:space="preserve">Cross-document entity resolution</w:t>
            </w:r>
          </w:p>
        </w:tc>
        <w:tc>
          <w:tcPr/>
          <w:p>
            <w:pPr>
              <w:pStyle w:val="Compact"/>
              <w:jc w:val="left"/>
            </w:pPr>
            <w:r>
              <w:rPr>
                <w:rStyle w:val="VerbatimChar"/>
              </w:rPr>
              <w:t xml:space="preserve">entity/canonicalizer.py</w:t>
            </w:r>
            <w:r>
              <w:t xml:space="preserve">,</w:t>
            </w:r>
            <w:r>
              <w:t xml:space="preserve"> </w:t>
            </w:r>
            <w:r>
              <w:rPr>
                <w:rStyle w:val="VerbatimChar"/>
              </w:rPr>
              <w:t xml:space="preserve">entity/entity_graph.py</w:t>
            </w:r>
          </w:p>
        </w:tc>
        <w:tc>
          <w:tcPr/>
          <w:p>
            <w:pPr>
              <w:pStyle w:val="Compact"/>
              <w:jc w:val="left"/>
            </w:pPr>
            <w:r>
              <w:t xml:space="preserve">New package</w:t>
            </w:r>
          </w:p>
        </w:tc>
      </w:tr>
      <w:tr>
        <w:tc>
          <w:tcPr/>
          <w:p>
            <w:pPr>
              <w:pStyle w:val="Compact"/>
              <w:jc w:val="left"/>
            </w:pPr>
            <w:r>
              <w:t xml:space="preserve">Document version/diff engine</w:t>
            </w:r>
          </w:p>
        </w:tc>
        <w:tc>
          <w:tcPr/>
          <w:p>
            <w:pPr>
              <w:pStyle w:val="Compact"/>
              <w:jc w:val="left"/>
            </w:pPr>
            <w:r>
              <w:rPr>
                <w:rStyle w:val="VerbatimChar"/>
              </w:rPr>
              <w:t xml:space="preserve">versioning/diff_engine.py</w:t>
            </w:r>
            <w:r>
              <w:t xml:space="preserve">,</w:t>
            </w:r>
            <w:r>
              <w:t xml:space="preserve"> </w:t>
            </w:r>
            <w:r>
              <w:rPr>
                <w:rStyle w:val="VerbatimChar"/>
              </w:rPr>
              <w:t xml:space="preserve">versioning/version_graph.py</w:t>
            </w:r>
          </w:p>
        </w:tc>
        <w:tc>
          <w:tcPr/>
          <w:p>
            <w:pPr>
              <w:pStyle w:val="Compact"/>
              <w:jc w:val="left"/>
            </w:pPr>
            <w:r>
              <w:t xml:space="preserve">New package</w:t>
            </w:r>
          </w:p>
        </w:tc>
      </w:tr>
      <w:tr>
        <w:tc>
          <w:tcPr/>
          <w:p>
            <w:pPr>
              <w:pStyle w:val="Compact"/>
              <w:jc w:val="left"/>
            </w:pPr>
            <w:r>
              <w:t xml:space="preserve">Ingestion anomaly gate</w:t>
            </w:r>
          </w:p>
        </w:tc>
        <w:tc>
          <w:tcPr/>
          <w:p>
            <w:pPr>
              <w:pStyle w:val="Compact"/>
              <w:jc w:val="left"/>
            </w:pPr>
            <w:r>
              <w:rPr>
                <w:rStyle w:val="VerbatimChar"/>
              </w:rPr>
              <w:t xml:space="preserve">ingestion/anomaly_gate.py</w:t>
            </w:r>
            <w:r>
              <w:t xml:space="preserve">,</w:t>
            </w:r>
            <w:r>
              <w:t xml:space="preserve"> </w:t>
            </w:r>
            <w:r>
              <w:rPr>
                <w:rStyle w:val="VerbatimChar"/>
              </w:rPr>
              <w:t xml:space="preserve">ingestion/injection_detector.py</w:t>
            </w:r>
          </w:p>
        </w:tc>
        <w:tc>
          <w:tcPr/>
          <w:p>
            <w:pPr>
              <w:pStyle w:val="Compact"/>
              <w:jc w:val="left"/>
            </w:pPr>
            <w:r>
              <w:t xml:space="preserve">Extends existing ingestion stage (monograph Section 4.2)</w:t>
            </w:r>
          </w:p>
        </w:tc>
      </w:tr>
      <w:tr>
        <w:tc>
          <w:tcPr/>
          <w:p>
            <w:pPr>
              <w:pStyle w:val="Compact"/>
              <w:jc w:val="left"/>
            </w:pPr>
            <w:r>
              <w:t xml:space="preserve">Numerical/unit normalization</w:t>
            </w:r>
          </w:p>
        </w:tc>
        <w:tc>
          <w:tcPr/>
          <w:p>
            <w:pPr>
              <w:pStyle w:val="Compact"/>
              <w:jc w:val="left"/>
            </w:pPr>
            <w:r>
              <w:rPr>
                <w:rStyle w:val="VerbatimChar"/>
              </w:rPr>
              <w:t xml:space="preserve">engines/matrix/unit_normalizer.py</w:t>
            </w:r>
          </w:p>
        </w:tc>
        <w:tc>
          <w:tcPr/>
          <w:p>
            <w:pPr>
              <w:pStyle w:val="Compact"/>
              <w:jc w:val="left"/>
            </w:pPr>
            <w:r>
              <w:t xml:space="preserve">Extends existing Matrix Engine</w:t>
            </w:r>
          </w:p>
        </w:tc>
      </w:tr>
      <w:tr>
        <w:tc>
          <w:tcPr/>
          <w:p>
            <w:pPr>
              <w:pStyle w:val="Compact"/>
              <w:jc w:val="left"/>
            </w:pPr>
            <w:r>
              <w:t xml:space="preserve">Query decomposition</w:t>
            </w:r>
          </w:p>
        </w:tc>
        <w:tc>
          <w:tcPr/>
          <w:p>
            <w:pPr>
              <w:pStyle w:val="Compact"/>
              <w:jc w:val="left"/>
            </w:pPr>
            <w:r>
              <w:rPr>
                <w:rStyle w:val="VerbatimChar"/>
              </w:rPr>
              <w:t xml:space="preserve">query/decomposer.py</w:t>
            </w:r>
            <w:r>
              <w:t xml:space="preserve">,</w:t>
            </w:r>
            <w:r>
              <w:t xml:space="preserve"> </w:t>
            </w:r>
            <w:r>
              <w:rPr>
                <w:rStyle w:val="VerbatimChar"/>
              </w:rPr>
              <w:t xml:space="preserve">query/subquery_dag.py</w:t>
            </w:r>
          </w:p>
        </w:tc>
        <w:tc>
          <w:tcPr/>
          <w:p>
            <w:pPr>
              <w:pStyle w:val="Compact"/>
              <w:jc w:val="left"/>
            </w:pPr>
            <w:r>
              <w:t xml:space="preserve">New package, upstream of Section 15.2</w:t>
            </w:r>
          </w:p>
        </w:tc>
      </w:tr>
    </w:tbl>
    <w:bookmarkEnd w:id="23"/>
    <w:bookmarkStart w:id="24" w:name="interface-contract-discipline"/>
    <w:p>
      <w:pPr>
        <w:pStyle w:val="Heading3"/>
      </w:pPr>
      <w:r>
        <w:t xml:space="preserve">1.4 Interface Contract Discipline</w:t>
      </w:r>
    </w:p>
    <w:p>
      <w:pPr>
        <w:pStyle w:val="FirstParagraph"/>
      </w:pPr>
      <w:r>
        <w:t xml:space="preserve">Consistent with Appendix G’s stability guarantee, every function specified in Sections 2-7 is designed so a downstream consumer depends only on its documented input/output contract, never its internals — meaning any of these six components’ underlying library (Presidio, Splink, Pint) could in principle be swapped for an alternative without changing any calling code elsewhere in AEGIS, the same substitutability property that let Section 11’s defect fixes (recursive DFS to Kahn’s algorithm) ship without touching Sections 7-9’s consumer logic.</w:t>
      </w:r>
    </w:p>
    <w:bookmarkEnd w:id="24"/>
    <w:bookmarkEnd w:id="25"/>
    <w:bookmarkStart w:id="32" w:name="pii-and-compliance-redaction-pre-filter"/>
    <w:p>
      <w:pPr>
        <w:pStyle w:val="Heading2"/>
      </w:pPr>
      <w:r>
        <w:t xml:space="preserve">2. PII and Compliance Redaction Pre-Filter</w:t>
      </w:r>
    </w:p>
    <w:bookmarkStart w:id="26" w:name="what-it-does"/>
    <w:p>
      <w:pPr>
        <w:pStyle w:val="Heading3"/>
      </w:pPr>
      <w:r>
        <w:t xml:space="preserve">2.1 What It Does</w:t>
      </w:r>
    </w:p>
    <w:p>
      <w:pPr>
        <w:pStyle w:val="FirstParagraph"/>
      </w:pPr>
      <w:r>
        <w:t xml:space="preserve">Scans every element extracted by AEGIS’s ingestion stage (monograph Section 5.2) for personally identifiable and regulated-sensitive information before that content reaches any downstream engine, embedding step, or eventual language-model context, and either redacts, tokenizes, or flags it according to a configurable policy — closing the gap this body of work’s prior discussion identified: AEGIS targets regulated document types (financial, legal, medical, per monograph Section 17.1) but no existing engine screens for the sensitive-data categories those document types routinely contain.</w:t>
      </w:r>
    </w:p>
    <w:bookmarkEnd w:id="26"/>
    <w:bookmarkStart w:id="27" w:name="technology-stack"/>
    <w:p>
      <w:pPr>
        <w:pStyle w:val="Heading3"/>
      </w:pPr>
      <w:r>
        <w:t xml:space="preserve">2.2 Technology Stack</w:t>
      </w:r>
    </w:p>
    <w:p>
      <w:pPr>
        <w:pStyle w:val="FirstParagraph"/>
      </w:pPr>
      <w:r>
        <w:rPr>
          <w:bCs/>
          <w:b/>
        </w:rPr>
        <w:t xml:space="preserve">Microsoft Presidio</w:t>
      </w:r>
      <w:r>
        <w:t xml:space="preserve"> </w:t>
      </w:r>
      <w:r>
        <w:t xml:space="preserve">(</w:t>
      </w:r>
      <w:r>
        <w:rPr>
          <w:rStyle w:val="VerbatimChar"/>
        </w:rPr>
        <w:t xml:space="preserve">presidio-analyzer</w:t>
      </w:r>
      <w:r>
        <w:t xml:space="preserve"> </w:t>
      </w:r>
      <w:r>
        <w:t xml:space="preserve">and</w:t>
      </w:r>
      <w:r>
        <w:t xml:space="preserve"> </w:t>
      </w:r>
      <w:r>
        <w:rPr>
          <w:rStyle w:val="VerbatimChar"/>
        </w:rPr>
        <w:t xml:space="preserve">presidio-anonymizer</w:t>
      </w:r>
      <w:r>
        <w:t xml:space="preserve"> </w:t>
      </w:r>
      <w:r>
        <w:t xml:space="preserve">packages) is the primary dependency — an open-source, actively-maintained PII detection and anonymization framework purpose-built for exactly this problem, combining regex-based recognizers (for structured PII like SSNs, credit card numbers with Luhn-checksum validation, and phone numbers) with spaCy-based NER recognizers (for unstructured PII like names, addresses, and organizations).</w:t>
      </w:r>
      <w:r>
        <w:t xml:space="preserve"> </w:t>
      </w:r>
      <w:r>
        <w:rPr>
          <w:bCs/>
          <w:b/>
        </w:rPr>
        <w:t xml:space="preserve">spaCy</w:t>
      </w:r>
      <w:r>
        <w:t xml:space="preserve"> </w:t>
      </w:r>
      <w:r>
        <w:t xml:space="preserve">is a shared dependency, reused from AEGIS’s existing Semantic Engine NER (monograph Section 5.4) rather than introduced fresh. Presidio’s recognizer registry is extensible, allowing AEGIS to add domain-specific recognizers (patient IDs, case numbers, policy numbers) matched to its target regulated-document categories without modifying Presidio’s core.</w:t>
      </w:r>
    </w:p>
    <w:bookmarkEnd w:id="27"/>
    <w:bookmarkStart w:id="28" w:name="data-structures"/>
    <w:p>
      <w:pPr>
        <w:pStyle w:val="Heading3"/>
      </w:pPr>
      <w:r>
        <w:t xml:space="preserve">2.3 Data Structures</w:t>
      </w:r>
    </w:p>
    <w:p>
      <w:pPr>
        <w:pStyle w:val="SourceCode"/>
      </w:pPr>
      <w:r>
        <w:rPr>
          <w:rStyle w:val="NormalTok"/>
        </w:rPr>
        <w:t xml:space="preserve">PIIEntity </w:t>
      </w:r>
      <w:r>
        <w:rPr>
          <w:rStyle w:val="OperatorTok"/>
        </w:rPr>
        <w:t xml:space="preserve">=</w:t>
      </w:r>
      <w:r>
        <w:rPr>
          <w:rStyle w:val="NormalTok"/>
        </w:rPr>
        <w:t xml:space="preserve"> {</w:t>
      </w:r>
      <w:r>
        <w:br/>
      </w:r>
      <w:r>
        <w:rPr>
          <w:rStyle w:val="NormalTok"/>
        </w:rPr>
        <w:t xml:space="preserve">    </w:t>
      </w:r>
      <w:r>
        <w:rPr>
          <w:rStyle w:val="StringTok"/>
        </w:rPr>
        <w:t xml:space="preserve">"entity_type"</w:t>
      </w:r>
      <w:r>
        <w:rPr>
          <w:rStyle w:val="NormalTok"/>
        </w:rPr>
        <w:t xml:space="preserve">: </w:t>
      </w:r>
      <w:r>
        <w:rPr>
          <w:rStyle w:val="BuiltInTok"/>
        </w:rPr>
        <w:t xml:space="preserve">str</w:t>
      </w:r>
      <w:r>
        <w:rPr>
          <w:rStyle w:val="NormalTok"/>
        </w:rPr>
        <w:t xml:space="preserve">,        </w:t>
      </w:r>
      <w:r>
        <w:rPr>
          <w:rStyle w:val="CommentTok"/>
        </w:rPr>
        <w:t xml:space="preserve"># e.g. "PERSON", "US_SSN", "CREDIT_CARD", "MEDICAL_LICENSE"</w:t>
      </w:r>
      <w:r>
        <w:br/>
      </w:r>
      <w:r>
        <w:rPr>
          <w:rStyle w:val="NormalTok"/>
        </w:rPr>
        <w:t xml:space="preserve">    </w:t>
      </w:r>
      <w:r>
        <w:rPr>
          <w:rStyle w:val="StringTok"/>
        </w:rPr>
        <w:t xml:space="preserve">"element_id"</w:t>
      </w:r>
      <w:r>
        <w:rPr>
          <w:rStyle w:val="NormalTok"/>
        </w:rPr>
        <w:t xml:space="preserve">: ElementID,   </w:t>
      </w:r>
      <w:r>
        <w:rPr>
          <w:rStyle w:val="CommentTok"/>
        </w:rPr>
        <w:t xml:space="preserve"># which Section 5.2 element this was found in</w:t>
      </w:r>
      <w:r>
        <w:br/>
      </w:r>
      <w:r>
        <w:rPr>
          <w:rStyle w:val="NormalTok"/>
        </w:rPr>
        <w:t xml:space="preserve">    </w:t>
      </w:r>
      <w:r>
        <w:rPr>
          <w:rStyle w:val="StringTok"/>
        </w:rPr>
        <w:t xml:space="preserve">"start"</w:t>
      </w:r>
      <w:r>
        <w:rPr>
          <w:rStyle w:val="NormalTok"/>
        </w:rPr>
        <w:t xml:space="preserve">: </w:t>
      </w:r>
      <w:r>
        <w:rPr>
          <w:rStyle w:val="BuiltInTok"/>
        </w:rPr>
        <w:t xml:space="preserve">int</w:t>
      </w:r>
      <w:r>
        <w:rPr>
          <w:rStyle w:val="NormalTok"/>
        </w:rPr>
        <w:t xml:space="preserve">, </w:t>
      </w:r>
      <w:r>
        <w:rPr>
          <w:rStyle w:val="StringTok"/>
        </w:rPr>
        <w:t xml:space="preserve">"end"</w:t>
      </w:r>
      <w:r>
        <w:rPr>
          <w:rStyle w:val="NormalTok"/>
        </w:rPr>
        <w:t xml:space="preserve">: </w:t>
      </w:r>
      <w:r>
        <w:rPr>
          <w:rStyle w:val="BuiltInTok"/>
        </w:rPr>
        <w:t xml:space="preserve">int</w:t>
      </w:r>
      <w:r>
        <w:rPr>
          <w:rStyle w:val="NormalTok"/>
        </w:rPr>
        <w:t xml:space="preserve">,  </w:t>
      </w:r>
      <w:r>
        <w:rPr>
          <w:rStyle w:val="CommentTok"/>
        </w:rPr>
        <w:t xml:space="preserve"># character offsets within the element</w:t>
      </w:r>
      <w:r>
        <w:br/>
      </w:r>
      <w:r>
        <w:rPr>
          <w:rStyle w:val="NormalTok"/>
        </w:rPr>
        <w:t xml:space="preserve">    </w:t>
      </w:r>
      <w:r>
        <w:rPr>
          <w:rStyle w:val="StringTok"/>
        </w:rPr>
        <w:t xml:space="preserve">"score"</w:t>
      </w:r>
      <w:r>
        <w:rPr>
          <w:rStyle w:val="NormalTok"/>
        </w:rPr>
        <w:t xml:space="preserve">: </w:t>
      </w:r>
      <w:r>
        <w:rPr>
          <w:rStyle w:val="BuiltInTok"/>
        </w:rPr>
        <w:t xml:space="preserve">float</w:t>
      </w:r>
      <w:r>
        <w:rPr>
          <w:rStyle w:val="NormalTok"/>
        </w:rPr>
        <w:t xml:space="preserve">,            </w:t>
      </w:r>
      <w:r>
        <w:rPr>
          <w:rStyle w:val="CommentTok"/>
        </w:rPr>
        <w:t xml:space="preserve"># Presidio confidence score, 0-1</w:t>
      </w:r>
      <w:r>
        <w:br/>
      </w:r>
      <w:r>
        <w:rPr>
          <w:rStyle w:val="NormalTok"/>
        </w:rPr>
        <w:t xml:space="preserve">    </w:t>
      </w:r>
      <w:r>
        <w:rPr>
          <w:rStyle w:val="StringTok"/>
        </w:rPr>
        <w:t xml:space="preserve">"text"</w:t>
      </w:r>
      <w:r>
        <w:rPr>
          <w:rStyle w:val="NormalTok"/>
        </w:rPr>
        <w:t xml:space="preserve">: </w:t>
      </w:r>
      <w:r>
        <w:rPr>
          <w:rStyle w:val="BuiltInTok"/>
        </w:rPr>
        <w:t xml:space="preserve">str</w:t>
      </w:r>
      <w:r>
        <w:rPr>
          <w:rStyle w:val="NormalTok"/>
        </w:rPr>
        <w:t xml:space="preserve">,                </w:t>
      </w:r>
      <w:r>
        <w:rPr>
          <w:rStyle w:val="CommentTok"/>
        </w:rPr>
        <w:t xml:space="preserve"># the detected span (retained only if policy allows)</w:t>
      </w:r>
      <w:r>
        <w:br/>
      </w:r>
      <w:r>
        <w:rPr>
          <w:rStyle w:val="NormalTok"/>
        </w:rPr>
        <w:t xml:space="preserve">}</w:t>
      </w:r>
      <w:r>
        <w:br/>
      </w:r>
      <w:r>
        <w:rPr>
          <w:rStyle w:val="NormalTok"/>
        </w:rPr>
        <w:t xml:space="preserve">RedactionPolicy </w:t>
      </w:r>
      <w:r>
        <w:rPr>
          <w:rStyle w:val="OperatorTok"/>
        </w:rPr>
        <w:t xml:space="preserve">=</w:t>
      </w:r>
      <w:r>
        <w:rPr>
          <w:rStyle w:val="NormalTok"/>
        </w:rPr>
        <w:t xml:space="preserve"> {</w:t>
      </w:r>
      <w:r>
        <w:br/>
      </w:r>
      <w:r>
        <w:rPr>
          <w:rStyle w:val="NormalTok"/>
        </w:rPr>
        <w:t xml:space="preserve">    </w:t>
      </w:r>
      <w:r>
        <w:rPr>
          <w:rStyle w:val="StringTok"/>
        </w:rPr>
        <w:t xml:space="preserve">"entity_type"</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"action"</w:t>
      </w:r>
      <w:r>
        <w:rPr>
          <w:rStyle w:val="NormalTok"/>
        </w:rPr>
        <w:t xml:space="preserve">: </w:t>
      </w:r>
      <w:r>
        <w:rPr>
          <w:rStyle w:val="BuiltInTok"/>
        </w:rPr>
        <w:t xml:space="preserve">str</w:t>
      </w:r>
      <w:r>
        <w:rPr>
          <w:rStyle w:val="NormalTok"/>
        </w:rPr>
        <w:t xml:space="preserve">,             </w:t>
      </w:r>
      <w:r>
        <w:rPr>
          <w:rStyle w:val="CommentTok"/>
        </w:rPr>
        <w:t xml:space="preserve"># "redact" | "tokenize" | "flag_only" | "allow"</w:t>
      </w:r>
      <w:r>
        <w:br/>
      </w:r>
      <w:r>
        <w:rPr>
          <w:rStyle w:val="NormalTok"/>
        </w:rPr>
        <w:t xml:space="preserve">    </w:t>
      </w:r>
      <w:r>
        <w:rPr>
          <w:rStyle w:val="StringTok"/>
        </w:rPr>
        <w:t xml:space="preserve">"replacement"</w:t>
      </w:r>
      <w:r>
        <w:rPr>
          <w:rStyle w:val="NormalTok"/>
        </w:rPr>
        <w:t xml:space="preserve">: Optional[</w:t>
      </w:r>
      <w:r>
        <w:rPr>
          <w:rStyle w:val="BuiltInTok"/>
        </w:rPr>
        <w:t xml:space="preserve">str</w:t>
      </w:r>
      <w:r>
        <w:rPr>
          <w:rStyle w:val="NormalTok"/>
        </w:rPr>
        <w:t xml:space="preserve">],</w:t>
      </w:r>
      <w:r>
        <w:br/>
      </w:r>
      <w:r>
        <w:rPr>
          <w:rStyle w:val="NormalTok"/>
        </w:rPr>
        <w:t xml:space="preserve">}</w:t>
      </w:r>
      <w:r>
        <w:br/>
      </w:r>
      <w:r>
        <w:rPr>
          <w:rStyle w:val="NormalTok"/>
        </w:rPr>
        <w:t xml:space="preserve">ComplianceReport </w:t>
      </w:r>
      <w:r>
        <w:rPr>
          <w:rStyle w:val="OperatorTok"/>
        </w:rPr>
        <w:t xml:space="preserve">=</w:t>
      </w:r>
      <w:r>
        <w:rPr>
          <w:rStyle w:val="NormalTok"/>
        </w:rPr>
        <w:t xml:space="preserve"> {</w:t>
      </w:r>
      <w:r>
        <w:br/>
      </w:r>
      <w:r>
        <w:rPr>
          <w:rStyle w:val="NormalTok"/>
        </w:rPr>
        <w:t xml:space="preserve">    </w:t>
      </w:r>
      <w:r>
        <w:rPr>
          <w:rStyle w:val="StringTok"/>
        </w:rPr>
        <w:t xml:space="preserve">"document_id"</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"entities_found"</w:t>
      </w:r>
      <w:r>
        <w:rPr>
          <w:rStyle w:val="NormalTok"/>
        </w:rPr>
        <w:t xml:space="preserve">: List[PIIEntity],</w:t>
      </w:r>
      <w:r>
        <w:br/>
      </w:r>
      <w:r>
        <w:rPr>
          <w:rStyle w:val="NormalTok"/>
        </w:rPr>
        <w:t xml:space="preserve">    </w:t>
      </w:r>
      <w:r>
        <w:rPr>
          <w:rStyle w:val="StringTok"/>
        </w:rPr>
        <w:t xml:space="preserve">"redactions_applied"</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StringTok"/>
        </w:rPr>
        <w:t xml:space="preserve">"policy_version"</w:t>
      </w:r>
      <w:r>
        <w:rPr>
          <w:rStyle w:val="NormalTok"/>
        </w:rPr>
        <w:t xml:space="preserve">: </w:t>
      </w:r>
      <w:r>
        <w:rPr>
          <w:rStyle w:val="BuiltInTok"/>
        </w:rPr>
        <w:t xml:space="preserve">str</w:t>
      </w:r>
      <w:r>
        <w:rPr>
          <w:rStyle w:val="NormalTok"/>
        </w:rPr>
        <w:t xml:space="preserve">,</w:t>
      </w:r>
      <w:r>
        <w:br/>
      </w:r>
      <w:r>
        <w:rPr>
          <w:rStyle w:val="NormalTok"/>
        </w:rPr>
        <w:t xml:space="preserve">}</w:t>
      </w:r>
    </w:p>
    <w:bookmarkEnd w:id="28"/>
    <w:bookmarkStart w:id="29" w:name="module-and-functions"/>
    <w:p>
      <w:pPr>
        <w:pStyle w:val="Heading3"/>
      </w:pPr>
      <w:r>
        <w:t xml:space="preserve">2.4 Module and Functions</w:t>
      </w:r>
    </w:p>
    <w:p>
      <w:pPr>
        <w:pStyle w:val="SourceCode"/>
      </w:pPr>
      <w:r>
        <w:rPr>
          <w:rStyle w:val="CommentTok"/>
        </w:rPr>
        <w:t xml:space="preserve"># compliance/pii_detector.py</w:t>
      </w:r>
      <w:r>
        <w:br/>
      </w:r>
      <w:r>
        <w:br/>
      </w:r>
      <w:r>
        <w:rPr>
          <w:rStyle w:val="KeywordTok"/>
        </w:rPr>
        <w:t xml:space="preserve">def</w:t>
      </w:r>
      <w:r>
        <w:rPr>
          <w:rStyle w:val="NormalTok"/>
        </w:rPr>
        <w:t xml:space="preserve"> detect_pii(</w:t>
      </w:r>
      <w:r>
        <w:br/>
      </w:r>
      <w:r>
        <w:rPr>
          <w:rStyle w:val="NormalTok"/>
        </w:rPr>
        <w:t xml:space="preserve">    element: Element,               </w:t>
      </w:r>
      <w:r>
        <w:rPr>
          <w:rStyle w:val="CommentTok"/>
        </w:rPr>
        <w:t xml:space="preserve"># Section 5.2's element tuple</w:t>
      </w:r>
      <w:r>
        <w:br/>
      </w:r>
      <w:r>
        <w:rPr>
          <w:rStyle w:val="NormalTok"/>
        </w:rPr>
        <w:t xml:space="preserve">    recognizers: RecognizerRegistry </w:t>
      </w:r>
      <w:r>
        <w:rPr>
          <w:rStyle w:val="OperatorTok"/>
        </w:rPr>
        <w:t xml:space="preserve">=</w:t>
      </w:r>
      <w:r>
        <w:rPr>
          <w:rStyle w:val="NormalTok"/>
        </w:rPr>
        <w:t xml:space="preserve"> default_registry,</w:t>
      </w:r>
      <w:r>
        <w:br/>
      </w:r>
      <w:r>
        <w:rPr>
          <w:rStyle w:val="NormalTok"/>
        </w:rPr>
        <w:t xml:space="preserve">) </w:t>
      </w:r>
      <w:r>
        <w:rPr>
          <w:rStyle w:val="OperatorTok"/>
        </w:rPr>
        <w:t xml:space="preserve">-&gt;</w:t>
      </w:r>
      <w:r>
        <w:rPr>
          <w:rStyle w:val="NormalTok"/>
        </w:rPr>
        <w:t xml:space="preserve"> List[PIIEntity]:</w:t>
      </w:r>
      <w:r>
        <w:br/>
      </w:r>
      <w:r>
        <w:rPr>
          <w:rStyle w:val="NormalTok"/>
        </w:rPr>
        <w:t xml:space="preserve">    </w:t>
      </w:r>
      <w:r>
        <w:rPr>
          <w:rStyle w:val="CommentTok"/>
        </w:rPr>
        <w:t xml:space="preserve">"""Runs Presidio's AnalyzerEngine over element.content; returns detected entities."""</w:t>
      </w:r>
      <w:r>
        <w:br/>
      </w:r>
      <w:r>
        <w:rPr>
          <w:rStyle w:val="NormalTok"/>
        </w:rPr>
        <w:t xml:space="preserve">    ...</w:t>
      </w:r>
      <w:r>
        <w:br/>
      </w:r>
      <w:r>
        <w:br/>
      </w:r>
      <w:r>
        <w:rPr>
          <w:rStyle w:val="KeywordTok"/>
        </w:rPr>
        <w:t xml:space="preserve">def</w:t>
      </w:r>
      <w:r>
        <w:rPr>
          <w:rStyle w:val="NormalTok"/>
        </w:rPr>
        <w:t xml:space="preserve"> detect_pii_batch(</w:t>
      </w:r>
      <w:r>
        <w:br/>
      </w:r>
      <w:r>
        <w:rPr>
          <w:rStyle w:val="NormalTok"/>
        </w:rPr>
        <w:t xml:space="preserve">    elements: List[Element],</w:t>
      </w:r>
      <w:r>
        <w:br/>
      </w:r>
      <w:r>
        <w:rPr>
          <w:rStyle w:val="NormalTok"/>
        </w:rPr>
        <w:t xml:space="preserve">) </w:t>
      </w:r>
      <w:r>
        <w:rPr>
          <w:rStyle w:val="OperatorTok"/>
        </w:rPr>
        <w:t xml:space="preserve">-&gt;</w:t>
      </w:r>
      <w:r>
        <w:rPr>
          <w:rStyle w:val="NormalTok"/>
        </w:rPr>
        <w:t xml:space="preserve"> Dict[ElementID, List[PIIEntity]]:</w:t>
      </w:r>
      <w:r>
        <w:br/>
      </w:r>
      <w:r>
        <w:rPr>
          <w:rStyle w:val="NormalTok"/>
        </w:rPr>
        <w:t xml:space="preserve">    </w:t>
      </w:r>
      <w:r>
        <w:rPr>
          <w:rStyle w:val="CommentTok"/>
        </w:rPr>
        <w:t xml:space="preserve">"""Batched detection across a full document's elements, for ingestion-time throughput."""</w:t>
      </w:r>
      <w:r>
        <w:br/>
      </w:r>
      <w:r>
        <w:rPr>
          <w:rStyle w:val="NormalTok"/>
        </w:rPr>
        <w:t xml:space="preserve">    ...</w:t>
      </w:r>
      <w:r>
        <w:br/>
      </w:r>
      <w:r>
        <w:br/>
      </w:r>
      <w:r>
        <w:rPr>
          <w:rStyle w:val="CommentTok"/>
        </w:rPr>
        <w:t xml:space="preserve"># compliance/redaction_engine.py</w:t>
      </w:r>
      <w:r>
        <w:br/>
      </w:r>
      <w:r>
        <w:br/>
      </w:r>
      <w:r>
        <w:rPr>
          <w:rStyle w:val="KeywordTok"/>
        </w:rPr>
        <w:t xml:space="preserve">def</w:t>
      </w:r>
      <w:r>
        <w:rPr>
          <w:rStyle w:val="NormalTok"/>
        </w:rPr>
        <w:t xml:space="preserve"> apply_redaction_policy(</w:t>
      </w:r>
      <w:r>
        <w:br/>
      </w:r>
      <w:r>
        <w:rPr>
          <w:rStyle w:val="NormalTok"/>
        </w:rPr>
        <w:t xml:space="preserve">    element: Element,</w:t>
      </w:r>
      <w:r>
        <w:br/>
      </w:r>
      <w:r>
        <w:rPr>
          <w:rStyle w:val="NormalTok"/>
        </w:rPr>
        <w:t xml:space="preserve">    entities: List[PIIEntity],</w:t>
      </w:r>
      <w:r>
        <w:br/>
      </w:r>
      <w:r>
        <w:rPr>
          <w:rStyle w:val="NormalTok"/>
        </w:rPr>
        <w:t xml:space="preserve">    policy: List[RedactionPolicy],</w:t>
      </w:r>
      <w:r>
        <w:br/>
      </w:r>
      <w:r>
        <w:rPr>
          <w:rStyle w:val="NormalTok"/>
        </w:rPr>
        <w:t xml:space="preserve">) </w:t>
      </w:r>
      <w:r>
        <w:rPr>
          <w:rStyle w:val="OperatorTok"/>
        </w:rPr>
        <w:t xml:space="preserve">-&gt;</w:t>
      </w:r>
      <w:r>
        <w:rPr>
          <w:rStyle w:val="NormalTok"/>
        </w:rPr>
        <w:t xml:space="preserve"> Tuple[Element, ComplianceReport]:</w:t>
      </w:r>
      <w:r>
        <w:br/>
      </w:r>
      <w:r>
        <w:rPr>
          <w:rStyle w:val="NormalTok"/>
        </w:rPr>
        <w:t xml:space="preserve">    </w:t>
      </w:r>
      <w:r>
        <w:rPr>
          <w:rStyle w:val="CommentTok"/>
        </w:rPr>
        <w:t xml:space="preserve">"""Applies Presidio's AnonymizerEngine per the configured policy; returns the</w:t>
      </w:r>
      <w:r>
        <w:br/>
      </w:r>
      <w:r>
        <w:rPr>
          <w:rStyle w:val="CommentTok"/>
        </w:rPr>
        <w:t xml:space="preserve">    (possibly modified) element plus a compliance report for audit logging."""</w:t>
      </w:r>
      <w:r>
        <w:br/>
      </w:r>
      <w:r>
        <w:rPr>
          <w:rStyle w:val="NormalTok"/>
        </w:rPr>
        <w:t xml:space="preserve">    ...</w:t>
      </w:r>
      <w:r>
        <w:br/>
      </w:r>
      <w:r>
        <w:br/>
      </w:r>
      <w:r>
        <w:rPr>
          <w:rStyle w:val="KeywordTok"/>
        </w:rPr>
        <w:t xml:space="preserve">def</w:t>
      </w:r>
      <w:r>
        <w:rPr>
          <w:rStyle w:val="NormalTok"/>
        </w:rPr>
        <w:t xml:space="preserve"> build_compliance_report(document_id: </w:t>
      </w:r>
      <w:r>
        <w:rPr>
          <w:rStyle w:val="BuiltInTok"/>
        </w:rPr>
        <w:t xml:space="preserve">str</w:t>
      </w:r>
      <w:r>
        <w:rPr>
          <w:rStyle w:val="NormalTok"/>
        </w:rPr>
        <w:t xml:space="preserve">, per_element_reports: List[ComplianceReport]) </w:t>
      </w:r>
      <w:r>
        <w:rPr>
          <w:rStyle w:val="OperatorTok"/>
        </w:rPr>
        <w:t xml:space="preserve">-&gt;</w:t>
      </w:r>
      <w:r>
        <w:rPr>
          <w:rStyle w:val="NormalTok"/>
        </w:rPr>
        <w:t xml:space="preserve"> ComplianceReport:</w:t>
      </w:r>
      <w:r>
        <w:br/>
      </w:r>
      <w:r>
        <w:rPr>
          <w:rStyle w:val="NormalTok"/>
        </w:rPr>
        <w:t xml:space="preserve">    ...</w:t>
      </w:r>
    </w:p>
    <w:bookmarkEnd w:id="29"/>
    <w:bookmarkStart w:id="30" w:name="integration-point"/>
    <w:p>
      <w:pPr>
        <w:pStyle w:val="Heading3"/>
      </w:pPr>
      <w:r>
        <w:t xml:space="preserve">2.5 Integration Point</w:t>
      </w:r>
    </w:p>
    <w:p>
      <w:pPr>
        <w:pStyle w:val="FirstParagraph"/>
      </w:pPr>
      <w:r>
        <w:t xml:space="preserve">Attaches to monograph Section 4.2’s ingestion stage, immediately after element extraction (Section 5.2) and before any element reaches the twelve mathematical engines — meaning no embedding, chunking, or packing stage ever observes unredacted PII in a policy-configured-redact scenario. The</w:t>
      </w:r>
      <w:r>
        <w:t xml:space="preserve"> </w:t>
      </w:r>
      <w:r>
        <w:rPr>
          <w:rStyle w:val="VerbatimChar"/>
        </w:rPr>
        <w:t xml:space="preserve">ComplianceReport</w:t>
      </w:r>
      <w:r>
        <w:t xml:space="preserve"> </w:t>
      </w:r>
      <w:r>
        <w:t xml:space="preserve">output feeds the same immutable audit log Section 17.4 already specifies, giving PII-handling events the same tamper-evident record every ingestion and access event already receives.</w:t>
      </w:r>
    </w:p>
    <w:bookmarkEnd w:id="30"/>
    <w:bookmarkStart w:id="31" w:name="X83f94ce1cf176e70d5654c2b52fd0727ac99b0b"/>
    <w:p>
      <w:pPr>
        <w:pStyle w:val="Heading3"/>
      </w:pPr>
      <w:r>
        <w:t xml:space="preserve">2.6 Test Plan (see Section 9 for consolidated numbering)</w:t>
      </w:r>
    </w:p>
    <w:p>
      <w:pPr>
        <w:pStyle w:val="FirstParagraph"/>
      </w:pPr>
      <w:r>
        <w:t xml:space="preserve">TC-P-01 through TC-P-04, detailed in Section 9.1.</w:t>
      </w:r>
    </w:p>
    <w:bookmarkEnd w:id="31"/>
    <w:bookmarkEnd w:id="32"/>
    <w:bookmarkStart w:id="39" w:name="cross-document-entity-resolution"/>
    <w:p>
      <w:pPr>
        <w:pStyle w:val="Heading2"/>
      </w:pPr>
      <w:r>
        <w:t xml:space="preserve">3. Cross-Document Entity Resolution</w:t>
      </w:r>
    </w:p>
    <w:bookmarkStart w:id="33" w:name="what-it-does-1"/>
    <w:p>
      <w:pPr>
        <w:pStyle w:val="Heading3"/>
      </w:pPr>
      <w:r>
        <w:t xml:space="preserve">3.1 What It Does</w:t>
      </w:r>
    </w:p>
    <w:p>
      <w:pPr>
        <w:pStyle w:val="FirstParagraph"/>
      </w:pPr>
      <w:r>
        <w:t xml:space="preserve">Resolves entity mentions that refer to the same real-world entity but appear with different surface forms across documents (or within one large document) —</w:t>
      </w:r>
      <w:r>
        <w:t xml:space="preserve"> </w:t>
      </w:r>
      <w:r>
        <w:t xml:space="preserve">“</w:t>
      </w:r>
      <w:r>
        <w:t xml:space="preserve">Acme Corp,</w:t>
      </w:r>
      <w:r>
        <w:t xml:space="preserve">”</w:t>
      </w:r>
      <w:r>
        <w:t xml:space="preserve"> </w:t>
      </w:r>
      <w:r>
        <w:t xml:space="preserve">“</w:t>
      </w:r>
      <w:r>
        <w:t xml:space="preserve">Acme Corporation,</w:t>
      </w:r>
      <w:r>
        <w:t xml:space="preserve">”</w:t>
      </w:r>
      <w:r>
        <w:t xml:space="preserve"> </w:t>
      </w:r>
      <w:r>
        <w:t xml:space="preserve">and</w:t>
      </w:r>
      <w:r>
        <w:t xml:space="preserve"> </w:t>
      </w:r>
      <w:r>
        <w:t xml:space="preserve">“</w:t>
      </w:r>
      <w:r>
        <w:t xml:space="preserve">ACME</w:t>
      </w:r>
      <w:r>
        <w:t xml:space="preserve">”</w:t>
      </w:r>
      <w:r>
        <w:t xml:space="preserve"> </w:t>
      </w:r>
      <w:r>
        <w:t xml:space="preserve">resolving to one canonical entity — before those entities are used as retrieval keys, concept-coverage inputs (per the Enhancement Research Report’s Section 2 submodular reformulation, which explicitly relies on extracting query-relevant concepts), or a future cross-document reasoning layer (per the Comparative Landscape Report’s Section 9.2 recommendation that AEGIS’s structural pipeline could feed entity/relationship extraction into a complementary GraphRAG layer). Currently, no AEGIS engine performs this resolution; each document’s entities are extracted independently by the Semantic Engine’s NER (monograph Section 5.4) with no cross-document canonicalization step.</w:t>
      </w:r>
    </w:p>
    <w:bookmarkEnd w:id="33"/>
    <w:bookmarkStart w:id="34" w:name="technology-stack-1"/>
    <w:p>
      <w:pPr>
        <w:pStyle w:val="Heading3"/>
      </w:pPr>
      <w:r>
        <w:t xml:space="preserve">3.2 Technology Stack</w:t>
      </w:r>
    </w:p>
    <w:p>
      <w:pPr>
        <w:pStyle w:val="FirstParagraph"/>
      </w:pPr>
      <w:r>
        <w:rPr>
          <w:bCs/>
          <w:b/>
        </w:rPr>
        <w:t xml:space="preserve">Splink</w:t>
      </w:r>
      <w:r>
        <w:t xml:space="preserve"> </w:t>
      </w:r>
      <w:r>
        <w:t xml:space="preserve">(the UK Ministry of Justice’s actively-maintained probabilistic record-linkage library) is the primary dependency for the canonicalization/clustering step — it implements Fellegi-Sunter-style probabilistic matching with a trainable but statistically-grounded (not deep-learned) scoring model, giving AEGIS a middle ground between pure rule-based matching (too brittle for real name variation) and a fully trained neural entity-linker (a heavier dependency this document’s Section 1.1 principles argue against where an established statistical alternative exists).</w:t>
      </w:r>
      <w:r>
        <w:t xml:space="preserve"> </w:t>
      </w:r>
      <w:r>
        <w:rPr>
          <w:bCs/>
          <w:b/>
        </w:rPr>
        <w:t xml:space="preserve">sentence-transformers</w:t>
      </w:r>
      <w:r>
        <w:t xml:space="preserve"> </w:t>
      </w:r>
      <w:r>
        <w:t xml:space="preserve">(reusing AEGIS’s existing Semantic Engine embedding infrastructure, monograph Section 5.4) supplies a secondary embedding-similarity signal Splink’s scoring model can incorporate alongside string-similarity features.</w:t>
      </w:r>
      <w:r>
        <w:t xml:space="preserve"> </w:t>
      </w:r>
      <w:r>
        <w:rPr>
          <w:bCs/>
          <w:b/>
        </w:rPr>
        <w:t xml:space="preserve">NetworkX</w:t>
      </w:r>
      <w:r>
        <w:t xml:space="preserve"> </w:t>
      </w:r>
      <w:r>
        <w:t xml:space="preserve">performs the final clustering step, grouping resolved entity-mention pairs into canonical entity clusters via connected-components analysis over Splink’s pairwise match scores.</w:t>
      </w:r>
    </w:p>
    <w:bookmarkEnd w:id="34"/>
    <w:bookmarkStart w:id="35" w:name="data-structures-1"/>
    <w:p>
      <w:pPr>
        <w:pStyle w:val="Heading3"/>
      </w:pPr>
      <w:r>
        <w:t xml:space="preserve">3.3 Data Structures</w:t>
      </w:r>
    </w:p>
    <w:p>
      <w:pPr>
        <w:pStyle w:val="SourceCode"/>
      </w:pPr>
      <w:r>
        <w:rPr>
          <w:rStyle w:val="NormalTok"/>
        </w:rPr>
        <w:t xml:space="preserve">EntityMention </w:t>
      </w:r>
      <w:r>
        <w:rPr>
          <w:rStyle w:val="OperatorTok"/>
        </w:rPr>
        <w:t xml:space="preserve">=</w:t>
      </w:r>
      <w:r>
        <w:rPr>
          <w:rStyle w:val="NormalTok"/>
        </w:rPr>
        <w:t xml:space="preserve"> {</w:t>
      </w:r>
      <w:r>
        <w:br/>
      </w:r>
      <w:r>
        <w:rPr>
          <w:rStyle w:val="NormalTok"/>
        </w:rPr>
        <w:t xml:space="preserve">    </w:t>
      </w:r>
      <w:r>
        <w:rPr>
          <w:rStyle w:val="StringTok"/>
        </w:rPr>
        <w:t xml:space="preserve">"mention_id"</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"text"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"element_id"</w:t>
      </w:r>
      <w:r>
        <w:rPr>
          <w:rStyle w:val="NormalTok"/>
        </w:rPr>
        <w:t xml:space="preserve">: ElementID,</w:t>
      </w:r>
      <w:r>
        <w:br/>
      </w:r>
      <w:r>
        <w:rPr>
          <w:rStyle w:val="NormalTok"/>
        </w:rPr>
        <w:t xml:space="preserve">    </w:t>
      </w:r>
      <w:r>
        <w:rPr>
          <w:rStyle w:val="StringTok"/>
        </w:rPr>
        <w:t xml:space="preserve">"document_id"</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"entity_type"</w:t>
      </w:r>
      <w:r>
        <w:rPr>
          <w:rStyle w:val="NormalTok"/>
        </w:rPr>
        <w:t xml:space="preserve">: </w:t>
      </w:r>
      <w:r>
        <w:rPr>
          <w:rStyle w:val="BuiltInTok"/>
        </w:rPr>
        <w:t xml:space="preserve">str</w:t>
      </w:r>
      <w:r>
        <w:rPr>
          <w:rStyle w:val="NormalTok"/>
        </w:rPr>
        <w:t xml:space="preserve">,        </w:t>
      </w:r>
      <w:r>
        <w:rPr>
          <w:rStyle w:val="CommentTok"/>
        </w:rPr>
        <w:t xml:space="preserve"># from Semantic Engine NER</w:t>
      </w:r>
      <w:r>
        <w:br/>
      </w:r>
      <w:r>
        <w:rPr>
          <w:rStyle w:val="NormalTok"/>
        </w:rPr>
        <w:t xml:space="preserve">    </w:t>
      </w:r>
      <w:r>
        <w:rPr>
          <w:rStyle w:val="StringTok"/>
        </w:rPr>
        <w:t xml:space="preserve">"embedding"</w:t>
      </w:r>
      <w:r>
        <w:rPr>
          <w:rStyle w:val="NormalTok"/>
        </w:rPr>
        <w:t xml:space="preserve">: Vector[</w:t>
      </w:r>
      <w:r>
        <w:rPr>
          <w:rStyle w:val="BuiltInTok"/>
        </w:rPr>
        <w:t xml:space="preserve">float</w:t>
      </w:r>
      <w:r>
        <w:rPr>
          <w:rStyle w:val="NormalTok"/>
        </w:rPr>
        <w:t xml:space="preserve">],</w:t>
      </w:r>
      <w:r>
        <w:br/>
      </w:r>
      <w:r>
        <w:rPr>
          <w:rStyle w:val="NormalTok"/>
        </w:rPr>
        <w:t xml:space="preserve">}</w:t>
      </w:r>
      <w:r>
        <w:br/>
      </w:r>
      <w:r>
        <w:rPr>
          <w:rStyle w:val="NormalTok"/>
        </w:rPr>
        <w:t xml:space="preserve">CanonicalEntity </w:t>
      </w:r>
      <w:r>
        <w:rPr>
          <w:rStyle w:val="OperatorTok"/>
        </w:rPr>
        <w:t xml:space="preserve">=</w:t>
      </w:r>
      <w:r>
        <w:rPr>
          <w:rStyle w:val="NormalTok"/>
        </w:rPr>
        <w:t xml:space="preserve"> {</w:t>
      </w:r>
      <w:r>
        <w:br/>
      </w:r>
      <w:r>
        <w:rPr>
          <w:rStyle w:val="NormalTok"/>
        </w:rPr>
        <w:t xml:space="preserve">    </w:t>
      </w:r>
      <w:r>
        <w:rPr>
          <w:rStyle w:val="StringTok"/>
        </w:rPr>
        <w:t xml:space="preserve">"canonical_id"</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"canonical_name"</w:t>
      </w:r>
      <w:r>
        <w:rPr>
          <w:rStyle w:val="NormalTok"/>
        </w:rPr>
        <w:t xml:space="preserve">: </w:t>
      </w:r>
      <w:r>
        <w:rPr>
          <w:rStyle w:val="BuiltInTok"/>
        </w:rPr>
        <w:t xml:space="preserve">str</w:t>
      </w:r>
      <w:r>
        <w:rPr>
          <w:rStyle w:val="NormalTok"/>
        </w:rPr>
        <w:t xml:space="preserve">,      </w:t>
      </w:r>
      <w:r>
        <w:rPr>
          <w:rStyle w:val="CommentTok"/>
        </w:rPr>
        <w:t xml:space="preserve"># chosen representative surface form</w:t>
      </w:r>
      <w:r>
        <w:br/>
      </w:r>
      <w:r>
        <w:rPr>
          <w:rStyle w:val="NormalTok"/>
        </w:rPr>
        <w:t xml:space="preserve">    </w:t>
      </w:r>
      <w:r>
        <w:rPr>
          <w:rStyle w:val="StringTok"/>
        </w:rPr>
        <w:t xml:space="preserve">"mentions"</w:t>
      </w:r>
      <w:r>
        <w:rPr>
          <w:rStyle w:val="NormalTok"/>
        </w:rPr>
        <w:t xml:space="preserve">: List[EntityMention],</w:t>
      </w:r>
      <w:r>
        <w:br/>
      </w:r>
      <w:r>
        <w:rPr>
          <w:rStyle w:val="NormalTok"/>
        </w:rPr>
        <w:t xml:space="preserve">    </w:t>
      </w:r>
      <w:r>
        <w:rPr>
          <w:rStyle w:val="StringTok"/>
        </w:rPr>
        <w:t xml:space="preserve">"confidence"</w:t>
      </w:r>
      <w:r>
        <w:rPr>
          <w:rStyle w:val="NormalTok"/>
        </w:rPr>
        <w:t xml:space="preserve">: </w:t>
      </w:r>
      <w:r>
        <w:rPr>
          <w:rStyle w:val="BuiltInTok"/>
        </w:rPr>
        <w:t xml:space="preserve">float</w:t>
      </w:r>
      <w:r>
        <w:rPr>
          <w:rStyle w:val="NormalTok"/>
        </w:rPr>
        <w:t xml:space="preserve">,        </w:t>
      </w:r>
      <w:r>
        <w:rPr>
          <w:rStyle w:val="CommentTok"/>
        </w:rPr>
        <w:t xml:space="preserve"># aggregate Splink cluster confidence</w:t>
      </w:r>
      <w:r>
        <w:br/>
      </w:r>
      <w:r>
        <w:rPr>
          <w:rStyle w:val="NormalTok"/>
        </w:rPr>
        <w:t xml:space="preserve">}</w:t>
      </w:r>
      <w:r>
        <w:br/>
      </w:r>
      <w:r>
        <w:rPr>
          <w:rStyle w:val="NormalTok"/>
        </w:rPr>
        <w:t xml:space="preserve">EntityResolutionResult </w:t>
      </w:r>
      <w:r>
        <w:rPr>
          <w:rStyle w:val="OperatorTok"/>
        </w:rPr>
        <w:t xml:space="preserve">=</w:t>
      </w:r>
      <w:r>
        <w:rPr>
          <w:rStyle w:val="NormalTok"/>
        </w:rPr>
        <w:t xml:space="preserve"> {</w:t>
      </w:r>
      <w:r>
        <w:br/>
      </w:r>
      <w:r>
        <w:rPr>
          <w:rStyle w:val="NormalTok"/>
        </w:rPr>
        <w:t xml:space="preserve">    </w:t>
      </w:r>
      <w:r>
        <w:rPr>
          <w:rStyle w:val="StringTok"/>
        </w:rPr>
        <w:t xml:space="preserve">"canonical_entities"</w:t>
      </w:r>
      <w:r>
        <w:rPr>
          <w:rStyle w:val="NormalTok"/>
        </w:rPr>
        <w:t xml:space="preserve">: List[CanonicalEntity],</w:t>
      </w:r>
      <w:r>
        <w:br/>
      </w:r>
      <w:r>
        <w:rPr>
          <w:rStyle w:val="NormalTok"/>
        </w:rPr>
        <w:t xml:space="preserve">    </w:t>
      </w:r>
      <w:r>
        <w:rPr>
          <w:rStyle w:val="StringTok"/>
        </w:rPr>
        <w:t xml:space="preserve">"unresolved_mentions"</w:t>
      </w:r>
      <w:r>
        <w:rPr>
          <w:rStyle w:val="NormalTok"/>
        </w:rPr>
        <w:t xml:space="preserve">: List[EntityMention],  </w:t>
      </w:r>
      <w:r>
        <w:rPr>
          <w:rStyle w:val="CommentTok"/>
        </w:rPr>
        <w:t xml:space="preserve"># below-threshold, kept separate</w:t>
      </w:r>
      <w:r>
        <w:br/>
      </w:r>
      <w:r>
        <w:rPr>
          <w:rStyle w:val="NormalTok"/>
        </w:rPr>
        <w:t xml:space="preserve">}</w:t>
      </w:r>
    </w:p>
    <w:bookmarkEnd w:id="35"/>
    <w:bookmarkStart w:id="36" w:name="module-and-functions-1"/>
    <w:p>
      <w:pPr>
        <w:pStyle w:val="Heading3"/>
      </w:pPr>
      <w:r>
        <w:t xml:space="preserve">3.4 Module and Functions</w:t>
      </w:r>
    </w:p>
    <w:p>
      <w:pPr>
        <w:pStyle w:val="SourceCode"/>
      </w:pPr>
      <w:r>
        <w:rPr>
          <w:rStyle w:val="CommentTok"/>
        </w:rPr>
        <w:t xml:space="preserve"># entity/canonicalizer.py</w:t>
      </w:r>
      <w:r>
        <w:br/>
      </w:r>
      <w:r>
        <w:br/>
      </w:r>
      <w:r>
        <w:rPr>
          <w:rStyle w:val="KeywordTok"/>
        </w:rPr>
        <w:t xml:space="preserve">def</w:t>
      </w:r>
      <w:r>
        <w:rPr>
          <w:rStyle w:val="NormalTok"/>
        </w:rPr>
        <w:t xml:space="preserve"> extract_mentions(document: Document) </w:t>
      </w:r>
      <w:r>
        <w:rPr>
          <w:rStyle w:val="OperatorTok"/>
        </w:rPr>
        <w:t xml:space="preserve">-&gt;</w:t>
      </w:r>
      <w:r>
        <w:rPr>
          <w:rStyle w:val="NormalTok"/>
        </w:rPr>
        <w:t xml:space="preserve"> List[EntityMention]:</w:t>
      </w:r>
      <w:r>
        <w:br/>
      </w:r>
      <w:r>
        <w:rPr>
          <w:rStyle w:val="NormalTok"/>
        </w:rPr>
        <w:t xml:space="preserve">    </w:t>
      </w:r>
      <w:r>
        <w:rPr>
          <w:rStyle w:val="CommentTok"/>
        </w:rPr>
        <w:t xml:space="preserve">"""Wraps the existing Semantic Engine NER output (Section 5.4) into EntityMention records."""</w:t>
      </w:r>
      <w:r>
        <w:br/>
      </w:r>
      <w:r>
        <w:rPr>
          <w:rStyle w:val="NormalTok"/>
        </w:rPr>
        <w:t xml:space="preserve">    ...</w:t>
      </w:r>
      <w:r>
        <w:br/>
      </w:r>
      <w:r>
        <w:br/>
      </w:r>
      <w:r>
        <w:rPr>
          <w:rStyle w:val="KeywordTok"/>
        </w:rPr>
        <w:t xml:space="preserve">def</w:t>
      </w:r>
      <w:r>
        <w:rPr>
          <w:rStyle w:val="NormalTok"/>
        </w:rPr>
        <w:t xml:space="preserve"> score_mention_pairs(</w:t>
      </w:r>
      <w:r>
        <w:br/>
      </w:r>
      <w:r>
        <w:rPr>
          <w:rStyle w:val="NormalTok"/>
        </w:rPr>
        <w:t xml:space="preserve">    mentions: List[EntityMention],</w:t>
      </w:r>
      <w:r>
        <w:br/>
      </w:r>
      <w:r>
        <w:rPr>
          <w:rStyle w:val="NormalTok"/>
        </w:rPr>
        <w:t xml:space="preserve">    splink_settings: SplinkSettings </w:t>
      </w:r>
      <w:r>
        <w:rPr>
          <w:rStyle w:val="OperatorTok"/>
        </w:rPr>
        <w:t xml:space="preserve">=</w:t>
      </w:r>
      <w:r>
        <w:rPr>
          <w:rStyle w:val="NormalTok"/>
        </w:rPr>
        <w:t xml:space="preserve"> default_settings,</w:t>
      </w:r>
      <w:r>
        <w:br/>
      </w:r>
      <w:r>
        <w:rPr>
          <w:rStyle w:val="NormalTok"/>
        </w:rPr>
        <w:t xml:space="preserve">) </w:t>
      </w:r>
      <w:r>
        <w:rPr>
          <w:rStyle w:val="OperatorTok"/>
        </w:rPr>
        <w:t xml:space="preserve">-&gt;</w:t>
      </w:r>
      <w:r>
        <w:rPr>
          <w:rStyle w:val="NormalTok"/>
        </w:rPr>
        <w:t xml:space="preserve"> Matrix[</w:t>
      </w:r>
      <w:r>
        <w:rPr>
          <w:rStyle w:val="BuiltInTok"/>
        </w:rPr>
        <w:t xml:space="preserve">float</w:t>
      </w:r>
      <w:r>
        <w:rPr>
          <w:rStyle w:val="NormalTok"/>
        </w:rPr>
        <w:t xml:space="preserve">]:</w:t>
      </w:r>
      <w:r>
        <w:br/>
      </w:r>
      <w:r>
        <w:rPr>
          <w:rStyle w:val="NormalTok"/>
        </w:rPr>
        <w:t xml:space="preserve">    </w:t>
      </w:r>
      <w:r>
        <w:rPr>
          <w:rStyle w:val="CommentTok"/>
        </w:rPr>
        <w:t xml:space="preserve">"""Runs Splink's probabilistic matching model over all candidate mention pairs</w:t>
      </w:r>
      <w:r>
        <w:br/>
      </w:r>
      <w:r>
        <w:rPr>
          <w:rStyle w:val="CommentTok"/>
        </w:rPr>
        <w:t xml:space="preserve">    (blocked for efficiency via a standard blocking key, e.g. shared token prefix)."""</w:t>
      </w:r>
      <w:r>
        <w:br/>
      </w:r>
      <w:r>
        <w:rPr>
          <w:rStyle w:val="NormalTok"/>
        </w:rPr>
        <w:t xml:space="preserve">    ...</w:t>
      </w:r>
      <w:r>
        <w:br/>
      </w:r>
      <w:r>
        <w:br/>
      </w:r>
      <w:r>
        <w:rPr>
          <w:rStyle w:val="KeywordTok"/>
        </w:rPr>
        <w:t xml:space="preserve">def</w:t>
      </w:r>
      <w:r>
        <w:rPr>
          <w:rStyle w:val="NormalTok"/>
        </w:rPr>
        <w:t xml:space="preserve"> cluster_into_canonical_entities(</w:t>
      </w:r>
      <w:r>
        <w:br/>
      </w:r>
      <w:r>
        <w:rPr>
          <w:rStyle w:val="NormalTok"/>
        </w:rPr>
        <w:t xml:space="preserve">    mentions: List[EntityMention],</w:t>
      </w:r>
      <w:r>
        <w:br/>
      </w:r>
      <w:r>
        <w:rPr>
          <w:rStyle w:val="NormalTok"/>
        </w:rPr>
        <w:t xml:space="preserve">    pairwise_scores: Matrix[</w:t>
      </w:r>
      <w:r>
        <w:rPr>
          <w:rStyle w:val="BuiltInTok"/>
        </w:rPr>
        <w:t xml:space="preserve">float</w:t>
      </w:r>
      <w:r>
        <w:rPr>
          <w:rStyle w:val="NormalTok"/>
        </w:rPr>
        <w:t xml:space="preserve">],</w:t>
      </w:r>
      <w:r>
        <w:br/>
      </w:r>
      <w:r>
        <w:rPr>
          <w:rStyle w:val="NormalTok"/>
        </w:rPr>
        <w:t xml:space="preserve">    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0.85</w:t>
      </w:r>
      <w:r>
        <w:rPr>
          <w:rStyle w:val="NormalTok"/>
        </w:rPr>
        <w:t xml:space="preserve">,</w:t>
      </w:r>
      <w:r>
        <w:br/>
      </w:r>
      <w:r>
        <w:rPr>
          <w:rStyle w:val="NormalTok"/>
        </w:rPr>
        <w:t xml:space="preserve">) </w:t>
      </w:r>
      <w:r>
        <w:rPr>
          <w:rStyle w:val="OperatorTok"/>
        </w:rPr>
        <w:t xml:space="preserve">-&gt;</w:t>
      </w:r>
      <w:r>
        <w:rPr>
          <w:rStyle w:val="NormalTok"/>
        </w:rPr>
        <w:t xml:space="preserve"> EntityResolutionResult:</w:t>
      </w:r>
      <w:r>
        <w:br/>
      </w:r>
      <w:r>
        <w:rPr>
          <w:rStyle w:val="NormalTok"/>
        </w:rPr>
        <w:t xml:space="preserve">    </w:t>
      </w:r>
      <w:r>
        <w:rPr>
          <w:rStyle w:val="CommentTok"/>
        </w:rPr>
        <w:t xml:space="preserve">"""Connected-components clustering over above-threshold pairwise scores (NetworkX)."""</w:t>
      </w:r>
      <w:r>
        <w:br/>
      </w:r>
      <w:r>
        <w:rPr>
          <w:rStyle w:val="NormalTok"/>
        </w:rPr>
        <w:t xml:space="preserve">    ...</w:t>
      </w:r>
      <w:r>
        <w:br/>
      </w:r>
      <w:r>
        <w:br/>
      </w:r>
      <w:r>
        <w:rPr>
          <w:rStyle w:val="CommentTok"/>
        </w:rPr>
        <w:t xml:space="preserve"># entity/entity_graph.py</w:t>
      </w:r>
      <w:r>
        <w:br/>
      </w:r>
      <w:r>
        <w:br/>
      </w:r>
      <w:r>
        <w:rPr>
          <w:rStyle w:val="KeywordTok"/>
        </w:rPr>
        <w:t xml:space="preserve">def</w:t>
      </w:r>
      <w:r>
        <w:rPr>
          <w:rStyle w:val="NormalTok"/>
        </w:rPr>
        <w:t xml:space="preserve"> build_cross_document_entity_graph(</w:t>
      </w:r>
      <w:r>
        <w:br/>
      </w:r>
      <w:r>
        <w:rPr>
          <w:rStyle w:val="NormalTok"/>
        </w:rPr>
        <w:t xml:space="preserve">    canonical_entities: List[CanonicalEntity],</w:t>
      </w:r>
      <w:r>
        <w:br/>
      </w:r>
      <w:r>
        <w:rPr>
          <w:rStyle w:val="NormalTok"/>
        </w:rPr>
        <w:t xml:space="preserve">) </w:t>
      </w:r>
      <w:r>
        <w:rPr>
          <w:rStyle w:val="OperatorTok"/>
        </w:rPr>
        <w:t xml:space="preserve">-&gt;</w:t>
      </w:r>
      <w:r>
        <w:rPr>
          <w:rStyle w:val="NormalTok"/>
        </w:rPr>
        <w:t xml:space="preserve"> EntityGraph:</w:t>
      </w:r>
      <w:r>
        <w:br/>
      </w:r>
      <w:r>
        <w:rPr>
          <w:rStyle w:val="NormalTok"/>
        </w:rPr>
        <w:t xml:space="preserve">    </w:t>
      </w:r>
      <w:r>
        <w:rPr>
          <w:rStyle w:val="CommentTok"/>
        </w:rPr>
        <w:t xml:space="preserve">"""Constructs the entity-to-document incidence graph consumed by a future</w:t>
      </w:r>
      <w:r>
        <w:br/>
      </w:r>
      <w:r>
        <w:rPr>
          <w:rStyle w:val="CommentTok"/>
        </w:rPr>
        <w:t xml:space="preserve">    GraphRAG-style extension (Comparative Landscape Report Sec. 9.2)."""</w:t>
      </w:r>
      <w:r>
        <w:br/>
      </w:r>
      <w:r>
        <w:rPr>
          <w:rStyle w:val="NormalTok"/>
        </w:rPr>
        <w:t xml:space="preserve">    ...</w:t>
      </w:r>
    </w:p>
    <w:bookmarkEnd w:id="36"/>
    <w:bookmarkStart w:id="37" w:name="integration-point-1"/>
    <w:p>
      <w:pPr>
        <w:pStyle w:val="Heading3"/>
      </w:pPr>
      <w:r>
        <w:t xml:space="preserve">3.5 Integration Point</w:t>
      </w:r>
    </w:p>
    <w:p>
      <w:pPr>
        <w:pStyle w:val="FirstParagraph"/>
      </w:pPr>
      <w:r>
        <w:t xml:space="preserve">Reads the Semantic Engine’s per-document NER output (monograph Section 5.4); writes canonical entity clusters consumed by (a) the Enhancement Research Report’s Section 2 submodular packer’s concept-extraction step, replacing that feature’s currently document-local concept identification with cross-document-aware canonical concepts, and (b) an optional</w:t>
      </w:r>
      <w:r>
        <w:t xml:space="preserve"> </w:t>
      </w:r>
      <w:r>
        <w:rPr>
          <w:rStyle w:val="VerbatimChar"/>
        </w:rPr>
        <w:t xml:space="preserve">EntityGraph</w:t>
      </w:r>
      <w:r>
        <w:t xml:space="preserve"> </w:t>
      </w:r>
      <w:r>
        <w:t xml:space="preserve">export for any future GraphRAG-style layer, giving that complementary paradigm (Comparative Landscape Report Section 9) a concrete, AEGIS-native data source rather than requiring a separate extraction pipeline.</w:t>
      </w:r>
    </w:p>
    <w:bookmarkEnd w:id="37"/>
    <w:bookmarkStart w:id="38" w:name="test-plan"/>
    <w:p>
      <w:pPr>
        <w:pStyle w:val="Heading3"/>
      </w:pPr>
      <w:r>
        <w:t xml:space="preserve">3.6 Test Plan</w:t>
      </w:r>
    </w:p>
    <w:p>
      <w:pPr>
        <w:pStyle w:val="FirstParagraph"/>
      </w:pPr>
      <w:r>
        <w:t xml:space="preserve">TC-P-05 through TC-P-08, detailed in Section 9.2.</w:t>
      </w:r>
    </w:p>
    <w:bookmarkEnd w:id="38"/>
    <w:bookmarkEnd w:id="39"/>
    <w:bookmarkStart w:id="46" w:name="Xd315e539c590c43b3873f64f3509f6c4c069534"/>
    <w:p>
      <w:pPr>
        <w:pStyle w:val="Heading2"/>
      </w:pPr>
      <w:r>
        <w:t xml:space="preserve">4. Document Version and Structural Diff Engine</w:t>
      </w:r>
    </w:p>
    <w:bookmarkStart w:id="40" w:name="what-it-does-2"/>
    <w:p>
      <w:pPr>
        <w:pStyle w:val="Heading3"/>
      </w:pPr>
      <w:r>
        <w:t xml:space="preserve">4.1 What It Does</w:t>
      </w:r>
    </w:p>
    <w:p>
      <w:pPr>
        <w:pStyle w:val="FirstParagraph"/>
      </w:pPr>
      <w:r>
        <w:t xml:space="preserve">Tracks and computes structural differences between two versions of the same logical document (a contract redline, a 10-K amendment, a policy revision), answering queries like</w:t>
      </w:r>
      <w:r>
        <w:t xml:space="preserve"> </w:t>
      </w:r>
      <w:r>
        <w:t xml:space="preserve">“</w:t>
      </w:r>
      <w:r>
        <w:t xml:space="preserve">what changed in the risk-factors section since the prior filing</w:t>
      </w:r>
      <w:r>
        <w:t xml:space="preserve">”</w:t>
      </w:r>
      <w:r>
        <w:t xml:space="preserve"> </w:t>
      </w:r>
      <w:r>
        <w:t xml:space="preserve">— a query class no current AEGIS component can answer, since Section 18.4’s re-indexing workflow treats a re-upload as a full replacement, discarding the relationship between old and new content entirely rather than computing what actually changed.</w:t>
      </w:r>
    </w:p>
    <w:bookmarkEnd w:id="40"/>
    <w:bookmarkStart w:id="41" w:name="technology-stack-2"/>
    <w:p>
      <w:pPr>
        <w:pStyle w:val="Heading3"/>
      </w:pPr>
      <w:r>
        <w:t xml:space="preserve">4.2 Technology Stack</w:t>
      </w:r>
    </w:p>
    <w:p>
      <w:pPr>
        <w:pStyle w:val="FirstParagraph"/>
      </w:pPr>
      <w:r>
        <w:rPr>
          <w:bCs/>
          <w:b/>
        </w:rPr>
        <w:t xml:space="preserve">APTED</w:t>
      </w:r>
      <w:r>
        <w:t xml:space="preserve"> </w:t>
      </w:r>
      <w:r>
        <w:t xml:space="preserve">(a Python implementation of the all-pairs tree-edit-distance algorithm) computes structural diffs at the level AEGIS actually needs: not a flat text diff, but a diff over the reading-order-and-hierarchy tree that Section 6’s graph construction and Section 5.1’s master document tuple already produce for every document, so that a diff correctly identifies</w:t>
      </w:r>
      <w:r>
        <w:t xml:space="preserve"> </w:t>
      </w:r>
      <w:r>
        <w:t xml:space="preserve">“</w:t>
      </w:r>
      <w:r>
        <w:t xml:space="preserve">this table row was inserted</w:t>
      </w:r>
      <w:r>
        <w:t xml:space="preserve">”</w:t>
      </w:r>
      <w:r>
        <w:t xml:space="preserve"> </w:t>
      </w:r>
      <w:r>
        <w:t xml:space="preserve">as a structural edit rather than reporting a large, uninterpretable block of changed characters the way a naive line-based diff would.</w:t>
      </w:r>
      <w:r>
        <w:t xml:space="preserve"> </w:t>
      </w:r>
      <w:r>
        <w:rPr>
          <w:bCs/>
          <w:b/>
        </w:rPr>
        <w:t xml:space="preserve">diff-match-patch</w:t>
      </w:r>
      <w:r>
        <w:t xml:space="preserve"> </w:t>
      </w:r>
      <w:r>
        <w:t xml:space="preserve">(Google’s library) supplies fine-grained text-level diffing</w:t>
      </w:r>
      <w:r>
        <w:t xml:space="preserve"> </w:t>
      </w:r>
      <w:r>
        <w:rPr>
          <w:iCs/>
          <w:i/>
        </w:rPr>
        <w:t xml:space="preserve">within</w:t>
      </w:r>
      <w:r>
        <w:t xml:space="preserve"> </w:t>
      </w:r>
      <w:r>
        <w:t xml:space="preserve">a matched structural node once APTED has identified which nodes correspond across versions, giving a two-level diff (structural, then textual) matched to AEGIS’s own two-level document representation (elements/chunks, then their text content).</w:t>
      </w:r>
    </w:p>
    <w:bookmarkEnd w:id="41"/>
    <w:bookmarkStart w:id="42" w:name="data-structures-2"/>
    <w:p>
      <w:pPr>
        <w:pStyle w:val="Heading3"/>
      </w:pPr>
      <w:r>
        <w:t xml:space="preserve">4.3 Data Structures</w:t>
      </w:r>
    </w:p>
    <w:p>
      <w:pPr>
        <w:pStyle w:val="SourceCode"/>
      </w:pPr>
      <w:r>
        <w:rPr>
          <w:rStyle w:val="NormalTok"/>
        </w:rPr>
        <w:t xml:space="preserve">DocumentVersion </w:t>
      </w:r>
      <w:r>
        <w:rPr>
          <w:rStyle w:val="OperatorTok"/>
        </w:rPr>
        <w:t xml:space="preserve">=</w:t>
      </w:r>
      <w:r>
        <w:rPr>
          <w:rStyle w:val="NormalTok"/>
        </w:rPr>
        <w:t xml:space="preserve"> {</w:t>
      </w:r>
      <w:r>
        <w:br/>
      </w:r>
      <w:r>
        <w:rPr>
          <w:rStyle w:val="NormalTok"/>
        </w:rPr>
        <w:t xml:space="preserve">    </w:t>
      </w:r>
      <w:r>
        <w:rPr>
          <w:rStyle w:val="StringTok"/>
        </w:rPr>
        <w:t xml:space="preserve">"version_id"</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"document_family_id"</w:t>
      </w:r>
      <w:r>
        <w:rPr>
          <w:rStyle w:val="NormalTok"/>
        </w:rPr>
        <w:t xml:space="preserve">: </w:t>
      </w:r>
      <w:r>
        <w:rPr>
          <w:rStyle w:val="BuiltInTok"/>
        </w:rPr>
        <w:t xml:space="preserve">str</w:t>
      </w:r>
      <w:r>
        <w:rPr>
          <w:rStyle w:val="NormalTok"/>
        </w:rPr>
        <w:t xml:space="preserve">,   </w:t>
      </w:r>
      <w:r>
        <w:rPr>
          <w:rStyle w:val="CommentTok"/>
        </w:rPr>
        <w:t xml:space="preserve"># groups all versions of "the same" logical document</w:t>
      </w:r>
      <w:r>
        <w:br/>
      </w:r>
      <w:r>
        <w:rPr>
          <w:rStyle w:val="NormalTok"/>
        </w:rPr>
        <w:t xml:space="preserve">    </w:t>
      </w:r>
      <w:r>
        <w:rPr>
          <w:rStyle w:val="StringTok"/>
        </w:rPr>
        <w:t xml:space="preserve">"ingested_at"</w:t>
      </w:r>
      <w:r>
        <w:rPr>
          <w:rStyle w:val="NormalTok"/>
        </w:rPr>
        <w:t xml:space="preserve">: datetime,</w:t>
      </w:r>
      <w:r>
        <w:br/>
      </w:r>
      <w:r>
        <w:rPr>
          <w:rStyle w:val="NormalTok"/>
        </w:rPr>
        <w:t xml:space="preserve">    </w:t>
      </w:r>
      <w:r>
        <w:rPr>
          <w:rStyle w:val="StringTok"/>
        </w:rPr>
        <w:t xml:space="preserve">"element_tree"</w:t>
      </w:r>
      <w:r>
        <w:rPr>
          <w:rStyle w:val="NormalTok"/>
        </w:rPr>
        <w:t xml:space="preserve">: ElementTree,  </w:t>
      </w:r>
      <w:r>
        <w:rPr>
          <w:rStyle w:val="CommentTok"/>
        </w:rPr>
        <w:t xml:space="preserve"># Section 6's reading-order structure, as a tree</w:t>
      </w:r>
      <w:r>
        <w:br/>
      </w:r>
      <w:r>
        <w:rPr>
          <w:rStyle w:val="NormalTok"/>
        </w:rPr>
        <w:t xml:space="preserve">}</w:t>
      </w:r>
      <w:r>
        <w:br/>
      </w:r>
      <w:r>
        <w:rPr>
          <w:rStyle w:val="NormalTok"/>
        </w:rPr>
        <w:t xml:space="preserve">StructuralEdit </w:t>
      </w:r>
      <w:r>
        <w:rPr>
          <w:rStyle w:val="OperatorTok"/>
        </w:rPr>
        <w:t xml:space="preserve">=</w:t>
      </w:r>
      <w:r>
        <w:rPr>
          <w:rStyle w:val="NormalTok"/>
        </w:rPr>
        <w:t xml:space="preserve"> {</w:t>
      </w:r>
      <w:r>
        <w:br/>
      </w:r>
      <w:r>
        <w:rPr>
          <w:rStyle w:val="NormalTok"/>
        </w:rPr>
        <w:t xml:space="preserve">    </w:t>
      </w:r>
      <w:r>
        <w:rPr>
          <w:rStyle w:val="StringTok"/>
        </w:rPr>
        <w:t xml:space="preserve">"edit_type"</w:t>
      </w:r>
      <w:r>
        <w:rPr>
          <w:rStyle w:val="NormalTok"/>
        </w:rPr>
        <w:t xml:space="preserve">: </w:t>
      </w:r>
      <w:r>
        <w:rPr>
          <w:rStyle w:val="BuiltInTok"/>
        </w:rPr>
        <w:t xml:space="preserve">str</w:t>
      </w:r>
      <w:r>
        <w:rPr>
          <w:rStyle w:val="NormalTok"/>
        </w:rPr>
        <w:t xml:space="preserve">,   </w:t>
      </w:r>
      <w:r>
        <w:rPr>
          <w:rStyle w:val="CommentTok"/>
        </w:rPr>
        <w:t xml:space="preserve"># "insert" | "delete" | "update" | "move"</w:t>
      </w:r>
      <w:r>
        <w:br/>
      </w:r>
      <w:r>
        <w:rPr>
          <w:rStyle w:val="NormalTok"/>
        </w:rPr>
        <w:t xml:space="preserve">    </w:t>
      </w:r>
      <w:r>
        <w:rPr>
          <w:rStyle w:val="StringTok"/>
        </w:rPr>
        <w:t xml:space="preserve">"node_path"</w:t>
      </w:r>
      <w:r>
        <w:rPr>
          <w:rStyle w:val="NormalTok"/>
        </w:rPr>
        <w:t xml:space="preserve">: </w:t>
      </w:r>
      <w:r>
        <w:rPr>
          <w:rStyle w:val="BuiltInTok"/>
        </w:rPr>
        <w:t xml:space="preserve">str</w:t>
      </w:r>
      <w:r>
        <w:rPr>
          <w:rStyle w:val="NormalTok"/>
        </w:rPr>
        <w:t xml:space="preserve">,   </w:t>
      </w:r>
      <w:r>
        <w:rPr>
          <w:rStyle w:val="CommentTok"/>
        </w:rPr>
        <w:t xml:space="preserve"># tree-path identifying the affected element</w:t>
      </w:r>
      <w:r>
        <w:br/>
      </w:r>
      <w:r>
        <w:rPr>
          <w:rStyle w:val="NormalTok"/>
        </w:rPr>
        <w:t xml:space="preserve">    </w:t>
      </w:r>
      <w:r>
        <w:rPr>
          <w:rStyle w:val="StringTok"/>
        </w:rPr>
        <w:t xml:space="preserve">"old_content"</w:t>
      </w:r>
      <w:r>
        <w:rPr>
          <w:rStyle w:val="NormalTok"/>
        </w:rPr>
        <w:t xml:space="preserve">: Optional[</w:t>
      </w:r>
      <w:r>
        <w:rPr>
          <w:rStyle w:val="BuiltInTok"/>
        </w:rPr>
        <w:t xml:space="preserve">str</w:t>
      </w:r>
      <w:r>
        <w:rPr>
          <w:rStyle w:val="NormalTok"/>
        </w:rPr>
        <w:t xml:space="preserve">],</w:t>
      </w:r>
      <w:r>
        <w:br/>
      </w:r>
      <w:r>
        <w:rPr>
          <w:rStyle w:val="NormalTok"/>
        </w:rPr>
        <w:t xml:space="preserve">    </w:t>
      </w:r>
      <w:r>
        <w:rPr>
          <w:rStyle w:val="StringTok"/>
        </w:rPr>
        <w:t xml:space="preserve">"new_content"</w:t>
      </w:r>
      <w:r>
        <w:rPr>
          <w:rStyle w:val="NormalTok"/>
        </w:rPr>
        <w:t xml:space="preserve">: Optional[</w:t>
      </w:r>
      <w:r>
        <w:rPr>
          <w:rStyle w:val="BuiltInTok"/>
        </w:rPr>
        <w:t xml:space="preserve">str</w:t>
      </w:r>
      <w:r>
        <w:rPr>
          <w:rStyle w:val="NormalTok"/>
        </w:rPr>
        <w:t xml:space="preserve">],</w:t>
      </w:r>
      <w:r>
        <w:br/>
      </w:r>
      <w:r>
        <w:rPr>
          <w:rStyle w:val="NormalTok"/>
        </w:rPr>
        <w:t xml:space="preserve">    </w:t>
      </w:r>
      <w:r>
        <w:rPr>
          <w:rStyle w:val="StringTok"/>
        </w:rPr>
        <w:t xml:space="preserve">"text_diff"</w:t>
      </w:r>
      <w:r>
        <w:rPr>
          <w:rStyle w:val="NormalTok"/>
        </w:rPr>
        <w:t xml:space="preserve">: Optional[List[TextDiffOp]],  </w:t>
      </w:r>
      <w:r>
        <w:rPr>
          <w:rStyle w:val="CommentTok"/>
        </w:rPr>
        <w:t xml:space="preserve"># from diff-match-patch, if edit_type == "update"</w:t>
      </w:r>
      <w:r>
        <w:br/>
      </w:r>
      <w:r>
        <w:rPr>
          <w:rStyle w:val="NormalTok"/>
        </w:rPr>
        <w:t xml:space="preserve">}</w:t>
      </w:r>
      <w:r>
        <w:br/>
      </w:r>
      <w:r>
        <w:rPr>
          <w:rStyle w:val="NormalTok"/>
        </w:rPr>
        <w:t xml:space="preserve">VersionDiff </w:t>
      </w:r>
      <w:r>
        <w:rPr>
          <w:rStyle w:val="OperatorTok"/>
        </w:rPr>
        <w:t xml:space="preserve">=</w:t>
      </w:r>
      <w:r>
        <w:rPr>
          <w:rStyle w:val="NormalTok"/>
        </w:rPr>
        <w:t xml:space="preserve"> {</w:t>
      </w:r>
      <w:r>
        <w:br/>
      </w:r>
      <w:r>
        <w:rPr>
          <w:rStyle w:val="NormalTok"/>
        </w:rPr>
        <w:t xml:space="preserve">    </w:t>
      </w:r>
      <w:r>
        <w:rPr>
          <w:rStyle w:val="StringTok"/>
        </w:rPr>
        <w:t xml:space="preserve">"from_version"</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"to_version"</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"edits"</w:t>
      </w:r>
      <w:r>
        <w:rPr>
          <w:rStyle w:val="NormalTok"/>
        </w:rPr>
        <w:t xml:space="preserve">: List[StructuralEdit],</w:t>
      </w:r>
      <w:r>
        <w:br/>
      </w:r>
      <w:r>
        <w:rPr>
          <w:rStyle w:val="NormalTok"/>
        </w:rPr>
        <w:t xml:space="preserve">    </w:t>
      </w:r>
      <w:r>
        <w:rPr>
          <w:rStyle w:val="StringTok"/>
        </w:rPr>
        <w:t xml:space="preserve">"edit_distance"</w:t>
      </w:r>
      <w:r>
        <w:rPr>
          <w:rStyle w:val="NormalTok"/>
        </w:rPr>
        <w:t xml:space="preserve">: </w:t>
      </w:r>
      <w:r>
        <w:rPr>
          <w:rStyle w:val="BuiltInTok"/>
        </w:rPr>
        <w:t xml:space="preserve">int</w:t>
      </w:r>
      <w:r>
        <w:rPr>
          <w:rStyle w:val="NormalTok"/>
        </w:rPr>
        <w:t xml:space="preserve">,     </w:t>
      </w:r>
      <w:r>
        <w:rPr>
          <w:rStyle w:val="CommentTok"/>
        </w:rPr>
        <w:t xml:space="preserve"># APTED's tree-edit-distance score</w:t>
      </w:r>
      <w:r>
        <w:br/>
      </w:r>
      <w:r>
        <w:rPr>
          <w:rStyle w:val="NormalTok"/>
        </w:rPr>
        <w:t xml:space="preserve">}</w:t>
      </w:r>
    </w:p>
    <w:bookmarkEnd w:id="42"/>
    <w:bookmarkStart w:id="43" w:name="module-and-functions-2"/>
    <w:p>
      <w:pPr>
        <w:pStyle w:val="Heading3"/>
      </w:pPr>
      <w:r>
        <w:t xml:space="preserve">4.4 Module and Functions</w:t>
      </w:r>
    </w:p>
    <w:p>
      <w:pPr>
        <w:pStyle w:val="SourceCode"/>
      </w:pPr>
      <w:r>
        <w:rPr>
          <w:rStyle w:val="CommentTok"/>
        </w:rPr>
        <w:t xml:space="preserve"># versioning/diff_engine.py</w:t>
      </w:r>
      <w:r>
        <w:br/>
      </w:r>
      <w:r>
        <w:br/>
      </w:r>
      <w:r>
        <w:rPr>
          <w:rStyle w:val="KeywordTok"/>
        </w:rPr>
        <w:t xml:space="preserve">def</w:t>
      </w:r>
      <w:r>
        <w:rPr>
          <w:rStyle w:val="NormalTok"/>
        </w:rPr>
        <w:t xml:space="preserve"> build_element_tree(document: Document) </w:t>
      </w:r>
      <w:r>
        <w:rPr>
          <w:rStyle w:val="OperatorTok"/>
        </w:rPr>
        <w:t xml:space="preserve">-&gt;</w:t>
      </w:r>
      <w:r>
        <w:rPr>
          <w:rStyle w:val="NormalTok"/>
        </w:rPr>
        <w:t xml:space="preserve"> ElementTree:</w:t>
      </w:r>
      <w:r>
        <w:br/>
      </w:r>
      <w:r>
        <w:rPr>
          <w:rStyle w:val="NormalTok"/>
        </w:rPr>
        <w:t xml:space="preserve">    </w:t>
      </w:r>
      <w:r>
        <w:rPr>
          <w:rStyle w:val="CommentTok"/>
        </w:rPr>
        <w:t xml:space="preserve">"""Converts Section 6's reading-order graph into a rooted tree structure</w:t>
      </w:r>
      <w:r>
        <w:br/>
      </w:r>
      <w:r>
        <w:rPr>
          <w:rStyle w:val="CommentTok"/>
        </w:rPr>
        <w:t xml:space="preserve">    (page -&gt; section -&gt; block -&gt; element) suitable for tree-edit-distance computation."""</w:t>
      </w:r>
      <w:r>
        <w:br/>
      </w:r>
      <w:r>
        <w:rPr>
          <w:rStyle w:val="NormalTok"/>
        </w:rPr>
        <w:t xml:space="preserve">    ...</w:t>
      </w:r>
      <w:r>
        <w:br/>
      </w:r>
      <w:r>
        <w:br/>
      </w:r>
      <w:r>
        <w:rPr>
          <w:rStyle w:val="KeywordTok"/>
        </w:rPr>
        <w:t xml:space="preserve">def</w:t>
      </w:r>
      <w:r>
        <w:rPr>
          <w:rStyle w:val="NormalTok"/>
        </w:rPr>
        <w:t xml:space="preserve"> compute_structural_diff(</w:t>
      </w:r>
      <w:r>
        <w:br/>
      </w:r>
      <w:r>
        <w:rPr>
          <w:rStyle w:val="NormalTok"/>
        </w:rPr>
        <w:t xml:space="preserve">    version_a: DocumentVersion,</w:t>
      </w:r>
      <w:r>
        <w:br/>
      </w:r>
      <w:r>
        <w:rPr>
          <w:rStyle w:val="NormalTok"/>
        </w:rPr>
        <w:t xml:space="preserve">    version_b: DocumentVersion,</w:t>
      </w:r>
      <w:r>
        <w:br/>
      </w:r>
      <w:r>
        <w:rPr>
          <w:rStyle w:val="NormalTok"/>
        </w:rPr>
        <w:t xml:space="preserve">) </w:t>
      </w:r>
      <w:r>
        <w:rPr>
          <w:rStyle w:val="OperatorTok"/>
        </w:rPr>
        <w:t xml:space="preserve">-&gt;</w:t>
      </w:r>
      <w:r>
        <w:rPr>
          <w:rStyle w:val="NormalTok"/>
        </w:rPr>
        <w:t xml:space="preserve"> VersionDiff:</w:t>
      </w:r>
      <w:r>
        <w:br/>
      </w:r>
      <w:r>
        <w:rPr>
          <w:rStyle w:val="NormalTok"/>
        </w:rPr>
        <w:t xml:space="preserve">    </w:t>
      </w:r>
      <w:r>
        <w:rPr>
          <w:rStyle w:val="CommentTok"/>
        </w:rPr>
        <w:t xml:space="preserve">"""Runs APTED between the two element trees; for matched-but-modified nodes,</w:t>
      </w:r>
      <w:r>
        <w:br/>
      </w:r>
      <w:r>
        <w:rPr>
          <w:rStyle w:val="CommentTok"/>
        </w:rPr>
        <w:t xml:space="preserve">    runs diff-match-patch on their text content."""</w:t>
      </w:r>
      <w:r>
        <w:br/>
      </w:r>
      <w:r>
        <w:rPr>
          <w:rStyle w:val="NormalTok"/>
        </w:rPr>
        <w:t xml:space="preserve">    ...</w:t>
      </w:r>
      <w:r>
        <w:br/>
      </w:r>
      <w:r>
        <w:br/>
      </w:r>
      <w:r>
        <w:rPr>
          <w:rStyle w:val="CommentTok"/>
        </w:rPr>
        <w:t xml:space="preserve"># versioning/version_graph.py</w:t>
      </w:r>
      <w:r>
        <w:br/>
      </w:r>
      <w:r>
        <w:br/>
      </w:r>
      <w:r>
        <w:rPr>
          <w:rStyle w:val="KeywordTok"/>
        </w:rPr>
        <w:t xml:space="preserve">def</w:t>
      </w:r>
      <w:r>
        <w:rPr>
          <w:rStyle w:val="NormalTok"/>
        </w:rPr>
        <w:t xml:space="preserve"> register_version(document_family_id: </w:t>
      </w:r>
      <w:r>
        <w:rPr>
          <w:rStyle w:val="BuiltInTok"/>
        </w:rPr>
        <w:t xml:space="preserve">str</w:t>
      </w:r>
      <w:r>
        <w:rPr>
          <w:rStyle w:val="NormalTok"/>
        </w:rPr>
        <w:t xml:space="preserve">, new_version: DocumentVersion) </w:t>
      </w:r>
      <w:r>
        <w:rPr>
          <w:rStyle w:val="OperatorTok"/>
        </w:rPr>
        <w:t xml:space="preserve">-&gt;</w:t>
      </w:r>
      <w:r>
        <w:rPr>
          <w:rStyle w:val="NormalTok"/>
        </w:rPr>
        <w:t xml:space="preserve"> VersionGraph:</w:t>
      </w:r>
      <w:r>
        <w:br/>
      </w:r>
      <w:r>
        <w:rPr>
          <w:rStyle w:val="NormalTok"/>
        </w:rPr>
        <w:t xml:space="preserve">    </w:t>
      </w:r>
      <w:r>
        <w:rPr>
          <w:rStyle w:val="CommentTok"/>
        </w:rPr>
        <w:t xml:space="preserve">"""Adds a new version to the family's version history, computing its diff</w:t>
      </w:r>
      <w:r>
        <w:br/>
      </w:r>
      <w:r>
        <w:rPr>
          <w:rStyle w:val="CommentTok"/>
        </w:rPr>
        <w:t xml:space="preserve">    against the immediately preceding version automatically."""</w:t>
      </w:r>
      <w:r>
        <w:br/>
      </w:r>
      <w:r>
        <w:rPr>
          <w:rStyle w:val="NormalTok"/>
        </w:rPr>
        <w:t xml:space="preserve">    ...</w:t>
      </w:r>
      <w:r>
        <w:br/>
      </w:r>
      <w:r>
        <w:br/>
      </w:r>
      <w:r>
        <w:rPr>
          <w:rStyle w:val="KeywordTok"/>
        </w:rPr>
        <w:t xml:space="preserve">def</w:t>
      </w:r>
      <w:r>
        <w:rPr>
          <w:rStyle w:val="NormalTok"/>
        </w:rPr>
        <w:t xml:space="preserve"> query_changes_since(</w:t>
      </w:r>
      <w:r>
        <w:br/>
      </w:r>
      <w:r>
        <w:rPr>
          <w:rStyle w:val="NormalTok"/>
        </w:rPr>
        <w:t xml:space="preserve">    document_family_id: </w:t>
      </w:r>
      <w:r>
        <w:rPr>
          <w:rStyle w:val="BuiltInTok"/>
        </w:rPr>
        <w:t xml:space="preserve">str</w:t>
      </w:r>
      <w:r>
        <w:rPr>
          <w:rStyle w:val="NormalTok"/>
        </w:rPr>
        <w:t xml:space="preserve">,</w:t>
      </w:r>
      <w:r>
        <w:br/>
      </w:r>
      <w:r>
        <w:rPr>
          <w:rStyle w:val="NormalTok"/>
        </w:rPr>
        <w:t xml:space="preserve">    since_version: </w:t>
      </w:r>
      <w:r>
        <w:rPr>
          <w:rStyle w:val="BuiltInTok"/>
        </w:rPr>
        <w:t xml:space="preserve">str</w:t>
      </w:r>
      <w:r>
        <w:rPr>
          <w:rStyle w:val="NormalTok"/>
        </w:rPr>
        <w:t xml:space="preserve">,</w:t>
      </w:r>
      <w:r>
        <w:br/>
      </w:r>
      <w:r>
        <w:rPr>
          <w:rStyle w:val="NormalTok"/>
        </w:rPr>
        <w:t xml:space="preserve">    section_filter: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-&gt;</w:t>
      </w:r>
      <w:r>
        <w:rPr>
          <w:rStyle w:val="NormalTok"/>
        </w:rPr>
        <w:t xml:space="preserve"> List[StructuralEdit]:</w:t>
      </w:r>
      <w:r>
        <w:br/>
      </w:r>
      <w:r>
        <w:rPr>
          <w:rStyle w:val="NormalTok"/>
        </w:rPr>
        <w:t xml:space="preserve">    </w:t>
      </w:r>
      <w:r>
        <w:rPr>
          <w:rStyle w:val="CommentTok"/>
        </w:rPr>
        <w:t xml:space="preserve">"""Answers 'what changed since version X', optionally scoped to one section</w:t>
      </w:r>
      <w:r>
        <w:br/>
      </w:r>
      <w:r>
        <w:rPr>
          <w:rStyle w:val="CommentTok"/>
        </w:rPr>
        <w:t xml:space="preserve">    (e.g., 'risk factors'), by composing diffs across the intervening version chain."""</w:t>
      </w:r>
      <w:r>
        <w:br/>
      </w:r>
      <w:r>
        <w:rPr>
          <w:rStyle w:val="NormalTok"/>
        </w:rPr>
        <w:t xml:space="preserve">    ...</w:t>
      </w:r>
    </w:p>
    <w:bookmarkEnd w:id="43"/>
    <w:bookmarkStart w:id="44" w:name="integration-point-2"/>
    <w:p>
      <w:pPr>
        <w:pStyle w:val="Heading3"/>
      </w:pPr>
      <w:r>
        <w:t xml:space="preserve">4.5 Integration Point</w:t>
      </w:r>
    </w:p>
    <w:p>
      <w:pPr>
        <w:pStyle w:val="FirstParagraph"/>
      </w:pPr>
      <w:r>
        <w:t xml:space="preserve">Reads Section 6’s reading-order tree structure directly (no new upstream extraction needed — every document AEGIS ingests already produces the tree this component diffs); replaces Section 18.4’s current re-indexing workflow’s full-replacement behavior with a diff-aware update that both re-indexes the new version and records the</w:t>
      </w:r>
      <w:r>
        <w:t xml:space="preserve"> </w:t>
      </w:r>
      <w:r>
        <w:rPr>
          <w:rStyle w:val="VerbatimChar"/>
        </w:rPr>
        <w:t xml:space="preserve">VersionDiff</w:t>
      </w:r>
      <w:r>
        <w:t xml:space="preserve"> </w:t>
      </w:r>
      <w:r>
        <w:t xml:space="preserve">for later querying, and feeds</w:t>
      </w:r>
      <w:r>
        <w:t xml:space="preserve"> </w:t>
      </w:r>
      <w:r>
        <w:rPr>
          <w:rStyle w:val="VerbatimChar"/>
        </w:rPr>
        <w:t xml:space="preserve">query_changes_since()</w:t>
      </w:r>
      <w:r>
        <w:t xml:space="preserve"> </w:t>
      </w:r>
      <w:r>
        <w:t xml:space="preserve">results into Section 8’s value-scoring stage as an additional signal for change-tracking queries specifically (a query mentioning</w:t>
      </w:r>
      <w:r>
        <w:t xml:space="preserve"> </w:t>
      </w:r>
      <w:r>
        <w:t xml:space="preserve">“</w:t>
      </w:r>
      <w:r>
        <w:t xml:space="preserve">changed,</w:t>
      </w:r>
      <w:r>
        <w:t xml:space="preserve">”</w:t>
      </w:r>
      <w:r>
        <w:t xml:space="preserve"> </w:t>
      </w:r>
      <w:r>
        <w:t xml:space="preserve">“</w:t>
      </w:r>
      <w:r>
        <w:t xml:space="preserve">updated,</w:t>
      </w:r>
      <w:r>
        <w:t xml:space="preserve">”</w:t>
      </w:r>
      <w:r>
        <w:t xml:space="preserve"> </w:t>
      </w:r>
      <w:r>
        <w:t xml:space="preserve">or</w:t>
      </w:r>
      <w:r>
        <w:t xml:space="preserve"> </w:t>
      </w:r>
      <w:r>
        <w:t xml:space="preserve">“</w:t>
      </w:r>
      <w:r>
        <w:t xml:space="preserve">since</w:t>
      </w:r>
      <w:r>
        <w:t xml:space="preserve">”</w:t>
      </w:r>
      <w:r>
        <w:t xml:space="preserve"> </w:t>
      </w:r>
      <w:r>
        <w:t xml:space="preserve">can be routed to prioritize diff-flagged content).</w:t>
      </w:r>
    </w:p>
    <w:bookmarkEnd w:id="44"/>
    <w:bookmarkStart w:id="45" w:name="test-plan-1"/>
    <w:p>
      <w:pPr>
        <w:pStyle w:val="Heading3"/>
      </w:pPr>
      <w:r>
        <w:t xml:space="preserve">4.6 Test Plan</w:t>
      </w:r>
    </w:p>
    <w:p>
      <w:pPr>
        <w:pStyle w:val="FirstParagraph"/>
      </w:pPr>
      <w:r>
        <w:t xml:space="preserve">TC-P-09 through TC-P-12, detailed in Section 9.3.</w:t>
      </w:r>
    </w:p>
    <w:bookmarkEnd w:id="45"/>
    <w:bookmarkEnd w:id="46"/>
    <w:bookmarkStart w:id="53" w:name="Xedfe9eb9c9c562983d688854aca77582d922468"/>
    <w:p>
      <w:pPr>
        <w:pStyle w:val="Heading2"/>
      </w:pPr>
      <w:r>
        <w:t xml:space="preserve">5. Ingestion Anomaly and Adversarial-Content Gate</w:t>
      </w:r>
    </w:p>
    <w:bookmarkStart w:id="47" w:name="what-it-does-3"/>
    <w:p>
      <w:pPr>
        <w:pStyle w:val="Heading3"/>
      </w:pPr>
      <w:r>
        <w:t xml:space="preserve">5.1 What It Does</w:t>
      </w:r>
    </w:p>
    <w:p>
      <w:pPr>
        <w:pStyle w:val="FirstParagraph"/>
      </w:pPr>
      <w:r>
        <w:t xml:space="preserve">Applies a statistical and pattern-based quality gate to every document at ingestion time, distinct from and complementary to the existing OCR-confidence flagging (monograph Section 18.5): where OCR-confidence flagging catches</w:t>
      </w:r>
      <w:r>
        <w:t xml:space="preserve"> </w:t>
      </w:r>
      <w:r>
        <w:rPr>
          <w:iCs/>
          <w:i/>
        </w:rPr>
        <w:t xml:space="preserve">extraction</w:t>
      </w:r>
      <w:r>
        <w:t xml:space="preserve"> </w:t>
      </w:r>
      <w:r>
        <w:t xml:space="preserve">failures (the parser was unsure what a character said), this component catches</w:t>
      </w:r>
      <w:r>
        <w:t xml:space="preserve"> </w:t>
      </w:r>
      <w:r>
        <w:rPr>
          <w:iCs/>
          <w:i/>
        </w:rPr>
        <w:t xml:space="preserve">content-level</w:t>
      </w:r>
      <w:r>
        <w:t xml:space="preserve"> </w:t>
      </w:r>
      <w:r>
        <w:t xml:space="preserve">anomalies — a structurally malformed parse that extraction confidence alone would not flag, statistical outliers relative to AEGIS’s normal document distribution, and adversarial content specifically crafted to manipulate a downstream language model (prompt-injection payloads embedded in document text, which a purely structural or OCR-confidence check has no mechanism to detect).</w:t>
      </w:r>
    </w:p>
    <w:bookmarkEnd w:id="47"/>
    <w:bookmarkStart w:id="48" w:name="technology-stack-3"/>
    <w:p>
      <w:pPr>
        <w:pStyle w:val="Heading3"/>
      </w:pPr>
      <w:r>
        <w:t xml:space="preserve">5.2 Technology Stack</w:t>
      </w:r>
    </w:p>
    <w:p>
      <w:pPr>
        <w:pStyle w:val="FirstParagraph"/>
      </w:pPr>
      <w:r>
        <w:rPr>
          <w:bCs/>
          <w:b/>
        </w:rPr>
        <w:t xml:space="preserve">scikit-learn’s IsolationForest</w:t>
      </w:r>
      <w:r>
        <w:t xml:space="preserve"> </w:t>
      </w:r>
      <w:r>
        <w:t xml:space="preserve">provides the statistical-outlier detection layer, trained on AEGIS’s own historical per-document feature distribution (element count, entropy per Section 5.5, template-fingerprint distance per Section 5.4, chunk-count-to-page-ratio) — an unsupervised, training-data-light method well suited to flagging</w:t>
      </w:r>
      <w:r>
        <w:t xml:space="preserve"> </w:t>
      </w:r>
      <w:r>
        <w:t xml:space="preserve">“</w:t>
      </w:r>
      <w:r>
        <w:t xml:space="preserve">this document doesn’t look like AEGIS’s normal ingestion distribution</w:t>
      </w:r>
      <w:r>
        <w:t xml:space="preserve">”</w:t>
      </w:r>
      <w:r>
        <w:t xml:space="preserve"> </w:t>
      </w:r>
      <w:r>
        <w:t xml:space="preserve">without requiring labeled anomaly examples. For adversarial-content detection specifically,</w:t>
      </w:r>
      <w:r>
        <w:t xml:space="preserve"> </w:t>
      </w:r>
      <w:r>
        <w:rPr>
          <w:bCs/>
          <w:b/>
        </w:rPr>
        <w:t xml:space="preserve">Rebuff</w:t>
      </w:r>
      <w:r>
        <w:t xml:space="preserve">-style pattern and heuristic detection (an open-source prompt-injection detection approach combining known-attack-pattern matching, a lightweight classifier, and canary-token verification) is the recommended starting point over a full trained classifier, consistent with this document’s Section 1.1 preference for training-free-or-lightweight methods where one exists.</w:t>
      </w:r>
    </w:p>
    <w:bookmarkEnd w:id="48"/>
    <w:bookmarkStart w:id="49" w:name="data-structures-3"/>
    <w:p>
      <w:pPr>
        <w:pStyle w:val="Heading3"/>
      </w:pPr>
      <w:r>
        <w:t xml:space="preserve">5.3 Data Structures</w:t>
      </w:r>
    </w:p>
    <w:p>
      <w:pPr>
        <w:pStyle w:val="SourceCode"/>
      </w:pPr>
      <w:r>
        <w:rPr>
          <w:rStyle w:val="NormalTok"/>
        </w:rPr>
        <w:t xml:space="preserve">DocumentFeatureVector </w:t>
      </w:r>
      <w:r>
        <w:rPr>
          <w:rStyle w:val="OperatorTok"/>
        </w:rPr>
        <w:t xml:space="preserve">=</w:t>
      </w:r>
      <w:r>
        <w:rPr>
          <w:rStyle w:val="NormalTok"/>
        </w:rPr>
        <w:t xml:space="preserve"> {</w:t>
      </w:r>
      <w:r>
        <w:br/>
      </w:r>
      <w:r>
        <w:rPr>
          <w:rStyle w:val="NormalTok"/>
        </w:rPr>
        <w:t xml:space="preserve">    </w:t>
      </w:r>
      <w:r>
        <w:rPr>
          <w:rStyle w:val="StringTok"/>
        </w:rPr>
        <w:t xml:space="preserve">"element_count"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StringTok"/>
        </w:rPr>
        <w:t xml:space="preserve">"entropy"</w:t>
      </w:r>
      <w:r>
        <w:rPr>
          <w:rStyle w:val="NormalTok"/>
        </w:rPr>
        <w:t xml:space="preserve">: </w:t>
      </w:r>
      <w:r>
        <w:rPr>
          <w:rStyle w:val="BuiltInTok"/>
        </w:rPr>
        <w:t xml:space="preserve">float</w:t>
      </w:r>
      <w:r>
        <w:rPr>
          <w:rStyle w:val="NormalTok"/>
        </w:rPr>
        <w:t xml:space="preserve">,              </w:t>
      </w:r>
      <w:r>
        <w:rPr>
          <w:rStyle w:val="CommentTok"/>
        </w:rPr>
        <w:t xml:space="preserve"># Section 5.5's document-level Shannon entropy</w:t>
      </w:r>
      <w:r>
        <w:br/>
      </w:r>
      <w:r>
        <w:rPr>
          <w:rStyle w:val="NormalTok"/>
        </w:rPr>
        <w:t xml:space="preserve">    </w:t>
      </w:r>
      <w:r>
        <w:rPr>
          <w:rStyle w:val="StringTok"/>
        </w:rPr>
        <w:t xml:space="preserve">"template_distance"</w:t>
      </w:r>
      <w:r>
        <w:rPr>
          <w:rStyle w:val="NormalTok"/>
        </w:rPr>
        <w:t xml:space="preserve">: </w:t>
      </w:r>
      <w:r>
        <w:rPr>
          <w:rStyle w:val="BuiltInTok"/>
        </w:rPr>
        <w:t xml:space="preserve">float</w:t>
      </w:r>
      <w:r>
        <w:rPr>
          <w:rStyle w:val="NormalTok"/>
        </w:rPr>
        <w:t xml:space="preserve">,     </w:t>
      </w:r>
      <w:r>
        <w:rPr>
          <w:rStyle w:val="CommentTok"/>
        </w:rPr>
        <w:t xml:space="preserve"># Section 5.4's template-fingerprint distance from corpus centroid</w:t>
      </w:r>
      <w:r>
        <w:br/>
      </w:r>
      <w:r>
        <w:rPr>
          <w:rStyle w:val="NormalTok"/>
        </w:rPr>
        <w:t xml:space="preserve">    </w:t>
      </w:r>
      <w:r>
        <w:rPr>
          <w:rStyle w:val="StringTok"/>
        </w:rPr>
        <w:t xml:space="preserve">"chunk_to_page_ratio"</w:t>
      </w:r>
      <w:r>
        <w:rPr>
          <w:rStyle w:val="NormalTok"/>
        </w:rPr>
        <w:t xml:space="preserve">: </w:t>
      </w:r>
      <w:r>
        <w:rPr>
          <w:rStyle w:val="BuiltInTok"/>
        </w:rPr>
        <w:t xml:space="preserve">float</w:t>
      </w:r>
      <w:r>
        <w:rPr>
          <w:rStyle w:val="NormalTok"/>
        </w:rPr>
        <w:t xml:space="preserve">,</w:t>
      </w:r>
      <w:r>
        <w:br/>
      </w:r>
      <w:r>
        <w:rPr>
          <w:rStyle w:val="NormalTok"/>
        </w:rPr>
        <w:t xml:space="preserve">}</w:t>
      </w:r>
      <w:r>
        <w:br/>
      </w:r>
      <w:r>
        <w:rPr>
          <w:rStyle w:val="NormalTok"/>
        </w:rPr>
        <w:t xml:space="preserve">AnomalyFlag </w:t>
      </w:r>
      <w:r>
        <w:rPr>
          <w:rStyle w:val="OperatorTok"/>
        </w:rPr>
        <w:t xml:space="preserve">=</w:t>
      </w:r>
      <w:r>
        <w:rPr>
          <w:rStyle w:val="NormalTok"/>
        </w:rPr>
        <w:t xml:space="preserve"> {</w:t>
      </w:r>
      <w:r>
        <w:br/>
      </w:r>
      <w:r>
        <w:rPr>
          <w:rStyle w:val="NormalTok"/>
        </w:rPr>
        <w:t xml:space="preserve">    </w:t>
      </w:r>
      <w:r>
        <w:rPr>
          <w:rStyle w:val="StringTok"/>
        </w:rPr>
        <w:t xml:space="preserve">"flag_type"</w:t>
      </w:r>
      <w:r>
        <w:rPr>
          <w:rStyle w:val="NormalTok"/>
        </w:rPr>
        <w:t xml:space="preserve">: </w:t>
      </w:r>
      <w:r>
        <w:rPr>
          <w:rStyle w:val="BuiltInTok"/>
        </w:rPr>
        <w:t xml:space="preserve">str</w:t>
      </w:r>
      <w:r>
        <w:rPr>
          <w:rStyle w:val="NormalTok"/>
        </w:rPr>
        <w:t xml:space="preserve">,   </w:t>
      </w:r>
      <w:r>
        <w:rPr>
          <w:rStyle w:val="CommentTok"/>
        </w:rPr>
        <w:t xml:space="preserve"># "statistical_outlier" | "structural_malformation" | "injection_suspected"</w:t>
      </w:r>
      <w:r>
        <w:br/>
      </w:r>
      <w:r>
        <w:rPr>
          <w:rStyle w:val="NormalTok"/>
        </w:rPr>
        <w:t xml:space="preserve">    </w:t>
      </w:r>
      <w:r>
        <w:rPr>
          <w:rStyle w:val="StringTok"/>
        </w:rPr>
        <w:t xml:space="preserve">"score"</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StringTok"/>
        </w:rPr>
        <w:t xml:space="preserve">"evidence"</w:t>
      </w:r>
      <w:r>
        <w:rPr>
          <w:rStyle w:val="NormalTok"/>
        </w:rPr>
        <w:t xml:space="preserve">: </w:t>
      </w:r>
      <w:r>
        <w:rPr>
          <w:rStyle w:val="BuiltInTok"/>
        </w:rPr>
        <w:t xml:space="preserve">str</w:t>
      </w:r>
      <w:r>
        <w:rPr>
          <w:rStyle w:val="NormalTok"/>
        </w:rPr>
        <w:t xml:space="preserve">,     </w:t>
      </w:r>
      <w:r>
        <w:rPr>
          <w:rStyle w:val="CommentTok"/>
        </w:rPr>
        <w:t xml:space="preserve"># human-readable explanation</w:t>
      </w:r>
      <w:r>
        <w:br/>
      </w:r>
      <w:r>
        <w:rPr>
          <w:rStyle w:val="NormalTok"/>
        </w:rPr>
        <w:t xml:space="preserve">    </w:t>
      </w:r>
      <w:r>
        <w:rPr>
          <w:rStyle w:val="StringTok"/>
        </w:rPr>
        <w:t xml:space="preserve">"element_id"</w:t>
      </w:r>
      <w:r>
        <w:rPr>
          <w:rStyle w:val="NormalTok"/>
        </w:rPr>
        <w:t xml:space="preserve">: Optional[ElementID],  </w:t>
      </w:r>
      <w:r>
        <w:rPr>
          <w:rStyle w:val="CommentTok"/>
        </w:rPr>
        <w:t xml:space="preserve"># if localized to a specific element</w:t>
      </w:r>
      <w:r>
        <w:br/>
      </w:r>
      <w:r>
        <w:rPr>
          <w:rStyle w:val="NormalTok"/>
        </w:rPr>
        <w:t xml:space="preserve">}</w:t>
      </w:r>
      <w:r>
        <w:br/>
      </w:r>
      <w:r>
        <w:rPr>
          <w:rStyle w:val="NormalTok"/>
        </w:rPr>
        <w:t xml:space="preserve">IngestionGateResult </w:t>
      </w:r>
      <w:r>
        <w:rPr>
          <w:rStyle w:val="OperatorTok"/>
        </w:rPr>
        <w:t xml:space="preserve">=</w:t>
      </w:r>
      <w:r>
        <w:rPr>
          <w:rStyle w:val="NormalTok"/>
        </w:rPr>
        <w:t xml:space="preserve"> {</w:t>
      </w:r>
      <w:r>
        <w:br/>
      </w:r>
      <w:r>
        <w:rPr>
          <w:rStyle w:val="NormalTok"/>
        </w:rPr>
        <w:t xml:space="preserve">    </w:t>
      </w:r>
      <w:r>
        <w:rPr>
          <w:rStyle w:val="StringTok"/>
        </w:rPr>
        <w:t xml:space="preserve">"document_id"</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"flags"</w:t>
      </w:r>
      <w:r>
        <w:rPr>
          <w:rStyle w:val="NormalTok"/>
        </w:rPr>
        <w:t xml:space="preserve">: List[AnomalyFlag],</w:t>
      </w:r>
      <w:r>
        <w:br/>
      </w:r>
      <w:r>
        <w:rPr>
          <w:rStyle w:val="NormalTok"/>
        </w:rPr>
        <w:t xml:space="preserve">    </w:t>
      </w:r>
      <w:r>
        <w:rPr>
          <w:rStyle w:val="StringTok"/>
        </w:rPr>
        <w:t xml:space="preserve">"action"</w:t>
      </w:r>
      <w:r>
        <w:rPr>
          <w:rStyle w:val="NormalTok"/>
        </w:rPr>
        <w:t xml:space="preserve">: </w:t>
      </w:r>
      <w:r>
        <w:rPr>
          <w:rStyle w:val="BuiltInTok"/>
        </w:rPr>
        <w:t xml:space="preserve">str</w:t>
      </w:r>
      <w:r>
        <w:rPr>
          <w:rStyle w:val="NormalTok"/>
        </w:rPr>
        <w:t xml:space="preserve">,   </w:t>
      </w:r>
      <w:r>
        <w:rPr>
          <w:rStyle w:val="CommentTok"/>
        </w:rPr>
        <w:t xml:space="preserve"># "pass" | "quarantine" | "reject"</w:t>
      </w:r>
      <w:r>
        <w:br/>
      </w:r>
      <w:r>
        <w:rPr>
          <w:rStyle w:val="NormalTok"/>
        </w:rPr>
        <w:t xml:space="preserve">}</w:t>
      </w:r>
    </w:p>
    <w:bookmarkEnd w:id="49"/>
    <w:bookmarkStart w:id="50" w:name="module-and-functions-3"/>
    <w:p>
      <w:pPr>
        <w:pStyle w:val="Heading3"/>
      </w:pPr>
      <w:r>
        <w:t xml:space="preserve">5.4 Module and Functions</w:t>
      </w:r>
    </w:p>
    <w:p>
      <w:pPr>
        <w:pStyle w:val="SourceCode"/>
      </w:pPr>
      <w:r>
        <w:rPr>
          <w:rStyle w:val="CommentTok"/>
        </w:rPr>
        <w:t xml:space="preserve"># ingestion/anomaly_gate.py</w:t>
      </w:r>
      <w:r>
        <w:br/>
      </w:r>
      <w:r>
        <w:br/>
      </w:r>
      <w:r>
        <w:rPr>
          <w:rStyle w:val="KeywordTok"/>
        </w:rPr>
        <w:t xml:space="preserve">def</w:t>
      </w:r>
      <w:r>
        <w:rPr>
          <w:rStyle w:val="NormalTok"/>
        </w:rPr>
        <w:t xml:space="preserve"> extract_document_features(document: Document) </w:t>
      </w:r>
      <w:r>
        <w:rPr>
          <w:rStyle w:val="OperatorTok"/>
        </w:rPr>
        <w:t xml:space="preserve">-&gt;</w:t>
      </w:r>
      <w:r>
        <w:rPr>
          <w:rStyle w:val="NormalTok"/>
        </w:rPr>
        <w:t xml:space="preserve"> DocumentFeatureVector:</w:t>
      </w:r>
      <w:r>
        <w:br/>
      </w:r>
      <w:r>
        <w:rPr>
          <w:rStyle w:val="NormalTok"/>
        </w:rPr>
        <w:t xml:space="preserve">    ...</w:t>
      </w:r>
      <w:r>
        <w:br/>
      </w:r>
      <w:r>
        <w:br/>
      </w:r>
      <w:r>
        <w:rPr>
          <w:rStyle w:val="KeywordTok"/>
        </w:rPr>
        <w:t xml:space="preserve">def</w:t>
      </w:r>
      <w:r>
        <w:rPr>
          <w:rStyle w:val="NormalTok"/>
        </w:rPr>
        <w:t xml:space="preserve"> detect_statistical_outliers(</w:t>
      </w:r>
      <w:r>
        <w:br/>
      </w:r>
      <w:r>
        <w:rPr>
          <w:rStyle w:val="NormalTok"/>
        </w:rPr>
        <w:t xml:space="preserve">    features: DocumentFeatureVector,</w:t>
      </w:r>
      <w:r>
        <w:br/>
      </w:r>
      <w:r>
        <w:rPr>
          <w:rStyle w:val="NormalTok"/>
        </w:rPr>
        <w:t xml:space="preserve">    isolation_forest: TrainedIsolationForest,</w:t>
      </w:r>
      <w:r>
        <w:br/>
      </w:r>
      <w:r>
        <w:rPr>
          <w:rStyle w:val="NormalTok"/>
        </w:rPr>
        <w:t xml:space="preserve">) </w:t>
      </w:r>
      <w:r>
        <w:rPr>
          <w:rStyle w:val="OperatorTok"/>
        </w:rPr>
        <w:t xml:space="preserve">-&gt;</w:t>
      </w:r>
      <w:r>
        <w:rPr>
          <w:rStyle w:val="NormalTok"/>
        </w:rPr>
        <w:t xml:space="preserve"> Optional[AnomalyFlag]:</w:t>
      </w:r>
      <w:r>
        <w:br/>
      </w:r>
      <w:r>
        <w:rPr>
          <w:rStyle w:val="NormalTok"/>
        </w:rPr>
        <w:t xml:space="preserve">    ...</w:t>
      </w:r>
      <w:r>
        <w:br/>
      </w:r>
      <w:r>
        <w:br/>
      </w:r>
      <w:r>
        <w:rPr>
          <w:rStyle w:val="CommentTok"/>
        </w:rPr>
        <w:t xml:space="preserve"># ingestion/injection_detector.py</w:t>
      </w:r>
      <w:r>
        <w:br/>
      </w:r>
      <w:r>
        <w:br/>
      </w:r>
      <w:r>
        <w:rPr>
          <w:rStyle w:val="KeywordTok"/>
        </w:rPr>
        <w:t xml:space="preserve">def</w:t>
      </w:r>
      <w:r>
        <w:rPr>
          <w:rStyle w:val="NormalTok"/>
        </w:rPr>
        <w:t xml:space="preserve"> scan_for_injection_patterns(</w:t>
      </w:r>
      <w:r>
        <w:br/>
      </w:r>
      <w:r>
        <w:rPr>
          <w:rStyle w:val="NormalTok"/>
        </w:rPr>
        <w:t xml:space="preserve">    elements: List[Element],</w:t>
      </w:r>
      <w:r>
        <w:br/>
      </w:r>
      <w:r>
        <w:rPr>
          <w:rStyle w:val="NormalTok"/>
        </w:rPr>
        <w:t xml:space="preserve">    known_patterns: PatternRegistry </w:t>
      </w:r>
      <w:r>
        <w:rPr>
          <w:rStyle w:val="OperatorTok"/>
        </w:rPr>
        <w:t xml:space="preserve">=</w:t>
      </w:r>
      <w:r>
        <w:rPr>
          <w:rStyle w:val="NormalTok"/>
        </w:rPr>
        <w:t xml:space="preserve"> default_patterns,</w:t>
      </w:r>
      <w:r>
        <w:br/>
      </w:r>
      <w:r>
        <w:rPr>
          <w:rStyle w:val="NormalTok"/>
        </w:rPr>
        <w:t xml:space="preserve">) </w:t>
      </w:r>
      <w:r>
        <w:rPr>
          <w:rStyle w:val="OperatorTok"/>
        </w:rPr>
        <w:t xml:space="preserve">-&gt;</w:t>
      </w:r>
      <w:r>
        <w:rPr>
          <w:rStyle w:val="NormalTok"/>
        </w:rPr>
        <w:t xml:space="preserve"> List[AnomalyFlag]:</w:t>
      </w:r>
      <w:r>
        <w:br/>
      </w:r>
      <w:r>
        <w:rPr>
          <w:rStyle w:val="NormalTok"/>
        </w:rPr>
        <w:t xml:space="preserve">    </w:t>
      </w:r>
      <w:r>
        <w:rPr>
          <w:rStyle w:val="CommentTok"/>
        </w:rPr>
        <w:t xml:space="preserve">"""Pattern-matches known prompt-injection constructions (e.g., 'ignore previous</w:t>
      </w:r>
      <w:r>
        <w:br/>
      </w:r>
      <w:r>
        <w:rPr>
          <w:rStyle w:val="CommentTok"/>
        </w:rPr>
        <w:t xml:space="preserve">    instructions', role-play framing injected as document content, canary-token</w:t>
      </w:r>
      <w:r>
        <w:br/>
      </w:r>
      <w:r>
        <w:rPr>
          <w:rStyle w:val="CommentTok"/>
        </w:rPr>
        <w:t xml:space="preserve">    triggers) at the element level."""</w:t>
      </w:r>
      <w:r>
        <w:br/>
      </w:r>
      <w:r>
        <w:rPr>
          <w:rStyle w:val="NormalTok"/>
        </w:rPr>
        <w:t xml:space="preserve">    ...</w:t>
      </w:r>
      <w:r>
        <w:br/>
      </w:r>
      <w:r>
        <w:br/>
      </w:r>
      <w:r>
        <w:rPr>
          <w:rStyle w:val="KeywordTok"/>
        </w:rPr>
        <w:t xml:space="preserve">def</w:t>
      </w:r>
      <w:r>
        <w:rPr>
          <w:rStyle w:val="NormalTok"/>
        </w:rPr>
        <w:t xml:space="preserve"> run_ingestion_gate(document: Document) </w:t>
      </w:r>
      <w:r>
        <w:rPr>
          <w:rStyle w:val="OperatorTok"/>
        </w:rPr>
        <w:t xml:space="preserve">-&gt;</w:t>
      </w:r>
      <w:r>
        <w:rPr>
          <w:rStyle w:val="NormalTok"/>
        </w:rPr>
        <w:t xml:space="preserve"> IngestionGateResult:</w:t>
      </w:r>
      <w:r>
        <w:br/>
      </w:r>
      <w:r>
        <w:rPr>
          <w:rStyle w:val="NormalTok"/>
        </w:rPr>
        <w:t xml:space="preserve">    </w:t>
      </w:r>
      <w:r>
        <w:rPr>
          <w:rStyle w:val="CommentTok"/>
        </w:rPr>
        <w:t xml:space="preserve">"""Combines statistical and injection-pattern checks into a single pass/</w:t>
      </w:r>
      <w:r>
        <w:br/>
      </w:r>
      <w:r>
        <w:rPr>
          <w:rStyle w:val="CommentTok"/>
        </w:rPr>
        <w:t xml:space="preserve">    quarantine/reject decision, per configured thresholds."""</w:t>
      </w:r>
      <w:r>
        <w:br/>
      </w:r>
      <w:r>
        <w:rPr>
          <w:rStyle w:val="NormalTok"/>
        </w:rPr>
        <w:t xml:space="preserve">    ...</w:t>
      </w:r>
    </w:p>
    <w:bookmarkEnd w:id="50"/>
    <w:bookmarkStart w:id="51" w:name="integration-point-3"/>
    <w:p>
      <w:pPr>
        <w:pStyle w:val="Heading3"/>
      </w:pPr>
      <w:r>
        <w:t xml:space="preserve">5.5 Integration Point</w:t>
      </w:r>
    </w:p>
    <w:p>
      <w:pPr>
        <w:pStyle w:val="FirstParagraph"/>
      </w:pPr>
      <w:r>
        <w:t xml:space="preserve">Attaches to monograph Section 4.2’s ingestion stage, positioned after parsing/OCR but before the twelve mathematical engines (the same position as Section 2’s PII filter; the two can run in the same ingestion pass). A</w:t>
      </w:r>
      <w:r>
        <w:t xml:space="preserve"> </w:t>
      </w:r>
      <w:r>
        <w:rPr>
          <w:rStyle w:val="VerbatimChar"/>
        </w:rPr>
        <w:t xml:space="preserve">"quarantine"</w:t>
      </w:r>
      <w:r>
        <w:t xml:space="preserve"> </w:t>
      </w:r>
      <w:r>
        <w:t xml:space="preserve">or</w:t>
      </w:r>
      <w:r>
        <w:t xml:space="preserve"> </w:t>
      </w:r>
      <w:r>
        <w:rPr>
          <w:rStyle w:val="VerbatimChar"/>
        </w:rPr>
        <w:t xml:space="preserve">"reject"</w:t>
      </w:r>
      <w:r>
        <w:t xml:space="preserve"> </w:t>
      </w:r>
      <w:r>
        <w:t xml:space="preserve">action routes the document to the same dead-letter-queue/manual-review path Section 18.5 already specifies for parse failures, extending that existing operational pattern to content-anomaly failures rather than introducing a new handling path.</w:t>
      </w:r>
    </w:p>
    <w:bookmarkEnd w:id="51"/>
    <w:bookmarkStart w:id="52" w:name="test-plan-2"/>
    <w:p>
      <w:pPr>
        <w:pStyle w:val="Heading3"/>
      </w:pPr>
      <w:r>
        <w:t xml:space="preserve">5.6 Test Plan</w:t>
      </w:r>
    </w:p>
    <w:p>
      <w:pPr>
        <w:pStyle w:val="FirstParagraph"/>
      </w:pPr>
      <w:r>
        <w:t xml:space="preserve">TC-P-13 through TC-P-15, detailed in Section 9.4.</w:t>
      </w:r>
    </w:p>
    <w:bookmarkEnd w:id="52"/>
    <w:bookmarkEnd w:id="53"/>
    <w:bookmarkStart w:id="60" w:name="numerical-and-unit-normalization-layer"/>
    <w:p>
      <w:pPr>
        <w:pStyle w:val="Heading2"/>
      </w:pPr>
      <w:r>
        <w:t xml:space="preserve">6. Numerical and Unit Normalization Layer</w:t>
      </w:r>
    </w:p>
    <w:bookmarkStart w:id="54" w:name="what-it-does-4"/>
    <w:p>
      <w:pPr>
        <w:pStyle w:val="Heading3"/>
      </w:pPr>
      <w:r>
        <w:t xml:space="preserve">6.1 What It Does</w:t>
      </w:r>
    </w:p>
    <w:p>
      <w:pPr>
        <w:pStyle w:val="FirstParagraph"/>
      </w:pPr>
      <w:r>
        <w:t xml:space="preserve">Normalizes currencies, units of measure, fiscal-year conventions, and date formats to a common basis before values reach the Matrix Engine’s correlation/covariance statistics (monograph Section 5.4) or the context packer’s value scoring — closing a gap directly relevant to AEGIS’s stated financial-document focus (Appendix F’s worked example, the TAT-QA evaluation target of Section 21.2): a query comparing two companies’ revenue currently has no AEGIS-native guarantee the two figures being compared are denominated in the same currency, fiscal-year basis, or unit scale (thousands vs. millions).</w:t>
      </w:r>
    </w:p>
    <w:bookmarkEnd w:id="54"/>
    <w:bookmarkStart w:id="55" w:name="technology-stack-4"/>
    <w:p>
      <w:pPr>
        <w:pStyle w:val="Heading3"/>
      </w:pPr>
      <w:r>
        <w:t xml:space="preserve">6.2 Technology Stack</w:t>
      </w:r>
    </w:p>
    <w:p>
      <w:pPr>
        <w:pStyle w:val="FirstParagraph"/>
      </w:pPr>
      <w:r>
        <w:rPr>
          <w:bCs/>
          <w:b/>
        </w:rPr>
        <w:t xml:space="preserve">Pint</w:t>
      </w:r>
      <w:r>
        <w:t xml:space="preserve"> </w:t>
      </w:r>
      <w:r>
        <w:t xml:space="preserve">(a mature, widely-used Python units library) handles unit-of-measure normalization (currency excluded — Pint is built for physical units) with full unit-arithmetic support, so a table cell recorded in</w:t>
      </w:r>
      <w:r>
        <w:t xml:space="preserve"> </w:t>
      </w:r>
      <w:r>
        <w:t xml:space="preserve">“</w:t>
      </w:r>
      <w:r>
        <w:t xml:space="preserve">thousands of square feet</w:t>
      </w:r>
      <w:r>
        <w:t xml:space="preserve">”</w:t>
      </w:r>
      <w:r>
        <w:t xml:space="preserve"> </w:t>
      </w:r>
      <w:r>
        <w:t xml:space="preserve">and another in</w:t>
      </w:r>
      <w:r>
        <w:t xml:space="preserve"> </w:t>
      </w:r>
      <w:r>
        <w:t xml:space="preserve">“</w:t>
      </w:r>
      <w:r>
        <w:t xml:space="preserve">square meters</w:t>
      </w:r>
      <w:r>
        <w:t xml:space="preserve">”</w:t>
      </w:r>
      <w:r>
        <w:t xml:space="preserve"> </w:t>
      </w:r>
      <w:r>
        <w:t xml:space="preserve">can be converted to a common basis with dimensional-correctness checking built in, rather than a custom, error-prone conversion-factor lookup.</w:t>
      </w:r>
      <w:r>
        <w:t xml:space="preserve"> </w:t>
      </w:r>
      <w:r>
        <w:rPr>
          <w:bCs/>
          <w:b/>
        </w:rPr>
        <w:t xml:space="preserve">Babel</w:t>
      </w:r>
      <w:r>
        <w:t xml:space="preserve"> </w:t>
      </w:r>
      <w:r>
        <w:t xml:space="preserve">(the Unicode CLDR-backed locale library) handles currency and number-format parsing — recognizing</w:t>
      </w:r>
      <w:r>
        <w:t xml:space="preserve"> </w:t>
      </w:r>
      <w:r>
        <w:t xml:space="preserve">“</w:t>
      </w:r>
      <w:r>
        <w:t xml:space="preserve">$1,234.56,</w:t>
      </w:r>
      <w:r>
        <w:t xml:space="preserve">”</w:t>
      </w:r>
      <w:r>
        <w:t xml:space="preserve"> </w:t>
      </w:r>
      <w:r>
        <w:t xml:space="preserve">“</w:t>
      </w:r>
      <w:r>
        <w:t xml:space="preserve">1.234,56 €,</w:t>
      </w:r>
      <w:r>
        <w:t xml:space="preserve">”</w:t>
      </w:r>
      <w:r>
        <w:t xml:space="preserve"> </w:t>
      </w:r>
      <w:r>
        <w:t xml:space="preserve">and</w:t>
      </w:r>
      <w:r>
        <w:t xml:space="preserve"> </w:t>
      </w:r>
      <w:r>
        <w:t xml:space="preserve">“</w:t>
      </w:r>
      <w:r>
        <w:t xml:space="preserve">¥1,234</w:t>
      </w:r>
      <w:r>
        <w:t xml:space="preserve">”</w:t>
      </w:r>
      <w:r>
        <w:t xml:space="preserve"> </w:t>
      </w:r>
      <w:r>
        <w:t xml:space="preserve">as the same underlying quantity in different locale conventions. Currency</w:t>
      </w:r>
      <w:r>
        <w:t xml:space="preserve"> </w:t>
      </w:r>
      <w:r>
        <w:rPr>
          <w:iCs/>
          <w:i/>
        </w:rPr>
        <w:t xml:space="preserve">conversion</w:t>
      </w:r>
      <w:r>
        <w:t xml:space="preserve"> </w:t>
      </w:r>
      <w:r>
        <w:t xml:space="preserve">(as opposed to parsing) requires an exchange-rate source; this document recommends a point-in-time historical exchange-rate API (matched to each document’s stated reporting date, not the current rate) as the correct approach for financial-document normalization specifically, flagged as an external-data dependency distinct from the other, fully self-contained libraries in this section.</w:t>
      </w:r>
      <w:r>
        <w:t xml:space="preserve"> </w:t>
      </w:r>
      <w:r>
        <w:rPr>
          <w:bCs/>
          <w:b/>
        </w:rPr>
        <w:t xml:space="preserve">dateutil</w:t>
      </w:r>
      <w:r>
        <w:t xml:space="preserve"> </w:t>
      </w:r>
      <w:r>
        <w:t xml:space="preserve">and</w:t>
      </w:r>
      <w:r>
        <w:t xml:space="preserve"> </w:t>
      </w:r>
      <w:r>
        <w:rPr>
          <w:bCs/>
          <w:b/>
        </w:rPr>
        <w:t xml:space="preserve">dateparser</w:t>
      </w:r>
      <w:r>
        <w:t xml:space="preserve"> </w:t>
      </w:r>
      <w:r>
        <w:t xml:space="preserve">handle date and fiscal-year-convention normalization (a company with a June fiscal year-end reporting</w:t>
      </w:r>
      <w:r>
        <w:t xml:space="preserve"> </w:t>
      </w:r>
      <w:r>
        <w:t xml:space="preserve">“</w:t>
      </w:r>
      <w:r>
        <w:t xml:space="preserve">FY2026</w:t>
      </w:r>
      <w:r>
        <w:t xml:space="preserve">”</w:t>
      </w:r>
      <w:r>
        <w:t xml:space="preserve"> </w:t>
      </w:r>
      <w:r>
        <w:t xml:space="preserve">refers to a different calendar period than one with a December fiscal year-end).</w:t>
      </w:r>
    </w:p>
    <w:bookmarkEnd w:id="55"/>
    <w:bookmarkStart w:id="56" w:name="data-structures-4"/>
    <w:p>
      <w:pPr>
        <w:pStyle w:val="Heading3"/>
      </w:pPr>
      <w:r>
        <w:t xml:space="preserve">6.3 Data Structures</w:t>
      </w:r>
    </w:p>
    <w:p>
      <w:pPr>
        <w:pStyle w:val="SourceCode"/>
      </w:pPr>
      <w:r>
        <w:rPr>
          <w:rStyle w:val="NormalTok"/>
        </w:rPr>
        <w:t xml:space="preserve">NormalizedQuantity </w:t>
      </w:r>
      <w:r>
        <w:rPr>
          <w:rStyle w:val="OperatorTok"/>
        </w:rPr>
        <w:t xml:space="preserve">=</w:t>
      </w:r>
      <w:r>
        <w:rPr>
          <w:rStyle w:val="NormalTok"/>
        </w:rPr>
        <w:t xml:space="preserve"> {</w:t>
      </w:r>
      <w:r>
        <w:br/>
      </w:r>
      <w:r>
        <w:rPr>
          <w:rStyle w:val="NormalTok"/>
        </w:rPr>
        <w:t xml:space="preserve">    </w:t>
      </w:r>
      <w:r>
        <w:rPr>
          <w:rStyle w:val="StringTok"/>
        </w:rPr>
        <w:t xml:space="preserve">"original_text"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"value"</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StringTok"/>
        </w:rPr>
        <w:t xml:space="preserve">"unit"</w:t>
      </w:r>
      <w:r>
        <w:rPr>
          <w:rStyle w:val="NormalTok"/>
        </w:rPr>
        <w:t xml:space="preserve">: </w:t>
      </w:r>
      <w:r>
        <w:rPr>
          <w:rStyle w:val="BuiltInTok"/>
        </w:rPr>
        <w:t xml:space="preserve">str</w:t>
      </w:r>
      <w:r>
        <w:rPr>
          <w:rStyle w:val="NormalTok"/>
        </w:rPr>
        <w:t xml:space="preserve">,              </w:t>
      </w:r>
      <w:r>
        <w:rPr>
          <w:rStyle w:val="CommentTok"/>
        </w:rPr>
        <w:t xml:space="preserve"># canonical Pint unit string, or ISO 4217 currency code</w:t>
      </w:r>
      <w:r>
        <w:br/>
      </w:r>
      <w:r>
        <w:rPr>
          <w:rStyle w:val="NormalTok"/>
        </w:rPr>
        <w:t xml:space="preserve">    </w:t>
      </w:r>
      <w:r>
        <w:rPr>
          <w:rStyle w:val="StringTok"/>
        </w:rPr>
        <w:t xml:space="preserve">"quantity_type"</w:t>
      </w:r>
      <w:r>
        <w:rPr>
          <w:rStyle w:val="NormalTok"/>
        </w:rPr>
        <w:t xml:space="preserve">: </w:t>
      </w:r>
      <w:r>
        <w:rPr>
          <w:rStyle w:val="BuiltInTok"/>
        </w:rPr>
        <w:t xml:space="preserve">str</w:t>
      </w:r>
      <w:r>
        <w:rPr>
          <w:rStyle w:val="NormalTok"/>
        </w:rPr>
        <w:t xml:space="preserve">,      </w:t>
      </w:r>
      <w:r>
        <w:rPr>
          <w:rStyle w:val="CommentTok"/>
        </w:rPr>
        <w:t xml:space="preserve"># "currency" | "measure" | "date" | "fiscal_period"</w:t>
      </w:r>
      <w:r>
        <w:br/>
      </w:r>
      <w:r>
        <w:rPr>
          <w:rStyle w:val="NormalTok"/>
        </w:rPr>
        <w:t xml:space="preserve">    </w:t>
      </w:r>
      <w:r>
        <w:rPr>
          <w:rStyle w:val="StringTok"/>
        </w:rPr>
        <w:t xml:space="preserve">"conversion_basis"</w:t>
      </w:r>
      <w:r>
        <w:rPr>
          <w:rStyle w:val="NormalTok"/>
        </w:rPr>
        <w:t xml:space="preserve">: Optional[</w:t>
      </w:r>
      <w:r>
        <w:rPr>
          <w:rStyle w:val="BuiltInTok"/>
        </w:rPr>
        <w:t xml:space="preserve">str</w:t>
      </w:r>
      <w:r>
        <w:rPr>
          <w:rStyle w:val="NormalTok"/>
        </w:rPr>
        <w:t xml:space="preserve">],   </w:t>
      </w:r>
      <w:r>
        <w:rPr>
          <w:rStyle w:val="CommentTok"/>
        </w:rPr>
        <w:t xml:space="preserve"># e.g. exchange rate date used, if currency</w:t>
      </w:r>
      <w:r>
        <w:br/>
      </w:r>
      <w:r>
        <w:rPr>
          <w:rStyle w:val="NormalTok"/>
        </w:rPr>
        <w:t xml:space="preserve">}</w:t>
      </w:r>
    </w:p>
    <w:bookmarkEnd w:id="56"/>
    <w:bookmarkStart w:id="57" w:name="module-and-functions-4"/>
    <w:p>
      <w:pPr>
        <w:pStyle w:val="Heading3"/>
      </w:pPr>
      <w:r>
        <w:t xml:space="preserve">6.4 Module and Functions</w:t>
      </w:r>
    </w:p>
    <w:p>
      <w:pPr>
        <w:pStyle w:val="SourceCode"/>
      </w:pPr>
      <w:r>
        <w:rPr>
          <w:rStyle w:val="CommentTok"/>
        </w:rPr>
        <w:t xml:space="preserve"># engines/matrix/unit_normalizer.py</w:t>
      </w:r>
      <w:r>
        <w:br/>
      </w:r>
      <w:r>
        <w:br/>
      </w:r>
      <w:r>
        <w:rPr>
          <w:rStyle w:val="KeywordTok"/>
        </w:rPr>
        <w:t xml:space="preserve">def</w:t>
      </w:r>
      <w:r>
        <w:rPr>
          <w:rStyle w:val="NormalTok"/>
        </w:rPr>
        <w:t xml:space="preserve"> parse_quantity(cell_text: </w:t>
      </w:r>
      <w:r>
        <w:rPr>
          <w:rStyle w:val="BuiltInTok"/>
        </w:rPr>
        <w:t xml:space="preserve">str</w:t>
      </w:r>
      <w:r>
        <w:rPr>
          <w:rStyle w:val="NormalTok"/>
        </w:rPr>
        <w:t xml:space="preserve">, locale: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"en_US"</w:t>
      </w:r>
      <w:r>
        <w:rPr>
          <w:rStyle w:val="NormalTok"/>
        </w:rPr>
        <w:t xml:space="preserve">) </w:t>
      </w:r>
      <w:r>
        <w:rPr>
          <w:rStyle w:val="OperatorTok"/>
        </w:rPr>
        <w:t xml:space="preserve">-&gt;</w:t>
      </w:r>
      <w:r>
        <w:rPr>
          <w:rStyle w:val="NormalTok"/>
        </w:rPr>
        <w:t xml:space="preserve"> Optional[NormalizedQuantity]:</w:t>
      </w:r>
      <w:r>
        <w:br/>
      </w:r>
      <w:r>
        <w:rPr>
          <w:rStyle w:val="NormalTok"/>
        </w:rPr>
        <w:t xml:space="preserve">    </w:t>
      </w:r>
      <w:r>
        <w:rPr>
          <w:rStyle w:val="CommentTok"/>
        </w:rPr>
        <w:t xml:space="preserve">"""Uses Babel to parse locale-formatted numbers/currencies; Pint for physical units."""</w:t>
      </w:r>
      <w:r>
        <w:br/>
      </w:r>
      <w:r>
        <w:rPr>
          <w:rStyle w:val="NormalTok"/>
        </w:rPr>
        <w:t xml:space="preserve">    ...</w:t>
      </w:r>
      <w:r>
        <w:br/>
      </w:r>
      <w:r>
        <w:br/>
      </w:r>
      <w:r>
        <w:rPr>
          <w:rStyle w:val="KeywordTok"/>
        </w:rPr>
        <w:t xml:space="preserve">def</w:t>
      </w:r>
      <w:r>
        <w:rPr>
          <w:rStyle w:val="NormalTok"/>
        </w:rPr>
        <w:t xml:space="preserve"> normalize_currency(</w:t>
      </w:r>
      <w:r>
        <w:br/>
      </w:r>
      <w:r>
        <w:rPr>
          <w:rStyle w:val="NormalTok"/>
        </w:rPr>
        <w:t xml:space="preserve">    quantity: NormalizedQuantity,</w:t>
      </w:r>
      <w:r>
        <w:br/>
      </w:r>
      <w:r>
        <w:rPr>
          <w:rStyle w:val="NormalTok"/>
        </w:rPr>
        <w:t xml:space="preserve">    target_currency: </w:t>
      </w:r>
      <w:r>
        <w:rPr>
          <w:rStyle w:val="BuiltInTok"/>
        </w:rPr>
        <w:t xml:space="preserve">str</w:t>
      </w:r>
      <w:r>
        <w:rPr>
          <w:rStyle w:val="NormalTok"/>
        </w:rPr>
        <w:t xml:space="preserve">,</w:t>
      </w:r>
      <w:r>
        <w:br/>
      </w:r>
      <w:r>
        <w:rPr>
          <w:rStyle w:val="NormalTok"/>
        </w:rPr>
        <w:t xml:space="preserve">    as_of_date: date,</w:t>
      </w:r>
      <w:r>
        <w:br/>
      </w:r>
      <w:r>
        <w:rPr>
          <w:rStyle w:val="NormalTok"/>
        </w:rPr>
        <w:t xml:space="preserve">    rate_source: ExchangeRateSource,</w:t>
      </w:r>
      <w:r>
        <w:br/>
      </w:r>
      <w:r>
        <w:rPr>
          <w:rStyle w:val="NormalTok"/>
        </w:rPr>
        <w:t xml:space="preserve">) </w:t>
      </w:r>
      <w:r>
        <w:rPr>
          <w:rStyle w:val="OperatorTok"/>
        </w:rPr>
        <w:t xml:space="preserve">-&gt;</w:t>
      </w:r>
      <w:r>
        <w:rPr>
          <w:rStyle w:val="NormalTok"/>
        </w:rPr>
        <w:t xml:space="preserve"> NormalizedQuantity:</w:t>
      </w:r>
      <w:r>
        <w:br/>
      </w:r>
      <w:r>
        <w:rPr>
          <w:rStyle w:val="NormalTok"/>
        </w:rPr>
        <w:t xml:space="preserve">    </w:t>
      </w:r>
      <w:r>
        <w:rPr>
          <w:rStyle w:val="CommentTok"/>
        </w:rPr>
        <w:t xml:space="preserve">"""Converts to target_currency using the historical rate as of the document's</w:t>
      </w:r>
      <w:r>
        <w:br/>
      </w:r>
      <w:r>
        <w:rPr>
          <w:rStyle w:val="CommentTok"/>
        </w:rPr>
        <w:t xml:space="preserve">    own reporting date, not the current rate — the financially correct basis for</w:t>
      </w:r>
      <w:r>
        <w:br/>
      </w:r>
      <w:r>
        <w:rPr>
          <w:rStyle w:val="CommentTok"/>
        </w:rPr>
        <w:t xml:space="preserve">    comparing figures reported at different times."""</w:t>
      </w:r>
      <w:r>
        <w:br/>
      </w:r>
      <w:r>
        <w:rPr>
          <w:rStyle w:val="NormalTok"/>
        </w:rPr>
        <w:t xml:space="preserve">    ...</w:t>
      </w:r>
      <w:r>
        <w:br/>
      </w:r>
      <w:r>
        <w:br/>
      </w:r>
      <w:r>
        <w:rPr>
          <w:rStyle w:val="KeywordTok"/>
        </w:rPr>
        <w:t xml:space="preserve">def</w:t>
      </w:r>
      <w:r>
        <w:rPr>
          <w:rStyle w:val="NormalTok"/>
        </w:rPr>
        <w:t xml:space="preserve"> normalize_fiscal_period(period_text: </w:t>
      </w:r>
      <w:r>
        <w:rPr>
          <w:rStyle w:val="BuiltInTok"/>
        </w:rPr>
        <w:t xml:space="preserve">str</w:t>
      </w:r>
      <w:r>
        <w:rPr>
          <w:rStyle w:val="NormalTok"/>
        </w:rPr>
        <w:t xml:space="preserve">, company_fiscal_calendar: FiscalCalendar) </w:t>
      </w:r>
      <w:r>
        <w:rPr>
          <w:rStyle w:val="OperatorTok"/>
        </w:rPr>
        <w:t xml:space="preserve">-&gt;</w:t>
      </w:r>
      <w:r>
        <w:rPr>
          <w:rStyle w:val="NormalTok"/>
        </w:rPr>
        <w:t xml:space="preserve"> NormalizedQuantity:</w:t>
      </w:r>
      <w:r>
        <w:br/>
      </w:r>
      <w:r>
        <w:rPr>
          <w:rStyle w:val="NormalTok"/>
        </w:rPr>
        <w:t xml:space="preserve">    ...</w:t>
      </w:r>
      <w:r>
        <w:br/>
      </w:r>
      <w:r>
        <w:br/>
      </w:r>
      <w:r>
        <w:rPr>
          <w:rStyle w:val="KeywordTok"/>
        </w:rPr>
        <w:t xml:space="preserve">def</w:t>
      </w:r>
      <w:r>
        <w:rPr>
          <w:rStyle w:val="NormalTok"/>
        </w:rPr>
        <w:t xml:space="preserve"> normalize_table(table: CellMatrix, target_basis: NormalizationBasis) </w:t>
      </w:r>
      <w:r>
        <w:rPr>
          <w:rStyle w:val="OperatorTok"/>
        </w:rPr>
        <w:t xml:space="preserve">-&gt;</w:t>
      </w:r>
      <w:r>
        <w:rPr>
          <w:rStyle w:val="NormalTok"/>
        </w:rPr>
        <w:t xml:space="preserve"> CellMatrix:</w:t>
      </w:r>
      <w:r>
        <w:br/>
      </w:r>
      <w:r>
        <w:rPr>
          <w:rStyle w:val="NormalTok"/>
        </w:rPr>
        <w:t xml:space="preserve">    </w:t>
      </w:r>
      <w:r>
        <w:rPr>
          <w:rStyle w:val="CommentTok"/>
        </w:rPr>
        <w:t xml:space="preserve">"""Applies quantity parsing and normalization across every applicable cell in</w:t>
      </w:r>
      <w:r>
        <w:br/>
      </w:r>
      <w:r>
        <w:rPr>
          <w:rStyle w:val="CommentTok"/>
        </w:rPr>
        <w:t xml:space="preserve">    a detected table, feeding the Matrix Engine's existing correlation/covariance</w:t>
      </w:r>
      <w:r>
        <w:br/>
      </w:r>
      <w:r>
        <w:rPr>
          <w:rStyle w:val="CommentTok"/>
        </w:rPr>
        <w:t xml:space="preserve">    computation (Section 5.4) a normalized rather than raw input."""</w:t>
      </w:r>
      <w:r>
        <w:br/>
      </w:r>
      <w:r>
        <w:rPr>
          <w:rStyle w:val="NormalTok"/>
        </w:rPr>
        <w:t xml:space="preserve">    ...</w:t>
      </w:r>
    </w:p>
    <w:bookmarkEnd w:id="57"/>
    <w:bookmarkStart w:id="58" w:name="integration-point-4"/>
    <w:p>
      <w:pPr>
        <w:pStyle w:val="Heading3"/>
      </w:pPr>
      <w:r>
        <w:t xml:space="preserve">6.5 Integration Point</w:t>
      </w:r>
    </w:p>
    <w:p>
      <w:pPr>
        <w:pStyle w:val="FirstParagraph"/>
      </w:pPr>
      <w:r>
        <w:t xml:space="preserve">Extends the existing Matrix Engine (monograph Section 5.4) rather than introducing a new engine —</w:t>
      </w:r>
      <w:r>
        <w:t xml:space="preserve"> </w:t>
      </w:r>
      <w:r>
        <w:rPr>
          <w:rStyle w:val="VerbatimChar"/>
        </w:rPr>
        <w:t xml:space="preserve">normalize_table()</w:t>
      </w:r>
      <w:r>
        <w:t xml:space="preserve"> </w:t>
      </w:r>
      <w:r>
        <w:t xml:space="preserve">sits between table-structure detection and the existing correlation/covariance/growth-metric computations, so those existing statistics (already specified in Section 5.4) operate on normalized values without requiring any change to their own formulas. Normalized values also feed Concept N1’s NTT-accelerated convolution path (Future Concepts Report Section 4.1) with cleaner, unit-consistent input.</w:t>
      </w:r>
    </w:p>
    <w:bookmarkEnd w:id="58"/>
    <w:bookmarkStart w:id="59" w:name="test-plan-3"/>
    <w:p>
      <w:pPr>
        <w:pStyle w:val="Heading3"/>
      </w:pPr>
      <w:r>
        <w:t xml:space="preserve">6.6 Test Plan</w:t>
      </w:r>
    </w:p>
    <w:p>
      <w:pPr>
        <w:pStyle w:val="FirstParagraph"/>
      </w:pPr>
      <w:r>
        <w:t xml:space="preserve">TC-P-16 through TC-P-18, detailed in Section 9.5.</w:t>
      </w:r>
    </w:p>
    <w:bookmarkEnd w:id="59"/>
    <w:bookmarkEnd w:id="60"/>
    <w:bookmarkStart w:id="67" w:name="query-decomposition-pre-processor"/>
    <w:p>
      <w:pPr>
        <w:pStyle w:val="Heading2"/>
      </w:pPr>
      <w:r>
        <w:t xml:space="preserve">7. Query Decomposition Pre-Processor</w:t>
      </w:r>
    </w:p>
    <w:bookmarkStart w:id="61" w:name="what-it-does-5"/>
    <w:p>
      <w:pPr>
        <w:pStyle w:val="Heading3"/>
      </w:pPr>
      <w:r>
        <w:t xml:space="preserve">7.1 What It Does</w:t>
      </w:r>
    </w:p>
    <w:p>
      <w:pPr>
        <w:pStyle w:val="FirstParagraph"/>
      </w:pPr>
      <w:r>
        <w:t xml:space="preserve">Structurally decomposes a multi-hop query into an explicit sub-query dependency graph before retrieval begins, distinct from and upstream of the existing HyDE/step-back query transformation (monograph Section 15.2), which rewrites a query’s</w:t>
      </w:r>
      <w:r>
        <w:t xml:space="preserve"> </w:t>
      </w:r>
      <w:r>
        <w:rPr>
          <w:iCs/>
          <w:i/>
        </w:rPr>
        <w:t xml:space="preserve">phrasing</w:t>
      </w:r>
      <w:r>
        <w:t xml:space="preserve"> </w:t>
      </w:r>
      <w:r>
        <w:t xml:space="preserve">but does not decompose its</w:t>
      </w:r>
      <w:r>
        <w:t xml:space="preserve"> </w:t>
      </w:r>
      <w:r>
        <w:rPr>
          <w:iCs/>
          <w:i/>
        </w:rPr>
        <w:t xml:space="preserve">structure</w:t>
      </w:r>
      <w:r>
        <w:t xml:space="preserve">. A query like</w:t>
      </w:r>
      <w:r>
        <w:t xml:space="preserve"> </w:t>
      </w:r>
      <w:r>
        <w:t xml:space="preserve">“</w:t>
      </w:r>
      <w:r>
        <w:t xml:space="preserve">compare the risk factors between the company’s current and prior filing</w:t>
      </w:r>
      <w:r>
        <w:t xml:space="preserve">”</w:t>
      </w:r>
      <w:r>
        <w:t xml:space="preserve"> </w:t>
      </w:r>
      <w:r>
        <w:t xml:space="preserve">implicitly requires two retrievals (current filing’s risk factors, prior filing’s risk factors) and a comparison step; today AEGIS’s Section 15 retrieval pipeline treats this as one query against one fused signal, with no explicit sub-query structure for the Section 13 bandit router to route each part of independently.</w:t>
      </w:r>
    </w:p>
    <w:bookmarkEnd w:id="61"/>
    <w:bookmarkStart w:id="62" w:name="technology-stack-5"/>
    <w:p>
      <w:pPr>
        <w:pStyle w:val="Heading3"/>
      </w:pPr>
      <w:r>
        <w:t xml:space="preserve">7.2 Technology Stack</w:t>
      </w:r>
    </w:p>
    <w:p>
      <w:pPr>
        <w:pStyle w:val="FirstParagraph"/>
      </w:pPr>
      <w:r>
        <w:t xml:space="preserve">This is the one component in this document where a lightweight</w:t>
      </w:r>
      <w:r>
        <w:t xml:space="preserve"> </w:t>
      </w:r>
      <w:r>
        <w:rPr>
          <w:iCs/>
          <w:i/>
        </w:rPr>
        <w:t xml:space="preserve">rule-based and dependency-parse-based</w:t>
      </w:r>
      <w:r>
        <w:t xml:space="preserve"> </w:t>
      </w:r>
      <w:r>
        <w:t xml:space="preserve">approach is preferred over an LLM call specifically to preserve the pre-LLM framing (monograph Section 4.1) — decomposing the query using a language model would work, but would mean the</w:t>
      </w:r>
      <w:r>
        <w:t xml:space="preserve"> </w:t>
      </w:r>
      <w:r>
        <w:t xml:space="preserve">“</w:t>
      </w:r>
      <w:r>
        <w:t xml:space="preserve">pre-LLM</w:t>
      </w:r>
      <w:r>
        <w:t xml:space="preserve">”</w:t>
      </w:r>
      <w:r>
        <w:t xml:space="preserve"> </w:t>
      </w:r>
      <w:r>
        <w:t xml:space="preserve">pipeline’s first step is itself an LLM call, undermining the architectural principle the rest of this body of work has been built around.</w:t>
      </w:r>
      <w:r>
        <w:t xml:space="preserve"> </w:t>
      </w:r>
      <w:r>
        <w:rPr>
          <w:bCs/>
          <w:b/>
        </w:rPr>
        <w:t xml:space="preserve">spaCy’s dependency parser</w:t>
      </w:r>
      <w:r>
        <w:t xml:space="preserve"> </w:t>
      </w:r>
      <w:r>
        <w:t xml:space="preserve">(already a shared dependency via Presidio, Section 2, and AEGIS’s existing Semantic Engine) identifies coordinating conjunctions, comparative structures, and temporal/conditional clauses that signal a decomposable query. A small set of</w:t>
      </w:r>
      <w:r>
        <w:t xml:space="preserve"> </w:t>
      </w:r>
      <w:r>
        <w:rPr>
          <w:bCs/>
          <w:b/>
        </w:rPr>
        <w:t xml:space="preserve">hand-authored decomposition patterns</w:t>
      </w:r>
      <w:r>
        <w:t xml:space="preserve"> </w:t>
      </w:r>
      <w:r>
        <w:t xml:space="preserve">(matched against the dependency-parse structure — a comparative construction like</w:t>
      </w:r>
      <w:r>
        <w:t xml:space="preserve"> </w:t>
      </w:r>
      <w:r>
        <w:t xml:space="preserve">“</w:t>
      </w:r>
      <w:r>
        <w:t xml:space="preserve">compare X and Y</w:t>
      </w:r>
      <w:r>
        <w:t xml:space="preserve">”</w:t>
      </w:r>
      <w:r>
        <w:t xml:space="preserve"> </w:t>
      </w:r>
      <w:r>
        <w:t xml:space="preserve">decomposes into sub-queries for X and Y plus a comparison step; a temporal construction like</w:t>
      </w:r>
      <w:r>
        <w:t xml:space="preserve"> </w:t>
      </w:r>
      <w:r>
        <w:t xml:space="preserve">“</w:t>
      </w:r>
      <w:r>
        <w:t xml:space="preserve">since Q2</w:t>
      </w:r>
      <w:r>
        <w:t xml:space="preserve">”</w:t>
      </w:r>
      <w:r>
        <w:t xml:space="preserve"> </w:t>
      </w:r>
      <w:r>
        <w:t xml:space="preserve">decomposes into a version-scoped sub-query consuming Section 4’s diff engine) covers the common decomposable query shapes without requiring a trained model. Where no pattern matches, the query passes through unmodified as a single node — this component is designed to decompose the</w:t>
      </w:r>
      <w:r>
        <w:t xml:space="preserve"> </w:t>
      </w:r>
      <w:r>
        <w:rPr>
          <w:iCs/>
          <w:i/>
        </w:rPr>
        <w:t xml:space="preserve">specific</w:t>
      </w:r>
      <w:r>
        <w:t xml:space="preserve">,</w:t>
      </w:r>
      <w:r>
        <w:t xml:space="preserve"> </w:t>
      </w:r>
      <w:r>
        <w:rPr>
          <w:iCs/>
          <w:i/>
        </w:rPr>
        <w:t xml:space="preserve">detectable</w:t>
      </w:r>
      <w:r>
        <w:t xml:space="preserve"> </w:t>
      </w:r>
      <w:r>
        <w:t xml:space="preserve">multi-hop patterns it is built for, not to attempt general-purpose query understanding.</w:t>
      </w:r>
    </w:p>
    <w:bookmarkEnd w:id="62"/>
    <w:bookmarkStart w:id="63" w:name="data-structures-5"/>
    <w:p>
      <w:pPr>
        <w:pStyle w:val="Heading3"/>
      </w:pPr>
      <w:r>
        <w:t xml:space="preserve">7.3 Data Structures</w:t>
      </w:r>
    </w:p>
    <w:p>
      <w:pPr>
        <w:pStyle w:val="SourceCode"/>
      </w:pPr>
      <w:r>
        <w:rPr>
          <w:rStyle w:val="NormalTok"/>
        </w:rPr>
        <w:t xml:space="preserve">SubQuery </w:t>
      </w:r>
      <w:r>
        <w:rPr>
          <w:rStyle w:val="OperatorTok"/>
        </w:rPr>
        <w:t xml:space="preserve">=</w:t>
      </w:r>
      <w:r>
        <w:rPr>
          <w:rStyle w:val="NormalTok"/>
        </w:rPr>
        <w:t xml:space="preserve"> {</w:t>
      </w:r>
      <w:r>
        <w:br/>
      </w:r>
      <w:r>
        <w:rPr>
          <w:rStyle w:val="NormalTok"/>
        </w:rPr>
        <w:t xml:space="preserve">    </w:t>
      </w:r>
      <w:r>
        <w:rPr>
          <w:rStyle w:val="StringTok"/>
        </w:rPr>
        <w:t xml:space="preserve">"sub_query_id"</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"text"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"depends_on"</w:t>
      </w:r>
      <w:r>
        <w:rPr>
          <w:rStyle w:val="NormalTok"/>
        </w:rPr>
        <w:t xml:space="preserve">: List[</w:t>
      </w:r>
      <w:r>
        <w:rPr>
          <w:rStyle w:val="BuiltInTok"/>
        </w:rPr>
        <w:t xml:space="preserve">str</w:t>
      </w:r>
      <w:r>
        <w:rPr>
          <w:rStyle w:val="NormalTok"/>
        </w:rPr>
        <w:t xml:space="preserve">],       </w:t>
      </w:r>
      <w:r>
        <w:rPr>
          <w:rStyle w:val="CommentTok"/>
        </w:rPr>
        <w:t xml:space="preserve"># other sub_query_ids this one's answer depends on</w:t>
      </w:r>
      <w:r>
        <w:br/>
      </w:r>
      <w:r>
        <w:rPr>
          <w:rStyle w:val="NormalTok"/>
        </w:rPr>
        <w:t xml:space="preserve">    </w:t>
      </w:r>
      <w:r>
        <w:rPr>
          <w:rStyle w:val="StringTok"/>
        </w:rPr>
        <w:t xml:space="preserve">"suggested_engine_weights"</w:t>
      </w:r>
      <w:r>
        <w:rPr>
          <w:rStyle w:val="NormalTok"/>
        </w:rPr>
        <w:t xml:space="preserve">: Optional[Dict[</w:t>
      </w:r>
      <w:r>
        <w:rPr>
          <w:rStyle w:val="BuiltInTok"/>
        </w:rPr>
        <w:t xml:space="preserve">str</w:t>
      </w:r>
      <w:r>
        <w:rPr>
          <w:rStyle w:val="NormalTok"/>
        </w:rPr>
        <w:t xml:space="preserve">, </w:t>
      </w:r>
      <w:r>
        <w:rPr>
          <w:rStyle w:val="BuiltInTok"/>
        </w:rPr>
        <w:t xml:space="preserve">float</w:t>
      </w:r>
      <w:r>
        <w:rPr>
          <w:rStyle w:val="NormalTok"/>
        </w:rPr>
        <w:t xml:space="preserve">]],  </w:t>
      </w:r>
      <w:r>
        <w:rPr>
          <w:rStyle w:val="CommentTok"/>
        </w:rPr>
        <w:t xml:space="preserve"># hint for Sec. 13's bandit router</w:t>
      </w:r>
      <w:r>
        <w:br/>
      </w:r>
      <w:r>
        <w:rPr>
          <w:rStyle w:val="NormalTok"/>
        </w:rPr>
        <w:t xml:space="preserve">}</w:t>
      </w:r>
      <w:r>
        <w:br/>
      </w:r>
      <w:r>
        <w:rPr>
          <w:rStyle w:val="NormalTok"/>
        </w:rPr>
        <w:t xml:space="preserve">QueryDAG </w:t>
      </w:r>
      <w:r>
        <w:rPr>
          <w:rStyle w:val="OperatorTok"/>
        </w:rPr>
        <w:t xml:space="preserve">=</w:t>
      </w:r>
      <w:r>
        <w:rPr>
          <w:rStyle w:val="NormalTok"/>
        </w:rPr>
        <w:t xml:space="preserve"> {</w:t>
      </w:r>
      <w:r>
        <w:br/>
      </w:r>
      <w:r>
        <w:rPr>
          <w:rStyle w:val="NormalTok"/>
        </w:rPr>
        <w:t xml:space="preserve">    </w:t>
      </w:r>
      <w:r>
        <w:rPr>
          <w:rStyle w:val="StringTok"/>
        </w:rPr>
        <w:t xml:space="preserve">"original_query"</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"sub_queries"</w:t>
      </w:r>
      <w:r>
        <w:rPr>
          <w:rStyle w:val="NormalTok"/>
        </w:rPr>
        <w:t xml:space="preserve">: List[SubQuery],</w:t>
      </w:r>
      <w:r>
        <w:br/>
      </w:r>
      <w:r>
        <w:rPr>
          <w:rStyle w:val="NormalTok"/>
        </w:rPr>
        <w:t xml:space="preserve">    </w:t>
      </w:r>
      <w:r>
        <w:rPr>
          <w:rStyle w:val="StringTok"/>
        </w:rPr>
        <w:t xml:space="preserve">"combination_step"</w:t>
      </w:r>
      <w:r>
        <w:rPr>
          <w:rStyle w:val="NormalTok"/>
        </w:rPr>
        <w:t xml:space="preserve">: </w:t>
      </w:r>
      <w:r>
        <w:rPr>
          <w:rStyle w:val="BuiltInTok"/>
        </w:rPr>
        <w:t xml:space="preserve">str</w:t>
      </w:r>
      <w:r>
        <w:rPr>
          <w:rStyle w:val="NormalTok"/>
        </w:rPr>
        <w:t xml:space="preserve">,   </w:t>
      </w:r>
      <w:r>
        <w:rPr>
          <w:rStyle w:val="CommentTok"/>
        </w:rPr>
        <w:t xml:space="preserve"># e.g. "compare" | "aggregate" | "filter_by_diff"</w:t>
      </w:r>
      <w:r>
        <w:br/>
      </w:r>
      <w:r>
        <w:rPr>
          <w:rStyle w:val="NormalTok"/>
        </w:rPr>
        <w:t xml:space="preserve">}</w:t>
      </w:r>
    </w:p>
    <w:bookmarkEnd w:id="63"/>
    <w:bookmarkStart w:id="64" w:name="module-and-functions-5"/>
    <w:p>
      <w:pPr>
        <w:pStyle w:val="Heading3"/>
      </w:pPr>
      <w:r>
        <w:t xml:space="preserve">7.4 Module and Functions</w:t>
      </w:r>
    </w:p>
    <w:p>
      <w:pPr>
        <w:pStyle w:val="SourceCode"/>
      </w:pPr>
      <w:r>
        <w:rPr>
          <w:rStyle w:val="CommentTok"/>
        </w:rPr>
        <w:t xml:space="preserve"># query/decomposer.py</w:t>
      </w:r>
      <w:r>
        <w:br/>
      </w:r>
      <w:r>
        <w:br/>
      </w:r>
      <w:r>
        <w:rPr>
          <w:rStyle w:val="KeywordTok"/>
        </w:rPr>
        <w:t xml:space="preserve">def</w:t>
      </w:r>
      <w:r>
        <w:rPr>
          <w:rStyle w:val="NormalTok"/>
        </w:rPr>
        <w:t xml:space="preserve"> parse_query_structure(query: </w:t>
      </w:r>
      <w:r>
        <w:rPr>
          <w:rStyle w:val="BuiltInTok"/>
        </w:rPr>
        <w:t xml:space="preserve">str</w:t>
      </w:r>
      <w:r>
        <w:rPr>
          <w:rStyle w:val="NormalTok"/>
        </w:rPr>
        <w:t xml:space="preserve">, nlp: spacy.Language) </w:t>
      </w:r>
      <w:r>
        <w:rPr>
          <w:rStyle w:val="OperatorTok"/>
        </w:rPr>
        <w:t xml:space="preserve">-&gt;</w:t>
      </w:r>
      <w:r>
        <w:rPr>
          <w:rStyle w:val="NormalTok"/>
        </w:rPr>
        <w:t xml:space="preserve"> DependencyParse:</w:t>
      </w:r>
      <w:r>
        <w:br/>
      </w:r>
      <w:r>
        <w:rPr>
          <w:rStyle w:val="NormalTok"/>
        </w:rPr>
        <w:t xml:space="preserve">    ...</w:t>
      </w:r>
      <w:r>
        <w:br/>
      </w:r>
      <w:r>
        <w:br/>
      </w:r>
      <w:r>
        <w:rPr>
          <w:rStyle w:val="KeywordTok"/>
        </w:rPr>
        <w:t xml:space="preserve">def</w:t>
      </w:r>
      <w:r>
        <w:rPr>
          <w:rStyle w:val="NormalTok"/>
        </w:rPr>
        <w:t xml:space="preserve"> match_decomposition_patterns(</w:t>
      </w:r>
      <w:r>
        <w:br/>
      </w:r>
      <w:r>
        <w:rPr>
          <w:rStyle w:val="NormalTok"/>
        </w:rPr>
        <w:t xml:space="preserve">    parse: DependencyParse,</w:t>
      </w:r>
      <w:r>
        <w:br/>
      </w:r>
      <w:r>
        <w:rPr>
          <w:rStyle w:val="NormalTok"/>
        </w:rPr>
        <w:t xml:space="preserve">    patterns: PatternRegistry </w:t>
      </w:r>
      <w:r>
        <w:rPr>
          <w:rStyle w:val="OperatorTok"/>
        </w:rPr>
        <w:t xml:space="preserve">=</w:t>
      </w:r>
      <w:r>
        <w:rPr>
          <w:rStyle w:val="NormalTok"/>
        </w:rPr>
        <w:t xml:space="preserve"> default_patterns,</w:t>
      </w:r>
      <w:r>
        <w:br/>
      </w:r>
      <w:r>
        <w:rPr>
          <w:rStyle w:val="NormalTok"/>
        </w:rPr>
        <w:t xml:space="preserve">) </w:t>
      </w:r>
      <w:r>
        <w:rPr>
          <w:rStyle w:val="OperatorTok"/>
        </w:rPr>
        <w:t xml:space="preserve">-&gt;</w:t>
      </w:r>
      <w:r>
        <w:rPr>
          <w:rStyle w:val="NormalTok"/>
        </w:rPr>
        <w:t xml:space="preserve"> Optional[DecompositionMatch]:</w:t>
      </w:r>
      <w:r>
        <w:br/>
      </w:r>
      <w:r>
        <w:rPr>
          <w:rStyle w:val="NormalTok"/>
        </w:rPr>
        <w:t xml:space="preserve">    </w:t>
      </w:r>
      <w:r>
        <w:rPr>
          <w:rStyle w:val="CommentTok"/>
        </w:rPr>
        <w:t xml:space="preserve">"""Checks the parsed query against known decomposable shapes (comparative,</w:t>
      </w:r>
      <w:r>
        <w:br/>
      </w:r>
      <w:r>
        <w:rPr>
          <w:rStyle w:val="CommentTok"/>
        </w:rPr>
        <w:t xml:space="preserve">    temporal/diff-scoped, multi-entity conjunctive) and returns the matched</w:t>
      </w:r>
      <w:r>
        <w:br/>
      </w:r>
      <w:r>
        <w:rPr>
          <w:rStyle w:val="CommentTok"/>
        </w:rPr>
        <w:t xml:space="preserve">    pattern, or None if the query should pass through as a single node."""</w:t>
      </w:r>
      <w:r>
        <w:br/>
      </w:r>
      <w:r>
        <w:rPr>
          <w:rStyle w:val="NormalTok"/>
        </w:rPr>
        <w:t xml:space="preserve">    ...</w:t>
      </w:r>
      <w:r>
        <w:br/>
      </w:r>
      <w:r>
        <w:br/>
      </w:r>
      <w:r>
        <w:rPr>
          <w:rStyle w:val="KeywordTok"/>
        </w:rPr>
        <w:t xml:space="preserve">def</w:t>
      </w:r>
      <w:r>
        <w:rPr>
          <w:rStyle w:val="NormalTok"/>
        </w:rPr>
        <w:t xml:space="preserve"> build_query_dag(query: </w:t>
      </w:r>
      <w:r>
        <w:rPr>
          <w:rStyle w:val="BuiltInTok"/>
        </w:rPr>
        <w:t xml:space="preserve">str</w:t>
      </w:r>
      <w:r>
        <w:rPr>
          <w:rStyle w:val="NormalTok"/>
        </w:rPr>
        <w:t xml:space="preserve">, nlp: spacy.Language </w:t>
      </w:r>
      <w:r>
        <w:rPr>
          <w:rStyle w:val="OperatorTok"/>
        </w:rPr>
        <w:t xml:space="preserve">=</w:t>
      </w:r>
      <w:r>
        <w:rPr>
          <w:rStyle w:val="NormalTok"/>
        </w:rPr>
        <w:t xml:space="preserve"> default_nlp) </w:t>
      </w:r>
      <w:r>
        <w:rPr>
          <w:rStyle w:val="OperatorTok"/>
        </w:rPr>
        <w:t xml:space="preserve">-&gt;</w:t>
      </w:r>
      <w:r>
        <w:rPr>
          <w:rStyle w:val="NormalTok"/>
        </w:rPr>
        <w:t xml:space="preserve"> QueryDAG:</w:t>
      </w:r>
      <w:r>
        <w:br/>
      </w:r>
      <w:r>
        <w:rPr>
          <w:rStyle w:val="NormalTok"/>
        </w:rPr>
        <w:t xml:space="preserve">    </w:t>
      </w:r>
      <w:r>
        <w:rPr>
          <w:rStyle w:val="CommentTok"/>
        </w:rPr>
        <w:t xml:space="preserve">"""Top-level entry point: parses, matches patterns, and constructs the DAG</w:t>
      </w:r>
      <w:r>
        <w:br/>
      </w:r>
      <w:r>
        <w:rPr>
          <w:rStyle w:val="CommentTok"/>
        </w:rPr>
        <w:t xml:space="preserve">    (a single-node DAG if no pattern matches)."""</w:t>
      </w:r>
      <w:r>
        <w:br/>
      </w:r>
      <w:r>
        <w:rPr>
          <w:rStyle w:val="NormalTok"/>
        </w:rPr>
        <w:t xml:space="preserve">    ...</w:t>
      </w:r>
      <w:r>
        <w:br/>
      </w:r>
      <w:r>
        <w:br/>
      </w:r>
      <w:r>
        <w:rPr>
          <w:rStyle w:val="CommentTok"/>
        </w:rPr>
        <w:t xml:space="preserve"># query/subquery_dag.py</w:t>
      </w:r>
      <w:r>
        <w:br/>
      </w:r>
      <w:r>
        <w:br/>
      </w:r>
      <w:r>
        <w:rPr>
          <w:rStyle w:val="KeywordTok"/>
        </w:rPr>
        <w:t xml:space="preserve">def</w:t>
      </w:r>
      <w:r>
        <w:rPr>
          <w:rStyle w:val="NormalTok"/>
        </w:rPr>
        <w:t xml:space="preserve"> execute_query_dag(dag: QueryDAG, retrieval_fn: Callable) </w:t>
      </w:r>
      <w:r>
        <w:rPr>
          <w:rStyle w:val="OperatorTok"/>
        </w:rPr>
        <w:t xml:space="preserve">-&gt;</w:t>
      </w:r>
      <w:r>
        <w:rPr>
          <w:rStyle w:val="NormalTok"/>
        </w:rPr>
        <w:t xml:space="preserve"> CombinedResult:</w:t>
      </w:r>
      <w:r>
        <w:br/>
      </w:r>
      <w:r>
        <w:rPr>
          <w:rStyle w:val="NormalTok"/>
        </w:rPr>
        <w:t xml:space="preserve">    </w:t>
      </w:r>
      <w:r>
        <w:rPr>
          <w:rStyle w:val="CommentTok"/>
        </w:rPr>
        <w:t xml:space="preserve">"""Executes each sub-query (respecting the depends_on ordering) against</w:t>
      </w:r>
      <w:r>
        <w:br/>
      </w:r>
      <w:r>
        <w:rPr>
          <w:rStyle w:val="CommentTok"/>
        </w:rPr>
        <w:t xml:space="preserve">    Section 15's retrieval pipeline, then applies the combination_step."""</w:t>
      </w:r>
      <w:r>
        <w:br/>
      </w:r>
      <w:r>
        <w:rPr>
          <w:rStyle w:val="NormalTok"/>
        </w:rPr>
        <w:t xml:space="preserve">    ...</w:t>
      </w:r>
    </w:p>
    <w:bookmarkEnd w:id="64"/>
    <w:bookmarkStart w:id="65" w:name="integration-point-5"/>
    <w:p>
      <w:pPr>
        <w:pStyle w:val="Heading3"/>
      </w:pPr>
      <w:r>
        <w:t xml:space="preserve">7.5 Integration Point</w:t>
      </w:r>
    </w:p>
    <w:p>
      <w:pPr>
        <w:pStyle w:val="FirstParagraph"/>
      </w:pPr>
      <w:r>
        <w:t xml:space="preserve">Sits immediately upstream of monograph Section 15.2’s existing query-processing pipeline (semantic cache lookup, HyDE, step-back, paraphrasing) — each</w:t>
      </w:r>
      <w:r>
        <w:t xml:space="preserve"> </w:t>
      </w:r>
      <w:r>
        <w:rPr>
          <w:rStyle w:val="VerbatimChar"/>
        </w:rPr>
        <w:t xml:space="preserve">SubQuery</w:t>
      </w:r>
      <w:r>
        <w:t xml:space="preserve"> </w:t>
      </w:r>
      <w:r>
        <w:t xml:space="preserve">in a resulting</w:t>
      </w:r>
      <w:r>
        <w:t xml:space="preserve"> </w:t>
      </w:r>
      <w:r>
        <w:rPr>
          <w:rStyle w:val="VerbatimChar"/>
        </w:rPr>
        <w:t xml:space="preserve">QueryDAG</w:t>
      </w:r>
      <w:r>
        <w:t xml:space="preserve"> </w:t>
      </w:r>
      <w:r>
        <w:t xml:space="preserve">is passed through that existing pipeline independently, meaning this component adds a structural layer above Section 15.2 rather than replacing any of its existing transformations. A</w:t>
      </w:r>
      <w:r>
        <w:t xml:space="preserve"> </w:t>
      </w:r>
      <w:r>
        <w:rPr>
          <w:rStyle w:val="VerbatimChar"/>
        </w:rPr>
        <w:t xml:space="preserve">SubQuery</w:t>
      </w:r>
      <w:r>
        <w:t xml:space="preserve">’s</w:t>
      </w:r>
      <w:r>
        <w:t xml:space="preserve"> </w:t>
      </w:r>
      <w:r>
        <w:rPr>
          <w:rStyle w:val="VerbatimChar"/>
        </w:rPr>
        <w:t xml:space="preserve">suggested_engine_weights</w:t>
      </w:r>
      <w:r>
        <w:t xml:space="preserve"> </w:t>
      </w:r>
      <w:r>
        <w:t xml:space="preserve">hint feeds Section 13’s bandit router as an informative prior (e.g., a diff-scoped sub-query should weight Section 4’s version-diff signal highly), without removing the bandit’s own learned adjustment.</w:t>
      </w:r>
    </w:p>
    <w:bookmarkEnd w:id="65"/>
    <w:bookmarkStart w:id="66" w:name="test-plan-4"/>
    <w:p>
      <w:pPr>
        <w:pStyle w:val="Heading3"/>
      </w:pPr>
      <w:r>
        <w:t xml:space="preserve">7.6 Test Plan</w:t>
      </w:r>
    </w:p>
    <w:p>
      <w:pPr>
        <w:pStyle w:val="FirstParagraph"/>
      </w:pPr>
      <w:r>
        <w:t xml:space="preserve">TC-P-19 through TC-P-21, detailed in Section 9.6.</w:t>
      </w:r>
    </w:p>
    <w:bookmarkEnd w:id="66"/>
    <w:bookmarkEnd w:id="67"/>
    <w:bookmarkStart w:id="69" w:name="master-technology-stack-table"/>
    <w:p>
      <w:pPr>
        <w:pStyle w:val="Heading2"/>
      </w:pPr>
      <w:r>
        <w:t xml:space="preserve">8. Master Technology Stack Table</w:t>
      </w:r>
    </w:p>
    <w:p>
      <w:pPr>
        <w:pStyle w:val="FirstParagraph"/>
      </w:pPr>
      <w:r>
        <w:t xml:space="preserve">Table 8.1 consolidates every new dependency introduced across Sections 2-7, its role, its maturity/type, and whether it is genuinely new to AEGIS’s stack or reuses a dependency already introduced elsewhere in this body of work.</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Library</w:t>
            </w:r>
          </w:p>
        </w:tc>
        <w:tc>
          <w:tcPr/>
          <w:p>
            <w:pPr>
              <w:pStyle w:val="Compact"/>
              <w:jc w:val="left"/>
            </w:pPr>
            <w:r>
              <w:t xml:space="preserve">Component(s)</w:t>
            </w:r>
          </w:p>
        </w:tc>
        <w:tc>
          <w:tcPr/>
          <w:p>
            <w:pPr>
              <w:pStyle w:val="Compact"/>
              <w:jc w:val="left"/>
            </w:pPr>
            <w:r>
              <w:t xml:space="preserve">Role</w:t>
            </w:r>
          </w:p>
        </w:tc>
        <w:tc>
          <w:tcPr/>
          <w:p>
            <w:pPr>
              <w:pStyle w:val="Compact"/>
              <w:jc w:val="left"/>
            </w:pPr>
            <w:r>
              <w:t xml:space="preserve">Type</w:t>
            </w:r>
          </w:p>
        </w:tc>
        <w:tc>
          <w:tcPr/>
          <w:p>
            <w:pPr>
              <w:pStyle w:val="Compact"/>
              <w:jc w:val="left"/>
            </w:pPr>
            <w:r>
              <w:t xml:space="preserve">New or reused?</w:t>
            </w:r>
          </w:p>
        </w:tc>
      </w:tr>
      <w:tr>
        <w:tc>
          <w:tcPr/>
          <w:p>
            <w:pPr>
              <w:pStyle w:val="Compact"/>
              <w:jc w:val="left"/>
            </w:pPr>
            <w:r>
              <w:t xml:space="preserve">Microsoft Presidio (</w:t>
            </w:r>
            <w:r>
              <w:rPr>
                <w:rStyle w:val="VerbatimChar"/>
              </w:rPr>
              <w:t xml:space="preserve">presidio-analyzer</w:t>
            </w:r>
            <w:r>
              <w:t xml:space="preserve">,</w:t>
            </w:r>
            <w:r>
              <w:t xml:space="preserve"> </w:t>
            </w:r>
            <w:r>
              <w:rPr>
                <w:rStyle w:val="VerbatimChar"/>
              </w:rPr>
              <w:t xml:space="preserve">presidio-anonymizer</w:t>
            </w:r>
            <w:r>
              <w:t xml:space="preserve">)</w:t>
            </w:r>
          </w:p>
        </w:tc>
        <w:tc>
          <w:tcPr/>
          <w:p>
            <w:pPr>
              <w:pStyle w:val="Compact"/>
              <w:jc w:val="left"/>
            </w:pPr>
            <w:r>
              <w:t xml:space="preserve">Sec. 2 (PII)</w:t>
            </w:r>
          </w:p>
        </w:tc>
        <w:tc>
          <w:tcPr/>
          <w:p>
            <w:pPr>
              <w:pStyle w:val="Compact"/>
              <w:jc w:val="left"/>
            </w:pPr>
            <w:r>
              <w:t xml:space="preserve">PII detection and redaction</w:t>
            </w:r>
          </w:p>
        </w:tc>
        <w:tc>
          <w:tcPr/>
          <w:p>
            <w:pPr>
              <w:pStyle w:val="Compact"/>
              <w:jc w:val="left"/>
            </w:pPr>
            <w:r>
              <w:t xml:space="preserve">Training-free (regex) + spaCy NER</w:t>
            </w:r>
          </w:p>
        </w:tc>
        <w:tc>
          <w:tcPr/>
          <w:p>
            <w:pPr>
              <w:pStyle w:val="Compact"/>
              <w:jc w:val="left"/>
            </w:pPr>
            <w:r>
              <w:t xml:space="preserve">New</w:t>
            </w:r>
          </w:p>
        </w:tc>
      </w:tr>
      <w:tr>
        <w:tc>
          <w:tcPr/>
          <w:p>
            <w:pPr>
              <w:pStyle w:val="Compact"/>
              <w:jc w:val="left"/>
            </w:pPr>
            <w:r>
              <w:t xml:space="preserve">spaCy</w:t>
            </w:r>
          </w:p>
        </w:tc>
        <w:tc>
          <w:tcPr/>
          <w:p>
            <w:pPr>
              <w:pStyle w:val="Compact"/>
              <w:jc w:val="left"/>
            </w:pPr>
            <w:r>
              <w:t xml:space="preserve">Sec. 2, 3, 7</w:t>
            </w:r>
          </w:p>
        </w:tc>
        <w:tc>
          <w:tcPr/>
          <w:p>
            <w:pPr>
              <w:pStyle w:val="Compact"/>
              <w:jc w:val="left"/>
            </w:pPr>
            <w:r>
              <w:t xml:space="preserve">NER, dependency parsing</w:t>
            </w:r>
          </w:p>
        </w:tc>
        <w:tc>
          <w:tcPr/>
          <w:p>
            <w:pPr>
              <w:pStyle w:val="Compact"/>
              <w:jc w:val="left"/>
            </w:pPr>
            <w:r>
              <w:t xml:space="preserve">Pre-trained NLP pipeline</w:t>
            </w:r>
          </w:p>
        </w:tc>
        <w:tc>
          <w:tcPr/>
          <w:p>
            <w:pPr>
              <w:pStyle w:val="Compact"/>
              <w:jc w:val="left"/>
            </w:pPr>
            <w:r>
              <w:t xml:space="preserve">Reused (Semantic Engine, Sec. 5.4)</w:t>
            </w:r>
          </w:p>
        </w:tc>
      </w:tr>
      <w:tr>
        <w:tc>
          <w:tcPr/>
          <w:p>
            <w:pPr>
              <w:pStyle w:val="Compact"/>
              <w:jc w:val="left"/>
            </w:pPr>
            <w:r>
              <w:t xml:space="preserve">Splink</w:t>
            </w:r>
          </w:p>
        </w:tc>
        <w:tc>
          <w:tcPr/>
          <w:p>
            <w:pPr>
              <w:pStyle w:val="Compact"/>
              <w:jc w:val="left"/>
            </w:pPr>
            <w:r>
              <w:t xml:space="preserve">Sec. 3 (entity resolution)</w:t>
            </w:r>
          </w:p>
        </w:tc>
        <w:tc>
          <w:tcPr/>
          <w:p>
            <w:pPr>
              <w:pStyle w:val="Compact"/>
              <w:jc w:val="left"/>
            </w:pPr>
            <w:r>
              <w:t xml:space="preserve">Probabilistic record linkage</w:t>
            </w:r>
          </w:p>
        </w:tc>
        <w:tc>
          <w:tcPr/>
          <w:p>
            <w:pPr>
              <w:pStyle w:val="Compact"/>
              <w:jc w:val="left"/>
            </w:pPr>
            <w:r>
              <w:t xml:space="preserve">Statistical, lightly-trained</w:t>
            </w:r>
          </w:p>
        </w:tc>
        <w:tc>
          <w:tcPr/>
          <w:p>
            <w:pPr>
              <w:pStyle w:val="Compact"/>
              <w:jc w:val="left"/>
            </w:pPr>
            <w:r>
              <w:t xml:space="preserve">New</w:t>
            </w:r>
          </w:p>
        </w:tc>
      </w:tr>
      <w:tr>
        <w:tc>
          <w:tcPr/>
          <w:p>
            <w:pPr>
              <w:pStyle w:val="Compact"/>
              <w:jc w:val="left"/>
            </w:pPr>
            <w:r>
              <w:t xml:space="preserve">sentence-transformers</w:t>
            </w:r>
          </w:p>
        </w:tc>
        <w:tc>
          <w:tcPr/>
          <w:p>
            <w:pPr>
              <w:pStyle w:val="Compact"/>
              <w:jc w:val="left"/>
            </w:pPr>
            <w:r>
              <w:t xml:space="preserve">Sec. 3</w:t>
            </w:r>
          </w:p>
        </w:tc>
        <w:tc>
          <w:tcPr/>
          <w:p>
            <w:pPr>
              <w:pStyle w:val="Compact"/>
              <w:jc w:val="left"/>
            </w:pPr>
            <w:r>
              <w:t xml:space="preserve">Embedding similarity signal for entity matching</w:t>
            </w:r>
          </w:p>
        </w:tc>
        <w:tc>
          <w:tcPr/>
          <w:p>
            <w:pPr>
              <w:pStyle w:val="Compact"/>
              <w:jc w:val="left"/>
            </w:pPr>
            <w:r>
              <w:t xml:space="preserve">Pre-trained embedding model</w:t>
            </w:r>
          </w:p>
        </w:tc>
        <w:tc>
          <w:tcPr/>
          <w:p>
            <w:pPr>
              <w:pStyle w:val="Compact"/>
              <w:jc w:val="left"/>
            </w:pPr>
            <w:r>
              <w:t xml:space="preserve">Reused (Semantic Engine)</w:t>
            </w:r>
          </w:p>
        </w:tc>
      </w:tr>
      <w:tr>
        <w:tc>
          <w:tcPr/>
          <w:p>
            <w:pPr>
              <w:pStyle w:val="Compact"/>
              <w:jc w:val="left"/>
            </w:pPr>
            <w:r>
              <w:t xml:space="preserve">NetworkX</w:t>
            </w:r>
          </w:p>
        </w:tc>
        <w:tc>
          <w:tcPr/>
          <w:p>
            <w:pPr>
              <w:pStyle w:val="Compact"/>
              <w:jc w:val="left"/>
            </w:pPr>
            <w:r>
              <w:t xml:space="preserve">Sec. 3</w:t>
            </w:r>
          </w:p>
        </w:tc>
        <w:tc>
          <w:tcPr/>
          <w:p>
            <w:pPr>
              <w:pStyle w:val="Compact"/>
              <w:jc w:val="left"/>
            </w:pPr>
            <w:r>
              <w:t xml:space="preserve">Entity-cluster connected-components</w:t>
            </w:r>
          </w:p>
        </w:tc>
        <w:tc>
          <w:tcPr/>
          <w:p>
            <w:pPr>
              <w:pStyle w:val="Compact"/>
              <w:jc w:val="left"/>
            </w:pPr>
            <w:r>
              <w:t xml:space="preserve">Training-free</w:t>
            </w:r>
          </w:p>
        </w:tc>
        <w:tc>
          <w:tcPr/>
          <w:p>
            <w:pPr>
              <w:pStyle w:val="Compact"/>
              <w:jc w:val="left"/>
            </w:pPr>
            <w:r>
              <w:t xml:space="preserve">Reused (Section 6 graph construction likely already depends on it, or a comparable graph library)</w:t>
            </w:r>
          </w:p>
        </w:tc>
      </w:tr>
      <w:tr>
        <w:tc>
          <w:tcPr/>
          <w:p>
            <w:pPr>
              <w:pStyle w:val="Compact"/>
              <w:jc w:val="left"/>
            </w:pPr>
            <w:r>
              <w:t xml:space="preserve">APTED</w:t>
            </w:r>
          </w:p>
        </w:tc>
        <w:tc>
          <w:tcPr/>
          <w:p>
            <w:pPr>
              <w:pStyle w:val="Compact"/>
              <w:jc w:val="left"/>
            </w:pPr>
            <w:r>
              <w:t xml:space="preserve">Sec. 4 (versioning)</w:t>
            </w:r>
          </w:p>
        </w:tc>
        <w:tc>
          <w:tcPr/>
          <w:p>
            <w:pPr>
              <w:pStyle w:val="Compact"/>
              <w:jc w:val="left"/>
            </w:pPr>
            <w:r>
              <w:t xml:space="preserve">Tree-edit-distance structural diff</w:t>
            </w:r>
          </w:p>
        </w:tc>
        <w:tc>
          <w:tcPr/>
          <w:p>
            <w:pPr>
              <w:pStyle w:val="Compact"/>
              <w:jc w:val="left"/>
            </w:pPr>
            <w:r>
              <w:t xml:space="preserve">Training-free algorithm</w:t>
            </w:r>
          </w:p>
        </w:tc>
        <w:tc>
          <w:tcPr/>
          <w:p>
            <w:pPr>
              <w:pStyle w:val="Compact"/>
              <w:jc w:val="left"/>
            </w:pPr>
            <w:r>
              <w:t xml:space="preserve">New</w:t>
            </w:r>
          </w:p>
        </w:tc>
      </w:tr>
      <w:tr>
        <w:tc>
          <w:tcPr/>
          <w:p>
            <w:pPr>
              <w:pStyle w:val="Compact"/>
              <w:jc w:val="left"/>
            </w:pPr>
            <w:r>
              <w:t xml:space="preserve">diff-match-patch</w:t>
            </w:r>
          </w:p>
        </w:tc>
        <w:tc>
          <w:tcPr/>
          <w:p>
            <w:pPr>
              <w:pStyle w:val="Compact"/>
              <w:jc w:val="left"/>
            </w:pPr>
            <w:r>
              <w:t xml:space="preserve">Sec. 4</w:t>
            </w:r>
          </w:p>
        </w:tc>
        <w:tc>
          <w:tcPr/>
          <w:p>
            <w:pPr>
              <w:pStyle w:val="Compact"/>
              <w:jc w:val="left"/>
            </w:pPr>
            <w:r>
              <w:t xml:space="preserve">Text-level diff within matched nodes</w:t>
            </w:r>
          </w:p>
        </w:tc>
        <w:tc>
          <w:tcPr/>
          <w:p>
            <w:pPr>
              <w:pStyle w:val="Compact"/>
              <w:jc w:val="left"/>
            </w:pPr>
            <w:r>
              <w:t xml:space="preserve">Training-free algorithm</w:t>
            </w:r>
          </w:p>
        </w:tc>
        <w:tc>
          <w:tcPr/>
          <w:p>
            <w:pPr>
              <w:pStyle w:val="Compact"/>
              <w:jc w:val="left"/>
            </w:pPr>
            <w:r>
              <w:t xml:space="preserve">New</w:t>
            </w:r>
          </w:p>
        </w:tc>
      </w:tr>
      <w:tr>
        <w:tc>
          <w:tcPr/>
          <w:p>
            <w:pPr>
              <w:pStyle w:val="Compact"/>
              <w:jc w:val="left"/>
            </w:pPr>
            <w:r>
              <w:t xml:space="preserve">scikit-learn (</w:t>
            </w:r>
            <w:r>
              <w:rPr>
                <w:rStyle w:val="VerbatimChar"/>
              </w:rPr>
              <w:t xml:space="preserve">IsolationForest</w:t>
            </w:r>
            <w:r>
              <w:t xml:space="preserve">)</w:t>
            </w:r>
          </w:p>
        </w:tc>
        <w:tc>
          <w:tcPr/>
          <w:p>
            <w:pPr>
              <w:pStyle w:val="Compact"/>
              <w:jc w:val="left"/>
            </w:pPr>
            <w:r>
              <w:t xml:space="preserve">Sec. 5 (anomaly gate)</w:t>
            </w:r>
          </w:p>
        </w:tc>
        <w:tc>
          <w:tcPr/>
          <w:p>
            <w:pPr>
              <w:pStyle w:val="Compact"/>
              <w:jc w:val="left"/>
            </w:pPr>
            <w:r>
              <w:t xml:space="preserve">Statistical outlier detection</w:t>
            </w:r>
          </w:p>
        </w:tc>
        <w:tc>
          <w:tcPr/>
          <w:p>
            <w:pPr>
              <w:pStyle w:val="Compact"/>
              <w:jc w:val="left"/>
            </w:pPr>
            <w:r>
              <w:t xml:space="preserve">Unsupervised, lightly-trained</w:t>
            </w:r>
          </w:p>
        </w:tc>
        <w:tc>
          <w:tcPr/>
          <w:p>
            <w:pPr>
              <w:pStyle w:val="Compact"/>
              <w:jc w:val="left"/>
            </w:pPr>
            <w:r>
              <w:t xml:space="preserve">New (or reused if already a general dependency)</w:t>
            </w:r>
          </w:p>
        </w:tc>
      </w:tr>
      <w:tr>
        <w:tc>
          <w:tcPr/>
          <w:p>
            <w:pPr>
              <w:pStyle w:val="Compact"/>
              <w:jc w:val="left"/>
            </w:pPr>
            <w:r>
              <w:t xml:space="preserve">Rebuff-style pattern detection</w:t>
            </w:r>
          </w:p>
        </w:tc>
        <w:tc>
          <w:tcPr/>
          <w:p>
            <w:pPr>
              <w:pStyle w:val="Compact"/>
              <w:jc w:val="left"/>
            </w:pPr>
            <w:r>
              <w:t xml:space="preserve">Sec. 5</w:t>
            </w:r>
          </w:p>
        </w:tc>
        <w:tc>
          <w:tcPr/>
          <w:p>
            <w:pPr>
              <w:pStyle w:val="Compact"/>
              <w:jc w:val="left"/>
            </w:pPr>
            <w:r>
              <w:t xml:space="preserve">Prompt-injection detection</w:t>
            </w:r>
          </w:p>
        </w:tc>
        <w:tc>
          <w:tcPr/>
          <w:p>
            <w:pPr>
              <w:pStyle w:val="Compact"/>
              <w:jc w:val="left"/>
            </w:pPr>
            <w:r>
              <w:t xml:space="preserve">Training-free (pattern-based)</w:t>
            </w:r>
          </w:p>
        </w:tc>
        <w:tc>
          <w:tcPr/>
          <w:p>
            <w:pPr>
              <w:pStyle w:val="Compact"/>
              <w:jc w:val="left"/>
            </w:pPr>
            <w:r>
              <w:t xml:space="preserve">New</w:t>
            </w:r>
          </w:p>
        </w:tc>
      </w:tr>
      <w:tr>
        <w:tc>
          <w:tcPr/>
          <w:p>
            <w:pPr>
              <w:pStyle w:val="Compact"/>
              <w:jc w:val="left"/>
            </w:pPr>
            <w:r>
              <w:t xml:space="preserve">Pint</w:t>
            </w:r>
          </w:p>
        </w:tc>
        <w:tc>
          <w:tcPr/>
          <w:p>
            <w:pPr>
              <w:pStyle w:val="Compact"/>
              <w:jc w:val="left"/>
            </w:pPr>
            <w:r>
              <w:t xml:space="preserve">Sec. 6 (unit normalization)</w:t>
            </w:r>
          </w:p>
        </w:tc>
        <w:tc>
          <w:tcPr/>
          <w:p>
            <w:pPr>
              <w:pStyle w:val="Compact"/>
              <w:jc w:val="left"/>
            </w:pPr>
            <w:r>
              <w:t xml:space="preserve">Unit-of-measure conversion</w:t>
            </w:r>
          </w:p>
        </w:tc>
        <w:tc>
          <w:tcPr/>
          <w:p>
            <w:pPr>
              <w:pStyle w:val="Compact"/>
              <w:jc w:val="left"/>
            </w:pPr>
            <w:r>
              <w:t xml:space="preserve">Training-free</w:t>
            </w:r>
          </w:p>
        </w:tc>
        <w:tc>
          <w:tcPr/>
          <w:p>
            <w:pPr>
              <w:pStyle w:val="Compact"/>
              <w:jc w:val="left"/>
            </w:pPr>
            <w:r>
              <w:t xml:space="preserve">New</w:t>
            </w:r>
          </w:p>
        </w:tc>
      </w:tr>
      <w:tr>
        <w:tc>
          <w:tcPr/>
          <w:p>
            <w:pPr>
              <w:pStyle w:val="Compact"/>
              <w:jc w:val="left"/>
            </w:pPr>
            <w:r>
              <w:t xml:space="preserve">Babel</w:t>
            </w:r>
          </w:p>
        </w:tc>
        <w:tc>
          <w:tcPr/>
          <w:p>
            <w:pPr>
              <w:pStyle w:val="Compact"/>
              <w:jc w:val="left"/>
            </w:pPr>
            <w:r>
              <w:t xml:space="preserve">Sec. 6</w:t>
            </w:r>
          </w:p>
        </w:tc>
        <w:tc>
          <w:tcPr/>
          <w:p>
            <w:pPr>
              <w:pStyle w:val="Compact"/>
              <w:jc w:val="left"/>
            </w:pPr>
            <w:r>
              <w:t xml:space="preserve">Locale-aware number/currency parsing</w:t>
            </w:r>
          </w:p>
        </w:tc>
        <w:tc>
          <w:tcPr/>
          <w:p>
            <w:pPr>
              <w:pStyle w:val="Compact"/>
              <w:jc w:val="left"/>
            </w:pPr>
            <w:r>
              <w:t xml:space="preserve">Training-free</w:t>
            </w:r>
          </w:p>
        </w:tc>
        <w:tc>
          <w:tcPr/>
          <w:p>
            <w:pPr>
              <w:pStyle w:val="Compact"/>
              <w:jc w:val="left"/>
            </w:pPr>
            <w:r>
              <w:t xml:space="preserve">New</w:t>
            </w:r>
          </w:p>
        </w:tc>
      </w:tr>
      <w:tr>
        <w:tc>
          <w:tcPr/>
          <w:p>
            <w:pPr>
              <w:pStyle w:val="Compact"/>
              <w:jc w:val="left"/>
            </w:pPr>
            <w:r>
              <w:t xml:space="preserve">dateutil / dateparser</w:t>
            </w:r>
          </w:p>
        </w:tc>
        <w:tc>
          <w:tcPr/>
          <w:p>
            <w:pPr>
              <w:pStyle w:val="Compact"/>
              <w:jc w:val="left"/>
            </w:pPr>
            <w:r>
              <w:t xml:space="preserve">Sec. 6</w:t>
            </w:r>
          </w:p>
        </w:tc>
        <w:tc>
          <w:tcPr/>
          <w:p>
            <w:pPr>
              <w:pStyle w:val="Compact"/>
              <w:jc w:val="left"/>
            </w:pPr>
            <w:r>
              <w:t xml:space="preserve">Date and fiscal-period normalization</w:t>
            </w:r>
          </w:p>
        </w:tc>
        <w:tc>
          <w:tcPr/>
          <w:p>
            <w:pPr>
              <w:pStyle w:val="Compact"/>
              <w:jc w:val="left"/>
            </w:pPr>
            <w:r>
              <w:t xml:space="preserve">Training-free</w:t>
            </w:r>
          </w:p>
        </w:tc>
        <w:tc>
          <w:tcPr/>
          <w:p>
            <w:pPr>
              <w:pStyle w:val="Compact"/>
              <w:jc w:val="left"/>
            </w:pPr>
            <w:r>
              <w:t xml:space="preserve">New</w:t>
            </w:r>
          </w:p>
        </w:tc>
      </w:tr>
      <w:tr>
        <w:tc>
          <w:tcPr/>
          <w:p>
            <w:pPr>
              <w:pStyle w:val="Compact"/>
              <w:jc w:val="left"/>
            </w:pPr>
            <w:r>
              <w:t xml:space="preserve">Historical exchange-rate API (external)</w:t>
            </w:r>
          </w:p>
        </w:tc>
        <w:tc>
          <w:tcPr/>
          <w:p>
            <w:pPr>
              <w:pStyle w:val="Compact"/>
              <w:jc w:val="left"/>
            </w:pPr>
            <w:r>
              <w:t xml:space="preserve">Sec. 6</w:t>
            </w:r>
          </w:p>
        </w:tc>
        <w:tc>
          <w:tcPr/>
          <w:p>
            <w:pPr>
              <w:pStyle w:val="Compact"/>
              <w:jc w:val="left"/>
            </w:pPr>
            <w:r>
              <w:t xml:space="preserve">Point-in-time currency conversion</w:t>
            </w:r>
          </w:p>
        </w:tc>
        <w:tc>
          <w:tcPr/>
          <w:p>
            <w:pPr>
              <w:pStyle w:val="Compact"/>
              <w:jc w:val="left"/>
            </w:pPr>
            <w:r>
              <w:t xml:space="preserve">External data dependency</w:t>
            </w:r>
          </w:p>
        </w:tc>
        <w:tc>
          <w:tcPr/>
          <w:p>
            <w:pPr>
              <w:pStyle w:val="Compact"/>
              <w:jc w:val="left"/>
            </w:pPr>
            <w:r>
              <w:t xml:space="preserve">New</w:t>
            </w:r>
          </w:p>
        </w:tc>
      </w:tr>
      <w:tr>
        <w:tc>
          <w:tcPr/>
          <w:p>
            <w:pPr>
              <w:pStyle w:val="Compact"/>
              <w:jc w:val="left"/>
            </w:pPr>
            <w:r>
              <w:t xml:space="preserve">POT (Python Optimal Transport)</w:t>
            </w:r>
          </w:p>
        </w:tc>
        <w:tc>
          <w:tcPr/>
          <w:p>
            <w:pPr>
              <w:pStyle w:val="Compact"/>
              <w:jc w:val="left"/>
            </w:pPr>
            <w:r>
              <w:t xml:space="preserve">(shared reference)</w:t>
            </w:r>
          </w:p>
        </w:tc>
        <w:tc>
          <w:tcPr/>
          <w:p>
            <w:pPr>
              <w:pStyle w:val="Compact"/>
              <w:jc w:val="left"/>
            </w:pPr>
            <w:r>
              <w:t xml:space="preserve">Already used by Enhancement Research Report’s optimal-transport work</w:t>
            </w:r>
          </w:p>
        </w:tc>
        <w:tc>
          <w:tcPr/>
          <w:p>
            <w:pPr>
              <w:pStyle w:val="Compact"/>
              <w:jc w:val="left"/>
            </w:pPr>
            <w:r>
              <w:t xml:space="preserve">Training-free</w:t>
            </w:r>
          </w:p>
        </w:tc>
        <w:tc>
          <w:tcPr/>
          <w:p>
            <w:pPr>
              <w:pStyle w:val="Compact"/>
              <w:jc w:val="left"/>
            </w:pPr>
            <w:r>
              <w:t xml:space="preserve">Reused</w:t>
            </w:r>
          </w:p>
        </w:tc>
      </w:tr>
    </w:tbl>
    <w:bookmarkStart w:id="68" w:name="dependency-footprint-summary"/>
    <w:p>
      <w:pPr>
        <w:pStyle w:val="Heading3"/>
      </w:pPr>
      <w:r>
        <w:t xml:space="preserve">8.1 Dependency Footprint Summary</w:t>
      </w:r>
    </w:p>
    <w:p>
      <w:pPr>
        <w:pStyle w:val="FirstParagraph"/>
      </w:pPr>
      <w:r>
        <w:t xml:space="preserve">Of the ten genuinely new libraries this document introduces, nine are training-free or lightly-statistical (Presidio’s regex layer, Splink, APTED, diff-match-patch, IsolationForest, Rebuff-style patterns, Pint, Babel, dateutil), consistent with this document’s Section 1.1 stated preference — only the historical exchange-rate API is an external, non-library dependency requiring an operational integration (API key management, rate-limit handling, a fallback behavior when the API is unavailable, following the same circuit-breaker pattern monograph Section 17.5 already applies to AEGIS’s other external dependencies). No component in this document requires new GPU infrastructure or a new training pipeline, distinguishing this expansion from the Implementation Specification’s Feature Group C (Sections C1-C3 of that document), several of which do require new trained models.</w:t>
      </w:r>
    </w:p>
    <w:bookmarkEnd w:id="68"/>
    <w:bookmarkEnd w:id="69"/>
    <w:bookmarkStart w:id="76" w:name="consolidated-test-plan"/>
    <w:p>
      <w:pPr>
        <w:pStyle w:val="Heading2"/>
      </w:pPr>
      <w:r>
        <w:t xml:space="preserve">9. Consolidated Test Plan</w:t>
      </w:r>
    </w:p>
    <w:p>
      <w:pPr>
        <w:pStyle w:val="FirstParagraph"/>
      </w:pPr>
      <w:r>
        <w:t xml:space="preserve">Following this body of work’s seven-field test-case template (Implementation and Credibility Test Cases document, Section 1), test cases for the six components in this document are numbered TC-P-01 through TC-P-21, continuing the TC-E-* (Implementation Specification) and TC-F-* (Future Concepts Report) numbering sequences.</w:t>
      </w:r>
    </w:p>
    <w:bookmarkStart w:id="70" w:name="X7331bddde97df626c06c5d5de9232a98594c95a"/>
    <w:p>
      <w:pPr>
        <w:pStyle w:val="Heading3"/>
      </w:pPr>
      <w:r>
        <w:t xml:space="preserve">9.1 PII/Compliance Redaction (TC-P-01 to TC-P-04)</w:t>
      </w:r>
    </w:p>
    <w:p>
      <w:pPr>
        <w:numPr>
          <w:ilvl w:val="0"/>
          <w:numId w:val="1001"/>
        </w:numPr>
        <w:pStyle w:val="Compact"/>
      </w:pPr>
      <w:r>
        <w:rPr>
          <w:bCs/>
          <w:b/>
        </w:rPr>
        <w:t xml:space="preserve">TC-P-01</w:t>
      </w:r>
      <w:r>
        <w:t xml:space="preserve">: Structured-PII detection. Input: synthetic text containing a valid-checksum credit card number and an SSN. Expected: both detected with entity_type correctly assigned and score above threshold.</w:t>
      </w:r>
    </w:p>
    <w:p>
      <w:pPr>
        <w:numPr>
          <w:ilvl w:val="0"/>
          <w:numId w:val="1001"/>
        </w:numPr>
        <w:pStyle w:val="Compact"/>
      </w:pPr>
      <w:r>
        <w:rPr>
          <w:bCs/>
          <w:b/>
        </w:rPr>
        <w:t xml:space="preserve">TC-P-02</w:t>
      </w:r>
      <w:r>
        <w:t xml:space="preserve">: Unstructured-PII detection via NER. Input: synthetic text with a person’s name and a home address embedded in prose. Expected: both detected via the spaCy-based recognizer path.</w:t>
      </w:r>
    </w:p>
    <w:p>
      <w:pPr>
        <w:numPr>
          <w:ilvl w:val="0"/>
          <w:numId w:val="1001"/>
        </w:numPr>
        <w:pStyle w:val="Compact"/>
      </w:pPr>
      <w:r>
        <w:rPr>
          <w:bCs/>
          <w:b/>
        </w:rPr>
        <w:t xml:space="preserve">TC-P-03</w:t>
      </w:r>
      <w:r>
        <w:t xml:space="preserve">: Policy-driven redaction correctness. Input: a</w:t>
      </w:r>
      <w:r>
        <w:t xml:space="preserve"> </w:t>
      </w:r>
      <w:r>
        <w:rPr>
          <w:rStyle w:val="VerbatimChar"/>
        </w:rPr>
        <w:t xml:space="preserve">RedactionPolicy</w:t>
      </w:r>
      <w:r>
        <w:t xml:space="preserve"> </w:t>
      </w:r>
      <w:r>
        <w:t xml:space="preserve">configured to tokenize SSNs and flag-only names. Expected: SSNs replaced with a consistent token; names left in place but recorded in the</w:t>
      </w:r>
      <w:r>
        <w:t xml:space="preserve"> </w:t>
      </w:r>
      <w:r>
        <w:rPr>
          <w:rStyle w:val="VerbatimChar"/>
        </w:rPr>
        <w:t xml:space="preserve">ComplianceReport</w:t>
      </w:r>
      <w:r>
        <w:t xml:space="preserve">.</w:t>
      </w:r>
    </w:p>
    <w:p>
      <w:pPr>
        <w:numPr>
          <w:ilvl w:val="0"/>
          <w:numId w:val="1001"/>
        </w:numPr>
        <w:pStyle w:val="Compact"/>
      </w:pPr>
      <w:r>
        <w:rPr>
          <w:bCs/>
          <w:b/>
        </w:rPr>
        <w:t xml:space="preserve">TC-P-04</w:t>
      </w:r>
      <w:r>
        <w:t xml:space="preserve">: False-positive rate on domain-specific non-PII numbers. Input: synthetic financial document containing account/policy numbers that are not PII but structurally resemble it (e.g., a 9-digit reference number). Expected: report false-positive rate, since this is a known risk category for regex-based structured-PII recognizers that a real deployment must tune against.</w:t>
      </w:r>
    </w:p>
    <w:bookmarkEnd w:id="70"/>
    <w:bookmarkStart w:id="71" w:name="X90a64cdb55af3dd2e5d2d8f787ebbef547168cf"/>
    <w:p>
      <w:pPr>
        <w:pStyle w:val="Heading3"/>
      </w:pPr>
      <w:r>
        <w:t xml:space="preserve">9.2 Cross-Document Entity Resolution (TC-P-05 to TC-P-08)</w:t>
      </w:r>
    </w:p>
    <w:p>
      <w:pPr>
        <w:numPr>
          <w:ilvl w:val="0"/>
          <w:numId w:val="1002"/>
        </w:numPr>
        <w:pStyle w:val="Compact"/>
      </w:pPr>
      <w:r>
        <w:rPr>
          <w:bCs/>
          <w:b/>
        </w:rPr>
        <w:t xml:space="preserve">TC-P-05</w:t>
      </w:r>
      <w:r>
        <w:t xml:space="preserve">: Exact-variant resolution. Input:</w:t>
      </w:r>
      <w:r>
        <w:t xml:space="preserve"> </w:t>
      </w:r>
      <w:r>
        <w:t xml:space="preserve">“</w:t>
      </w:r>
      <w:r>
        <w:t xml:space="preserve">Acme Corp,</w:t>
      </w:r>
      <w:r>
        <w:t xml:space="preserve">”</w:t>
      </w:r>
      <w:r>
        <w:t xml:space="preserve"> </w:t>
      </w:r>
      <w:r>
        <w:t xml:space="preserve">“</w:t>
      </w:r>
      <w:r>
        <w:t xml:space="preserve">Acme Corporation,</w:t>
      </w:r>
      <w:r>
        <w:t xml:space="preserve">”</w:t>
      </w:r>
      <w:r>
        <w:t xml:space="preserve"> </w:t>
      </w:r>
      <w:r>
        <w:t xml:space="preserve">“</w:t>
      </w:r>
      <w:r>
        <w:t xml:space="preserve">ACME</w:t>
      </w:r>
      <w:r>
        <w:t xml:space="preserve">”</w:t>
      </w:r>
      <w:r>
        <w:t xml:space="preserve"> </w:t>
      </w:r>
      <w:r>
        <w:t xml:space="preserve">across three synthetic documents. Expected: all three resolve to one canonical entity.</w:t>
      </w:r>
    </w:p>
    <w:p>
      <w:pPr>
        <w:numPr>
          <w:ilvl w:val="0"/>
          <w:numId w:val="1002"/>
        </w:numPr>
        <w:pStyle w:val="Compact"/>
      </w:pPr>
      <w:r>
        <w:rPr>
          <w:bCs/>
          <w:b/>
        </w:rPr>
        <w:t xml:space="preserve">TC-P-06</w:t>
      </w:r>
      <w:r>
        <w:t xml:space="preserve">: False-merge avoidance. Input: two distinct real-world entities with similar names (e.g.,</w:t>
      </w:r>
      <w:r>
        <w:t xml:space="preserve"> </w:t>
      </w:r>
      <w:r>
        <w:t xml:space="preserve">“</w:t>
      </w:r>
      <w:r>
        <w:t xml:space="preserve">Acme Corp</w:t>
      </w:r>
      <w:r>
        <w:t xml:space="preserve">”</w:t>
      </w:r>
      <w:r>
        <w:t xml:space="preserve"> </w:t>
      </w:r>
      <w:r>
        <w:t xml:space="preserve">and</w:t>
      </w:r>
      <w:r>
        <w:t xml:space="preserve"> </w:t>
      </w:r>
      <w:r>
        <w:t xml:space="preserve">“</w:t>
      </w:r>
      <w:r>
        <w:t xml:space="preserve">Acme Industries,</w:t>
      </w:r>
      <w:r>
        <w:t xml:space="preserve">”</w:t>
      </w:r>
      <w:r>
        <w:t xml:space="preserve"> </w:t>
      </w:r>
      <w:r>
        <w:t xml:space="preserve">a deliberately adversarial near-miss). Expected: the two remain in separate canonical clusters.</w:t>
      </w:r>
    </w:p>
    <w:p>
      <w:pPr>
        <w:numPr>
          <w:ilvl w:val="0"/>
          <w:numId w:val="1002"/>
        </w:numPr>
        <w:pStyle w:val="Compact"/>
      </w:pPr>
      <w:r>
        <w:rPr>
          <w:bCs/>
          <w:b/>
        </w:rPr>
        <w:t xml:space="preserve">TC-P-07</w:t>
      </w:r>
      <w:r>
        <w:t xml:space="preserve">: Threshold sensitivity. Input: a range of match-confidence thresholds applied to the same mention set. Expected: report precision/recall trade-off across the threshold range, informing the default</w:t>
      </w:r>
      <w:r>
        <w:t xml:space="preserve"> </w:t>
      </w:r>
      <w:r>
        <w:rPr>
          <w:rStyle w:val="VerbatimChar"/>
        </w:rPr>
        <w:t xml:space="preserve">threshold=0.85</w:t>
      </w:r>
      <w:r>
        <w:t xml:space="preserve"> </w:t>
      </w:r>
      <w:r>
        <w:t xml:space="preserve">parameter’s tuning.</w:t>
      </w:r>
    </w:p>
    <w:p>
      <w:pPr>
        <w:numPr>
          <w:ilvl w:val="0"/>
          <w:numId w:val="1002"/>
        </w:numPr>
        <w:pStyle w:val="Compact"/>
      </w:pPr>
      <w:r>
        <w:rPr>
          <w:bCs/>
          <w:b/>
        </w:rPr>
        <w:t xml:space="preserve">TC-P-08</w:t>
      </w:r>
      <w:r>
        <w:t xml:space="preserve">: Real-corpus validation. Input: a labeled corpus with known entity-coreference ground truth (e.g., a subset of a standard coreference-resolution benchmark adapted to cross-document form). Expected: report precision/recall against ground truth.</w:t>
      </w:r>
    </w:p>
    <w:bookmarkEnd w:id="71"/>
    <w:bookmarkStart w:id="72" w:name="Xc3e4a4e8ebce471681f1bcb73e57098c914b59f"/>
    <w:p>
      <w:pPr>
        <w:pStyle w:val="Heading3"/>
      </w:pPr>
      <w:r>
        <w:t xml:space="preserve">9.3 Document Version/Diff Engine (TC-P-09 to TC-P-12)</w:t>
      </w:r>
    </w:p>
    <w:p>
      <w:pPr>
        <w:numPr>
          <w:ilvl w:val="0"/>
          <w:numId w:val="1003"/>
        </w:numPr>
        <w:pStyle w:val="Compact"/>
      </w:pPr>
      <w:r>
        <w:rPr>
          <w:bCs/>
          <w:b/>
        </w:rPr>
        <w:t xml:space="preserve">TC-P-09</w:t>
      </w:r>
      <w:r>
        <w:t xml:space="preserve">: Simple insertion detection. Input: two synthetic document versions differing by one inserted table row. Expected:</w:t>
      </w:r>
      <w:r>
        <w:t xml:space="preserve"> </w:t>
      </w:r>
      <w:r>
        <w:rPr>
          <w:rStyle w:val="VerbatimChar"/>
        </w:rPr>
        <w:t xml:space="preserve">VersionDiff</w:t>
      </w:r>
      <w:r>
        <w:t xml:space="preserve"> </w:t>
      </w:r>
      <w:r>
        <w:t xml:space="preserve">reports a single</w:t>
      </w:r>
      <w:r>
        <w:t xml:space="preserve"> </w:t>
      </w:r>
      <w:r>
        <w:rPr>
          <w:rStyle w:val="VerbatimChar"/>
        </w:rPr>
        <w:t xml:space="preserve">"insert"</w:t>
      </w:r>
      <w:r>
        <w:t xml:space="preserve"> </w:t>
      </w:r>
      <w:r>
        <w:t xml:space="preserve">edit at the correct node path.</w:t>
      </w:r>
    </w:p>
    <w:p>
      <w:pPr>
        <w:numPr>
          <w:ilvl w:val="0"/>
          <w:numId w:val="1003"/>
        </w:numPr>
        <w:pStyle w:val="Compact"/>
      </w:pPr>
      <w:r>
        <w:rPr>
          <w:bCs/>
          <w:b/>
        </w:rPr>
        <w:t xml:space="preserve">TC-P-10</w:t>
      </w:r>
      <w:r>
        <w:t xml:space="preserve">: Move detection. Input: two versions where a section has been reordered but not textually changed. Expected: reported as a</w:t>
      </w:r>
      <w:r>
        <w:t xml:space="preserve"> </w:t>
      </w:r>
      <w:r>
        <w:rPr>
          <w:rStyle w:val="VerbatimChar"/>
        </w:rPr>
        <w:t xml:space="preserve">"move"</w:t>
      </w:r>
      <w:r>
        <w:t xml:space="preserve"> </w:t>
      </w:r>
      <w:r>
        <w:t xml:space="preserve">edit, not as a delete-plus-insert pair, confirming APTED’s tree-edit-distance correctly distinguishes structural relocation from content change.</w:t>
      </w:r>
    </w:p>
    <w:p>
      <w:pPr>
        <w:numPr>
          <w:ilvl w:val="0"/>
          <w:numId w:val="1003"/>
        </w:numPr>
        <w:pStyle w:val="Compact"/>
      </w:pPr>
      <w:r>
        <w:rPr>
          <w:bCs/>
          <w:b/>
        </w:rPr>
        <w:t xml:space="preserve">TC-P-11</w:t>
      </w:r>
      <w:r>
        <w:t xml:space="preserve">: Section-scoped query. Input:</w:t>
      </w:r>
      <w:r>
        <w:t xml:space="preserve"> </w:t>
      </w:r>
      <w:r>
        <w:rPr>
          <w:rStyle w:val="VerbatimChar"/>
        </w:rPr>
        <w:t xml:space="preserve">query_changes_since()</w:t>
      </w:r>
      <w:r>
        <w:t xml:space="preserve"> </w:t>
      </w:r>
      <w:r>
        <w:t xml:space="preserve">called with a</w:t>
      </w:r>
      <w:r>
        <w:t xml:space="preserve"> </w:t>
      </w:r>
      <w:r>
        <w:rPr>
          <w:rStyle w:val="VerbatimChar"/>
        </w:rPr>
        <w:t xml:space="preserve">section_filter</w:t>
      </w:r>
      <w:r>
        <w:t xml:space="preserve"> </w:t>
      </w:r>
      <w:r>
        <w:t xml:space="preserve">for</w:t>
      </w:r>
      <w:r>
        <w:t xml:space="preserve"> </w:t>
      </w:r>
      <w:r>
        <w:t xml:space="preserve">“</w:t>
      </w:r>
      <w:r>
        <w:t xml:space="preserve">risk factors</w:t>
      </w:r>
      <w:r>
        <w:t xml:space="preserve">”</w:t>
      </w:r>
      <w:r>
        <w:t xml:space="preserve"> </w:t>
      </w:r>
      <w:r>
        <w:t xml:space="preserve">across three chained versions. Expected: returns only edits within that section, correctly composed across the version chain.</w:t>
      </w:r>
    </w:p>
    <w:p>
      <w:pPr>
        <w:numPr>
          <w:ilvl w:val="0"/>
          <w:numId w:val="1003"/>
        </w:numPr>
        <w:pStyle w:val="Compact"/>
      </w:pPr>
      <w:r>
        <w:rPr>
          <w:bCs/>
          <w:b/>
        </w:rPr>
        <w:t xml:space="preserve">TC-P-12</w:t>
      </w:r>
      <w:r>
        <w:t xml:space="preserve">: Large-document performance. Input: a synthetic large document (hundreds of elements) diffed against a lightly-modified version. Expected: report diff computation latency, since tree-edit-distance algorithms carry a computational cost that should be characterized before this component is applied to AEGIS’s largest documents.</w:t>
      </w:r>
    </w:p>
    <w:bookmarkEnd w:id="72"/>
    <w:bookmarkStart w:id="73" w:name="Xc8e6a74b54fe58061a0f62e1321af00f1da6879"/>
    <w:p>
      <w:pPr>
        <w:pStyle w:val="Heading3"/>
      </w:pPr>
      <w:r>
        <w:t xml:space="preserve">9.4 Ingestion Anomaly Gate (TC-P-13 to TC-P-15)</w:t>
      </w:r>
    </w:p>
    <w:p>
      <w:pPr>
        <w:numPr>
          <w:ilvl w:val="0"/>
          <w:numId w:val="1004"/>
        </w:numPr>
        <w:pStyle w:val="Compact"/>
      </w:pPr>
      <w:r>
        <w:rPr>
          <w:bCs/>
          <w:b/>
        </w:rPr>
        <w:t xml:space="preserve">TC-P-13</w:t>
      </w:r>
      <w:r>
        <w:t xml:space="preserve">: Statistical outlier detection. Input: a synthetic document with an extreme element-count/entropy profile relative to a trained baseline distribution. Expected: flagged as a</w:t>
      </w:r>
      <w:r>
        <w:t xml:space="preserve"> </w:t>
      </w:r>
      <w:r>
        <w:rPr>
          <w:rStyle w:val="VerbatimChar"/>
        </w:rPr>
        <w:t xml:space="preserve">"statistical_outlier"</w:t>
      </w:r>
      <w:r>
        <w:t xml:space="preserve">.</w:t>
      </w:r>
    </w:p>
    <w:p>
      <w:pPr>
        <w:numPr>
          <w:ilvl w:val="0"/>
          <w:numId w:val="1004"/>
        </w:numPr>
        <w:pStyle w:val="Compact"/>
      </w:pPr>
      <w:r>
        <w:rPr>
          <w:bCs/>
          <w:b/>
        </w:rPr>
        <w:t xml:space="preserve">TC-P-14</w:t>
      </w:r>
      <w:r>
        <w:t xml:space="preserve">: Injection-pattern detection. Input: synthetic document text containing a known prompt-injection construction embedded as if it were ordinary document content. Expected: flagged as</w:t>
      </w:r>
      <w:r>
        <w:t xml:space="preserve"> </w:t>
      </w:r>
      <w:r>
        <w:rPr>
          <w:rStyle w:val="VerbatimChar"/>
        </w:rPr>
        <w:t xml:space="preserve">"injection_suspected"</w:t>
      </w:r>
      <w:r>
        <w:t xml:space="preserve"> </w:t>
      </w:r>
      <w:r>
        <w:t xml:space="preserve">with the offending element identified.</w:t>
      </w:r>
    </w:p>
    <w:p>
      <w:pPr>
        <w:numPr>
          <w:ilvl w:val="0"/>
          <w:numId w:val="1004"/>
        </w:numPr>
        <w:pStyle w:val="Compact"/>
      </w:pPr>
      <w:r>
        <w:rPr>
          <w:bCs/>
          <w:b/>
        </w:rPr>
        <w:t xml:space="preserve">TC-P-15</w:t>
      </w:r>
      <w:r>
        <w:t xml:space="preserve">: False-positive rate on legitimate edge-case documents. Input: legitimate but unusual documents (a very short document, a document consisting mostly of a single large table). Expected: report false-positive rate, since both statistical-outlier and pattern-based detection carry a risk of flagging legitimate unusual documents.</w:t>
      </w:r>
    </w:p>
    <w:bookmarkEnd w:id="73"/>
    <w:bookmarkStart w:id="74" w:name="unit-normalization-tc-p-16-to-tc-p-18"/>
    <w:p>
      <w:pPr>
        <w:pStyle w:val="Heading3"/>
      </w:pPr>
      <w:r>
        <w:t xml:space="preserve">9.5 Unit Normalization (TC-P-16 to TC-P-18)</w:t>
      </w:r>
    </w:p>
    <w:p>
      <w:pPr>
        <w:numPr>
          <w:ilvl w:val="0"/>
          <w:numId w:val="1005"/>
        </w:numPr>
        <w:pStyle w:val="Compact"/>
      </w:pPr>
      <w:r>
        <w:rPr>
          <w:bCs/>
          <w:b/>
        </w:rPr>
        <w:t xml:space="preserve">TC-P-16</w:t>
      </w:r>
      <w:r>
        <w:t xml:space="preserve">: Multi-locale number parsing. Input: the same quantity expressed in US, European, and Japanese locale conventions. Expected: all three parse to the same underlying value.</w:t>
      </w:r>
    </w:p>
    <w:p>
      <w:pPr>
        <w:numPr>
          <w:ilvl w:val="0"/>
          <w:numId w:val="1005"/>
        </w:numPr>
        <w:pStyle w:val="Compact"/>
      </w:pPr>
      <w:r>
        <w:rPr>
          <w:bCs/>
          <w:b/>
        </w:rPr>
        <w:t xml:space="preserve">TC-P-17</w:t>
      </w:r>
      <w:r>
        <w:t xml:space="preserve">: Point-in-time currency conversion correctness. Input: two financial figures reported in different currencies at different historical dates. Expected: conversion uses each figure’s own reporting-date exchange rate, not the current rate, confirmed against a known historical rate.</w:t>
      </w:r>
    </w:p>
    <w:p>
      <w:pPr>
        <w:numPr>
          <w:ilvl w:val="0"/>
          <w:numId w:val="1005"/>
        </w:numPr>
        <w:pStyle w:val="Compact"/>
      </w:pPr>
      <w:r>
        <w:rPr>
          <w:bCs/>
          <w:b/>
        </w:rPr>
        <w:t xml:space="preserve">TC-P-18</w:t>
      </w:r>
      <w:r>
        <w:t xml:space="preserve">: Fiscal-period normalization across differing fiscal calendars. Input:</w:t>
      </w:r>
      <w:r>
        <w:t xml:space="preserve"> </w:t>
      </w:r>
      <w:r>
        <w:t xml:space="preserve">“</w:t>
      </w:r>
      <w:r>
        <w:t xml:space="preserve">FY2026</w:t>
      </w:r>
      <w:r>
        <w:t xml:space="preserve">”</w:t>
      </w:r>
      <w:r>
        <w:t xml:space="preserve"> </w:t>
      </w:r>
      <w:r>
        <w:t xml:space="preserve">for a company with a June fiscal year-end and a company with a December fiscal year-end. Expected: normalized to their respective correct calendar-date ranges, confirming the two are not conflated despite the identical label.</w:t>
      </w:r>
    </w:p>
    <w:bookmarkEnd w:id="74"/>
    <w:bookmarkStart w:id="75" w:name="query-decomposition-tc-p-19-to-tc-p-21"/>
    <w:p>
      <w:pPr>
        <w:pStyle w:val="Heading3"/>
      </w:pPr>
      <w:r>
        <w:t xml:space="preserve">9.6 Query Decomposition (TC-P-19 to TC-P-21)</w:t>
      </w:r>
    </w:p>
    <w:p>
      <w:pPr>
        <w:numPr>
          <w:ilvl w:val="0"/>
          <w:numId w:val="1006"/>
        </w:numPr>
        <w:pStyle w:val="Compact"/>
      </w:pPr>
      <w:r>
        <w:rPr>
          <w:bCs/>
          <w:b/>
        </w:rPr>
        <w:t xml:space="preserve">TC-P-19</w:t>
      </w:r>
      <w:r>
        <w:t xml:space="preserve">: Comparative-pattern decomposition. Input:</w:t>
      </w:r>
      <w:r>
        <w:t xml:space="preserve"> </w:t>
      </w:r>
      <w:r>
        <w:t xml:space="preserve">“</w:t>
      </w:r>
      <w:r>
        <w:t xml:space="preserve">compare the risk factors between the current and prior filing.</w:t>
      </w:r>
      <w:r>
        <w:t xml:space="preserve">”</w:t>
      </w:r>
      <w:r>
        <w:t xml:space="preserve"> </w:t>
      </w:r>
      <w:r>
        <w:t xml:space="preserve">Expected: decomposes into two sub-queries plus a</w:t>
      </w:r>
      <w:r>
        <w:t xml:space="preserve"> </w:t>
      </w:r>
      <w:r>
        <w:rPr>
          <w:rStyle w:val="VerbatimChar"/>
        </w:rPr>
        <w:t xml:space="preserve">"compare"</w:t>
      </w:r>
      <w:r>
        <w:t xml:space="preserve"> </w:t>
      </w:r>
      <w:r>
        <w:t xml:space="preserve">combination step.</w:t>
      </w:r>
    </w:p>
    <w:p>
      <w:pPr>
        <w:numPr>
          <w:ilvl w:val="0"/>
          <w:numId w:val="1006"/>
        </w:numPr>
        <w:pStyle w:val="Compact"/>
      </w:pPr>
      <w:r>
        <w:rPr>
          <w:bCs/>
          <w:b/>
        </w:rPr>
        <w:t xml:space="preserve">TC-P-20</w:t>
      </w:r>
      <w:r>
        <w:t xml:space="preserve">: Non-decomposable query pass-through. Input: a simple factoid query with no comparative, temporal, or conjunctive structure. Expected: returned as a single-node</w:t>
      </w:r>
      <w:r>
        <w:t xml:space="preserve"> </w:t>
      </w:r>
      <w:r>
        <w:rPr>
          <w:rStyle w:val="VerbatimChar"/>
        </w:rPr>
        <w:t xml:space="preserve">QueryDAG</w:t>
      </w:r>
      <w:r>
        <w:t xml:space="preserve">, confirming the component does not over-decompose queries that do not need it.</w:t>
      </w:r>
    </w:p>
    <w:p>
      <w:pPr>
        <w:numPr>
          <w:ilvl w:val="0"/>
          <w:numId w:val="1006"/>
        </w:numPr>
        <w:pStyle w:val="Compact"/>
      </w:pPr>
      <w:r>
        <w:rPr>
          <w:bCs/>
          <w:b/>
        </w:rPr>
        <w:t xml:space="preserve">TC-P-21</w:t>
      </w:r>
      <w:r>
        <w:t xml:space="preserve">: Diff-scoped decomposition integration. Input:</w:t>
      </w:r>
      <w:r>
        <w:t xml:space="preserve"> </w:t>
      </w:r>
      <w:r>
        <w:t xml:space="preserve">“</w:t>
      </w:r>
      <w:r>
        <w:t xml:space="preserve">what changed in the risk factors section since Q2,</w:t>
      </w:r>
      <w:r>
        <w:t xml:space="preserve">”</w:t>
      </w:r>
      <w:r>
        <w:t xml:space="preserve"> </w:t>
      </w:r>
      <w:r>
        <w:t xml:space="preserve">exercising both this component and Section 4’s version-diff engine together. Expected: correctly decomposes into a diff-scoped sub-query that successfully invokes</w:t>
      </w:r>
      <w:r>
        <w:t xml:space="preserve"> </w:t>
      </w:r>
      <w:r>
        <w:rPr>
          <w:rStyle w:val="VerbatimChar"/>
        </w:rPr>
        <w:t xml:space="preserve">query_changes_since()</w:t>
      </w:r>
      <w:r>
        <w:t xml:space="preserve">, confirming the two new components compose correctly end-to-end.</w:t>
      </w:r>
    </w:p>
    <w:bookmarkEnd w:id="75"/>
    <w:bookmarkEnd w:id="76"/>
    <w:bookmarkStart w:id="77" w:name="conclusion"/>
    <w:p>
      <w:pPr>
        <w:pStyle w:val="Heading2"/>
      </w:pPr>
      <w:r>
        <w:t xml:space="preserve">Conclusion</w:t>
      </w:r>
    </w:p>
    <w:p>
      <w:pPr>
        <w:pStyle w:val="FirstParagraph"/>
      </w:pPr>
      <w:r>
        <w:t xml:space="preserve">This document specified six new pre-LLM components — PII/compliance redaction, cross-document entity resolution, document version/diff tracking, ingestion anomaly detection, numerical/unit normalization, and query decomposition — with concrete modules, function signatures, and a named, predominantly training-free technology stack (Presidio, Splink, APTED, diff-match-patch, IsolationForest, Pint, Babel, spaCy), consistent with this body of work’s repeated finding that AEGIS’s most successfully hardened components are its training-free ones. Every component attaches to a specific, existing point in AEGIS’s pipeline — the ingestion stage (PII filter, anomaly gate), the Semantic and Matrix Engines (entity resolution, unit normalization), Section 6’s reading-order tree (version diffing), and Section 15’s query pipeline (decomposition) — rather than requiring a new architectural layer, and each carries its own test plan (TC-P-01 through TC-P-21) following this body of work’s established seven-field evidentiary template.</w:t>
      </w:r>
    </w:p>
    <w:p>
      <w:pPr>
        <w:pStyle w:val="BodyText"/>
      </w:pPr>
      <w:r>
        <w:t xml:space="preserve">Two implementation priorities follow directly from this document’s own analysis, restated briefly for the reader moving from specification to action: the PII/compliance redaction filter (Section 2) is the highest-priority addition given AEGIS’s stated regulated-document market and the same severity class this body of work’s Feasibility and Validation Report already assigned to the tenant-isolation risk (R1); and cross-document entity resolution (Section 3) is the highest-leverage addition for AEGIS’s own stated architectural roadmap, since it is the specific missing bridge the Comparative Landscape Report’s Section 9.2 identified between AEGIS’s structural pipeline and any future GraphRAG-style complementary layer. As with every document in this body of work, no component specified here should be read as built until its test plan has actually been run and its results reported with the same evidentiary discipline applied throughout.</w:t>
      </w:r>
    </w:p>
    <w:bookmarkEnd w:id="77"/>
    <w:bookmarkEnd w:id="78"/>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sz w:val="23"/>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00" w:before="36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pageBreakBefore/>
      <w:spacing w:after="200" w:before="36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AEGIS-DocIntel / AMDI-OS</dc:title>
  <dc:creator>Sahil Khutey, with AI Research Collaborator (Gensouls Lab)</dc:creator>
  <cp:keywords/>
  <dcterms:created xsi:type="dcterms:W3CDTF">2026-07-19T15:46:55Z</dcterms:created>
  <dcterms:modified xsi:type="dcterms:W3CDTF">2026-07-19T15:46:55Z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y fmtid="{D5CDD505-2E9C-101B-9397-08002B2CF9AE}" pid="3" name="subtitle">
    <vt:lpwstr>Pre-LLM Component Expansion: Modules, Functions, and Technology Stack Specification</vt:lpwstr>
  </property>
</Properties>
</file>