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Next</w:t>
      </w:r>
      <w:r>
        <w:t xml:space="preserve"> </w:t>
      </w:r>
      <w:r>
        <w:t xml:space="preserve">Steps</w:t>
      </w:r>
      <w:r>
        <w:t xml:space="preserve"> </w:t>
      </w:r>
      <w:r>
        <w:t xml:space="preserve">and</w:t>
      </w:r>
      <w:r>
        <w:t xml:space="preserve"> </w:t>
      </w:r>
      <w:r>
        <w:t xml:space="preserve">Development</w:t>
      </w:r>
      <w:r>
        <w:t xml:space="preserve"> </w:t>
      </w:r>
      <w:r>
        <w:t xml:space="preserve">Approach:</w:t>
      </w:r>
      <w:r>
        <w:t xml:space="preserve"> </w:t>
      </w:r>
      <w:r>
        <w:t xml:space="preserve">Execution</w:t>
      </w:r>
      <w:r>
        <w:t xml:space="preserve"> </w:t>
      </w:r>
      <w:r>
        <w:t xml:space="preserve">Plan</w:t>
      </w:r>
      <w:r>
        <w:t xml:space="preserve"> </w:t>
      </w:r>
      <w:r>
        <w:t xml:space="preserve">for</w:t>
      </w:r>
      <w:r>
        <w:t xml:space="preserve"> </w:t>
      </w:r>
      <w:r>
        <w:t xml:space="preserve">the</w:t>
      </w:r>
      <w:r>
        <w:t xml:space="preserve"> </w:t>
      </w:r>
      <w:r>
        <w:t xml:space="preserve">Full</w:t>
      </w:r>
      <w:r>
        <w:t xml:space="preserve"> </w:t>
      </w:r>
      <w:r>
        <w:t xml:space="preserve">Program</w:t>
      </w:r>
      <w:r>
        <w:t xml:space="preserve"> </w:t>
      </w:r>
      <w:r>
        <w:t xml:space="preserve">of</w:t>
      </w:r>
      <w:r>
        <w:t xml:space="preserve"> </w:t>
      </w:r>
      <w:r>
        <w:t xml:space="preserve">Work</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Workstream I – Pre-LLM Component Expansion ………………………………………. 4</w:t>
      </w:r>
      <w:r>
        <w:br/>
      </w:r>
      <w:r>
        <w:t xml:space="preserve">2. Immediate Next Steps: First 30 Days ……………………………………………… 8</w:t>
      </w:r>
      <w:r>
        <w:br/>
      </w:r>
      <w:r>
        <w:t xml:space="preserve">3. Team Structure and Roles ……………………………………………………….. 10</w:t>
      </w:r>
      <w:r>
        <w:br/>
      </w:r>
      <w:r>
        <w:t xml:space="preserve">4. Phased Execution Roadmap ……………………………………………………….. 12</w:t>
      </w:r>
      <w:r>
        <w:br/>
      </w:r>
      <w:r>
        <w:t xml:space="preserve">5. Governance Model: Decision Gates and Evidentiary Promotion …………………………. 14</w:t>
      </w:r>
      <w:r>
        <w:br/>
      </w:r>
      <w:r>
        <w:t xml:space="preserve">6. Success Metrics and KPIs ……………………………………………………….. 16</w:t>
      </w:r>
      <w:r>
        <w:br/>
      </w:r>
      <w:r>
        <w:t xml:space="preserve">7. Risk Mitigation Approach ……………………………………………………….. 18</w:t>
      </w:r>
      <w:r>
        <w:br/>
      </w:r>
      <w:r>
        <w:t xml:space="preserve">8. Reporting Cadence ……………………………………………………………… 19</w:t>
      </w:r>
      <w:r>
        <w:br/>
      </w:r>
      <w:r>
        <w:t xml:space="preserve">Conclusion ………………………………………………………………………. 20</w:t>
      </w:r>
    </w:p>
    <w:bookmarkEnd w:id="20"/>
    <w:bookmarkStart w:id="60" w:name="executive-summary"/>
    <w:p>
      <w:pPr>
        <w:pStyle w:val="Heading1"/>
      </w:pPr>
      <w:r>
        <w:t xml:space="preserve">Executive Summary</w:t>
      </w:r>
    </w:p>
    <w:p>
      <w:pPr>
        <w:pStyle w:val="FirstParagraph"/>
      </w:pPr>
      <w:r>
        <w:t xml:space="preserve">Eight documents now exist in this body of work: the architectural monograph, the Feasibility and Validation Report, the Implementation and Credibility Test Cases, the Comparative Landscape Report, the Enhancement Research Report, the Implementation Specification, the Future Concepts Report, the Master Task List, and the Pre-LLM Component Expansion (technology stack specification). Together they specify roughly 60 concrete tasks. None of this is yet executed. This document is the answer to the one question all eight leave open: given everything now specified, what actually happens next, in what order, run by whom, checked against what, and reported how.</w:t>
      </w:r>
    </w:p>
    <w:p>
      <w:pPr>
        <w:pStyle w:val="BodyText"/>
      </w:pPr>
      <w:r>
        <w:t xml:space="preserve">This document does four things. Section 2 folds the six pre-LLM components from the most recent specification into the Master Task List’s workstream structure, as a new Workstream I, so the backlog remains a single source of truth rather than fragmenting across documents. Section 3 gives concrete first-30-day actions — not aspirational goals, but specific, immediately startable work. Section 4 proposes a team structure sized to this program’s actual shape (heavy on evidentiary/testing discipline, light on net-new architecture, per every prior document’s consistent finding that AEGIS’s mathematics is ahead of its evidence). Section 5 lays out a four-phase execution roadmap tied to the Master Task List’s existing phase structure. Section 6 specifies the governance mechanism — the specific, checkable process by which a task moves from Proposed to Demonstrated to Established, since this body of work’s credibility has rested throughout on that distinction being real rather than declared. Sections 7-9 close with success metrics, risk mitigation, and a reporting cadence, so the program has a way of knowing, at any point, whether it is actually working.</w:t>
      </w:r>
    </w:p>
    <w:bookmarkStart w:id="23" w:name="workstream-i-pre-llm-component-expansion"/>
    <w:p>
      <w:pPr>
        <w:pStyle w:val="Heading2"/>
      </w:pPr>
      <w:r>
        <w:t xml:space="preserve">1. Workstream I — Pre-LLM Component Expansion</w:t>
      </w:r>
    </w:p>
    <w:p>
      <w:pPr>
        <w:pStyle w:val="FirstParagraph"/>
      </w:pPr>
      <w:r>
        <w:t xml:space="preserve">The Pre-LLM Component Expansion document specified six components in narrative and module-level detail. This section restates them as backlog tasks in the Master Task List’s exact format (ID, integration point, dependencies, priority, effort, acceptance criterion), so they enter the same single backlog rather than living in a separate document with its own tracking.</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I-1</w:t>
            </w:r>
          </w:p>
        </w:tc>
        <w:tc>
          <w:tcPr/>
          <w:p>
            <w:pPr>
              <w:pStyle w:val="Compact"/>
              <w:jc w:val="left"/>
            </w:pPr>
            <w:r>
              <w:t xml:space="preserve">PII/compliance redaction filter</w:t>
            </w:r>
          </w:p>
        </w:tc>
        <w:tc>
          <w:tcPr/>
          <w:p>
            <w:pPr>
              <w:pStyle w:val="Compact"/>
              <w:jc w:val="left"/>
            </w:pPr>
            <w:r>
              <w:t xml:space="preserve">Implement</w:t>
            </w:r>
            <w:r>
              <w:t xml:space="preserve"> </w:t>
            </w:r>
            <w:r>
              <w:rPr>
                <w:rStyle w:val="VerbatimChar"/>
              </w:rPr>
              <w:t xml:space="preserve">detect_pii()</w:t>
            </w:r>
            <w:r>
              <w:t xml:space="preserve"> </w:t>
            </w:r>
            <w:r>
              <w:t xml:space="preserve">and</w:t>
            </w:r>
            <w:r>
              <w:t xml:space="preserve"> </w:t>
            </w:r>
            <w:r>
              <w:rPr>
                <w:rStyle w:val="VerbatimChar"/>
              </w:rPr>
              <w:t xml:space="preserve">apply_redaction_policy()</w:t>
            </w:r>
            <w:r>
              <w:t xml:space="preserve"> </w:t>
            </w:r>
            <w:r>
              <w:t xml:space="preserve">using Presidio; wire into ingestion ahead of the twelve engines</w:t>
            </w:r>
          </w:p>
        </w:tc>
        <w:tc>
          <w:tcPr/>
          <w:p>
            <w:pPr>
              <w:pStyle w:val="Compact"/>
              <w:jc w:val="left"/>
            </w:pPr>
            <w:r>
              <w:rPr>
                <w:rStyle w:val="VerbatimChar"/>
              </w:rPr>
              <w:t xml:space="preserve">compliance/pii_detector.py</w:t>
            </w:r>
            <w:r>
              <w:t xml:space="preserve">,</w:t>
            </w:r>
            <w:r>
              <w:t xml:space="preserve"> </w:t>
            </w:r>
            <w:r>
              <w:rPr>
                <w:rStyle w:val="VerbatimChar"/>
              </w:rPr>
              <w:t xml:space="preserve">compliance/redaction_engine.py</w:t>
            </w:r>
            <w:r>
              <w:t xml:space="preserve">; monograph Section 4.2</w:t>
            </w:r>
          </w:p>
        </w:tc>
        <w:tc>
          <w:tcPr/>
          <w:p>
            <w:pPr>
              <w:pStyle w:val="Compact"/>
              <w:jc w:val="left"/>
            </w:pPr>
            <w:r>
              <w:t xml:space="preserve">F-2 (persistence layer, for audit-log integration)</w:t>
            </w:r>
          </w:p>
        </w:tc>
        <w:tc>
          <w:tcPr/>
          <w:p>
            <w:pPr>
              <w:pStyle w:val="Compact"/>
              <w:jc w:val="left"/>
            </w:pPr>
            <w:r>
              <w:rPr>
                <w:bCs/>
                <w:b/>
              </w:rPr>
              <w:t xml:space="preserve">Critical</w:t>
            </w:r>
            <w:r>
              <w:t xml:space="preserve"> </w:t>
            </w:r>
            <w:r>
              <w:t xml:space="preserve">(same severity class as R1)</w:t>
            </w:r>
          </w:p>
        </w:tc>
        <w:tc>
          <w:tcPr/>
          <w:p>
            <w:pPr>
              <w:pStyle w:val="Compact"/>
              <w:jc w:val="left"/>
            </w:pPr>
            <w:r>
              <w:t xml:space="preserve">M</w:t>
            </w:r>
          </w:p>
        </w:tc>
        <w:tc>
          <w:tcPr/>
          <w:p>
            <w:pPr>
              <w:pStyle w:val="Compact"/>
              <w:jc w:val="left"/>
            </w:pPr>
            <w:r>
              <w:t xml:space="preserve">TC-P-01 through TC-P-04</w:t>
            </w:r>
          </w:p>
        </w:tc>
      </w:tr>
      <w:tr>
        <w:tc>
          <w:tcPr/>
          <w:p>
            <w:pPr>
              <w:pStyle w:val="Compact"/>
              <w:jc w:val="left"/>
            </w:pPr>
            <w:r>
              <w:t xml:space="preserve">I-2</w:t>
            </w:r>
          </w:p>
        </w:tc>
        <w:tc>
          <w:tcPr/>
          <w:p>
            <w:pPr>
              <w:pStyle w:val="Compact"/>
              <w:jc w:val="left"/>
            </w:pPr>
            <w:r>
              <w:t xml:space="preserve">PII compliance report wired into audit log</w:t>
            </w:r>
          </w:p>
        </w:tc>
        <w:tc>
          <w:tcPr/>
          <w:p>
            <w:pPr>
              <w:pStyle w:val="Compact"/>
              <w:jc w:val="left"/>
            </w:pPr>
            <w:r>
              <w:t xml:space="preserve">Route</w:t>
            </w:r>
            <w:r>
              <w:t xml:space="preserve"> </w:t>
            </w:r>
            <w:r>
              <w:rPr>
                <w:rStyle w:val="VerbatimChar"/>
              </w:rPr>
              <w:t xml:space="preserve">ComplianceReport</w:t>
            </w:r>
            <w:r>
              <w:t xml:space="preserve"> </w:t>
            </w:r>
            <w:r>
              <w:t xml:space="preserve">output into the existing Section 17.4 immutable audit log</w:t>
            </w:r>
          </w:p>
        </w:tc>
        <w:tc>
          <w:tcPr/>
          <w:p>
            <w:pPr>
              <w:pStyle w:val="Compact"/>
              <w:jc w:val="left"/>
            </w:pPr>
            <w:r>
              <w:t xml:space="preserve">Monograph Section 17.4</w:t>
            </w:r>
          </w:p>
        </w:tc>
        <w:tc>
          <w:tcPr/>
          <w:p>
            <w:pPr>
              <w:pStyle w:val="Compact"/>
              <w:jc w:val="left"/>
            </w:pPr>
            <w:r>
              <w:t xml:space="preserve">I-1, F-2</w:t>
            </w:r>
          </w:p>
        </w:tc>
        <w:tc>
          <w:tcPr/>
          <w:p>
            <w:pPr>
              <w:pStyle w:val="Compact"/>
              <w:jc w:val="left"/>
            </w:pPr>
            <w:r>
              <w:t xml:space="preserve">High</w:t>
            </w:r>
          </w:p>
        </w:tc>
        <w:tc>
          <w:tcPr/>
          <w:p>
            <w:pPr>
              <w:pStyle w:val="Compact"/>
              <w:jc w:val="left"/>
            </w:pPr>
            <w:r>
              <w:t xml:space="preserve">S</w:t>
            </w:r>
          </w:p>
        </w:tc>
        <w:tc>
          <w:tcPr/>
          <w:p>
            <w:pPr>
              <w:pStyle w:val="Compact"/>
              <w:jc w:val="left"/>
            </w:pPr>
            <w:r>
              <w:t xml:space="preserve">Audit log contains a queryable PII-handling record per document</w:t>
            </w:r>
          </w:p>
        </w:tc>
      </w:tr>
      <w:tr>
        <w:tc>
          <w:tcPr/>
          <w:p>
            <w:pPr>
              <w:pStyle w:val="Compact"/>
              <w:jc w:val="left"/>
            </w:pPr>
            <w:r>
              <w:t xml:space="preserve">I-3</w:t>
            </w:r>
          </w:p>
        </w:tc>
        <w:tc>
          <w:tcPr/>
          <w:p>
            <w:pPr>
              <w:pStyle w:val="Compact"/>
              <w:jc w:val="left"/>
            </w:pPr>
            <w:r>
              <w:t xml:space="preserve">Cross-document entity resolution</w:t>
            </w:r>
          </w:p>
        </w:tc>
        <w:tc>
          <w:tcPr/>
          <w:p>
            <w:pPr>
              <w:pStyle w:val="Compact"/>
              <w:jc w:val="left"/>
            </w:pPr>
            <w:r>
              <w:t xml:space="preserve">Implement Splink-based canonicalization and NetworkX clustering</w:t>
            </w:r>
          </w:p>
        </w:tc>
        <w:tc>
          <w:tcPr/>
          <w:p>
            <w:pPr>
              <w:pStyle w:val="Compact"/>
              <w:jc w:val="left"/>
            </w:pPr>
            <w:r>
              <w:rPr>
                <w:rStyle w:val="VerbatimChar"/>
              </w:rPr>
              <w:t xml:space="preserve">entity/canonicalizer.py</w:t>
            </w:r>
            <w:r>
              <w:t xml:space="preserve">,</w:t>
            </w:r>
            <w:r>
              <w:t xml:space="preserve"> </w:t>
            </w:r>
            <w:r>
              <w:rPr>
                <w:rStyle w:val="VerbatimChar"/>
              </w:rPr>
              <w:t xml:space="preserve">entity/entity_graph.py</w:t>
            </w:r>
          </w:p>
        </w:tc>
        <w:tc>
          <w:tcPr/>
          <w:p>
            <w:pPr>
              <w:pStyle w:val="Compact"/>
              <w:jc w:val="left"/>
            </w:pPr>
            <w:r>
              <w:t xml:space="preserve">None (reuses existing Semantic Engine NER)</w:t>
            </w:r>
          </w:p>
        </w:tc>
        <w:tc>
          <w:tcPr/>
          <w:p>
            <w:pPr>
              <w:pStyle w:val="Compact"/>
              <w:jc w:val="left"/>
            </w:pPr>
            <w:r>
              <w:t xml:space="preserve">High</w:t>
            </w:r>
          </w:p>
        </w:tc>
        <w:tc>
          <w:tcPr/>
          <w:p>
            <w:pPr>
              <w:pStyle w:val="Compact"/>
              <w:jc w:val="left"/>
            </w:pPr>
            <w:r>
              <w:t xml:space="preserve">L</w:t>
            </w:r>
          </w:p>
        </w:tc>
        <w:tc>
          <w:tcPr/>
          <w:p>
            <w:pPr>
              <w:pStyle w:val="Compact"/>
              <w:jc w:val="left"/>
            </w:pPr>
            <w:r>
              <w:t xml:space="preserve">TC-P-05 through TC-P-08</w:t>
            </w:r>
          </w:p>
        </w:tc>
      </w:tr>
      <w:tr>
        <w:tc>
          <w:tcPr/>
          <w:p>
            <w:pPr>
              <w:pStyle w:val="Compact"/>
              <w:jc w:val="left"/>
            </w:pPr>
            <w:r>
              <w:t xml:space="preserve">I-4</w:t>
            </w:r>
          </w:p>
        </w:tc>
        <w:tc>
          <w:tcPr/>
          <w:p>
            <w:pPr>
              <w:pStyle w:val="Compact"/>
              <w:jc w:val="left"/>
            </w:pPr>
            <w:r>
              <w:t xml:space="preserve">Canonical entities wired into submodular packer’s concept extraction</w:t>
            </w:r>
          </w:p>
        </w:tc>
        <w:tc>
          <w:tcPr/>
          <w:p>
            <w:pPr>
              <w:pStyle w:val="Compact"/>
              <w:jc w:val="left"/>
            </w:pPr>
            <w:r>
              <w:t xml:space="preserve">Replace C-1’s document-local concept identification with cross-document-aware canonical concepts</w:t>
            </w:r>
          </w:p>
        </w:tc>
        <w:tc>
          <w:tcPr/>
          <w:p>
            <w:pPr>
              <w:pStyle w:val="Compact"/>
              <w:jc w:val="left"/>
            </w:pPr>
            <w:r>
              <w:t xml:space="preserve">Enhancement Research Report Section 2.3; monograph Section 8.2</w:t>
            </w:r>
          </w:p>
        </w:tc>
        <w:tc>
          <w:tcPr/>
          <w:p>
            <w:pPr>
              <w:pStyle w:val="Compact"/>
              <w:jc w:val="left"/>
            </w:pPr>
            <w:r>
              <w:t xml:space="preserve">I-3, C-1</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Concept-coverage objective uses canonical entities across the retrieved candidate pool</w:t>
            </w:r>
          </w:p>
        </w:tc>
      </w:tr>
      <w:tr>
        <w:tc>
          <w:tcPr/>
          <w:p>
            <w:pPr>
              <w:pStyle w:val="Compact"/>
              <w:jc w:val="left"/>
            </w:pPr>
            <w:r>
              <w:t xml:space="preserve">I-5</w:t>
            </w:r>
          </w:p>
        </w:tc>
        <w:tc>
          <w:tcPr/>
          <w:p>
            <w:pPr>
              <w:pStyle w:val="Compact"/>
              <w:jc w:val="left"/>
            </w:pPr>
            <w:r>
              <w:t xml:space="preserve">Document version/diff engine</w:t>
            </w:r>
          </w:p>
        </w:tc>
        <w:tc>
          <w:tcPr/>
          <w:p>
            <w:pPr>
              <w:pStyle w:val="Compact"/>
              <w:jc w:val="left"/>
            </w:pPr>
            <w:r>
              <w:t xml:space="preserve">Implement APTED-based structural diffing and diff-match-patch text-level diffing</w:t>
            </w:r>
          </w:p>
        </w:tc>
        <w:tc>
          <w:tcPr/>
          <w:p>
            <w:pPr>
              <w:pStyle w:val="Compact"/>
              <w:jc w:val="left"/>
            </w:pPr>
            <w:r>
              <w:rPr>
                <w:rStyle w:val="VerbatimChar"/>
              </w:rPr>
              <w:t xml:space="preserve">versioning/diff_engine.py</w:t>
            </w:r>
            <w:r>
              <w:t xml:space="preserve">,</w:t>
            </w:r>
            <w:r>
              <w:t xml:space="preserve"> </w:t>
            </w:r>
            <w:r>
              <w:rPr>
                <w:rStyle w:val="VerbatimChar"/>
              </w:rPr>
              <w:t xml:space="preserve">versioning/version_graph.py</w:t>
            </w:r>
          </w:p>
        </w:tc>
        <w:tc>
          <w:tcPr/>
          <w:p>
            <w:pPr>
              <w:pStyle w:val="Compact"/>
              <w:jc w:val="left"/>
            </w:pPr>
            <w:r>
              <w:t xml:space="preserve">None (reuses Section 6’s reading-order tree)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TC-P-09 through TC-P-12</w:t>
            </w:r>
          </w:p>
        </w:tc>
      </w:tr>
      <w:tr>
        <w:tc>
          <w:tcPr/>
          <w:p>
            <w:pPr>
              <w:pStyle w:val="Compact"/>
              <w:jc w:val="left"/>
            </w:pPr>
            <w:r>
              <w:t xml:space="preserve">I-6</w:t>
            </w:r>
          </w:p>
        </w:tc>
        <w:tc>
          <w:tcPr/>
          <w:p>
            <w:pPr>
              <w:pStyle w:val="Compact"/>
              <w:jc w:val="left"/>
            </w:pPr>
            <w:r>
              <w:t xml:space="preserve">Diff-aware re-indexing workflow</w:t>
            </w:r>
          </w:p>
        </w:tc>
        <w:tc>
          <w:tcPr/>
          <w:p>
            <w:pPr>
              <w:pStyle w:val="Compact"/>
              <w:jc w:val="left"/>
            </w:pPr>
            <w:r>
              <w:t xml:space="preserve">Replace Section 18.4’s full-replacement re-indexing with diff-aware update-and-record</w:t>
            </w:r>
          </w:p>
        </w:tc>
        <w:tc>
          <w:tcPr/>
          <w:p>
            <w:pPr>
              <w:pStyle w:val="Compact"/>
              <w:jc w:val="left"/>
            </w:pPr>
            <w:r>
              <w:t xml:space="preserve">Monograph Section 18.4</w:t>
            </w:r>
          </w:p>
        </w:tc>
        <w:tc>
          <w:tcPr/>
          <w:p>
            <w:pPr>
              <w:pStyle w:val="Compact"/>
              <w:jc w:val="left"/>
            </w:pPr>
            <w:r>
              <w:t xml:space="preserve">I-5</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Re-indexing preserves and queries version history rather than discarding it</w:t>
            </w:r>
          </w:p>
        </w:tc>
      </w:tr>
      <w:tr>
        <w:tc>
          <w:tcPr/>
          <w:p>
            <w:pPr>
              <w:pStyle w:val="Compact"/>
              <w:jc w:val="left"/>
            </w:pPr>
            <w:r>
              <w:t xml:space="preserve">I-7</w:t>
            </w:r>
          </w:p>
        </w:tc>
        <w:tc>
          <w:tcPr/>
          <w:p>
            <w:pPr>
              <w:pStyle w:val="Compact"/>
              <w:jc w:val="left"/>
            </w:pPr>
            <w:r>
              <w:t xml:space="preserve">Ingestion anomaly and injection gate</w:t>
            </w:r>
          </w:p>
        </w:tc>
        <w:tc>
          <w:tcPr/>
          <w:p>
            <w:pPr>
              <w:pStyle w:val="Compact"/>
              <w:jc w:val="left"/>
            </w:pPr>
            <w:r>
              <w:t xml:space="preserve">Implement IsolationForest statistical outlier detection and Rebuff-style injection pattern matching</w:t>
            </w:r>
          </w:p>
        </w:tc>
        <w:tc>
          <w:tcPr/>
          <w:p>
            <w:pPr>
              <w:pStyle w:val="Compact"/>
              <w:jc w:val="left"/>
            </w:pPr>
            <w:r>
              <w:rPr>
                <w:rStyle w:val="VerbatimChar"/>
              </w:rPr>
              <w:t xml:space="preserve">ingestion/anomaly_gate.py</w:t>
            </w:r>
            <w:r>
              <w:t xml:space="preserve">,</w:t>
            </w:r>
            <w:r>
              <w:t xml:space="preserve"> </w:t>
            </w:r>
            <w:r>
              <w:rPr>
                <w:rStyle w:val="VerbatimChar"/>
              </w:rPr>
              <w:t xml:space="preserve">ingestion/injection_detector.py</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M</w:t>
            </w:r>
          </w:p>
        </w:tc>
        <w:tc>
          <w:tcPr/>
          <w:p>
            <w:pPr>
              <w:pStyle w:val="Compact"/>
              <w:jc w:val="left"/>
            </w:pPr>
            <w:r>
              <w:t xml:space="preserve">TC-P-13 through TC-P-15</w:t>
            </w:r>
          </w:p>
        </w:tc>
      </w:tr>
      <w:tr>
        <w:tc>
          <w:tcPr/>
          <w:p>
            <w:pPr>
              <w:pStyle w:val="Compact"/>
              <w:jc w:val="left"/>
            </w:pPr>
            <w:r>
              <w:t xml:space="preserve">I-8</w:t>
            </w:r>
          </w:p>
        </w:tc>
        <w:tc>
          <w:tcPr/>
          <w:p>
            <w:pPr>
              <w:pStyle w:val="Compact"/>
              <w:jc w:val="left"/>
            </w:pPr>
            <w:r>
              <w:t xml:space="preserve">Anomaly gate routed to dead-letter queue</w:t>
            </w:r>
          </w:p>
        </w:tc>
        <w:tc>
          <w:tcPr/>
          <w:p>
            <w:pPr>
              <w:pStyle w:val="Compact"/>
              <w:jc w:val="left"/>
            </w:pPr>
            <w:r>
              <w:t xml:space="preserve">Extend Section 18.5’s existing parse-failure dead-letter path to cover content-anomaly failures</w:t>
            </w:r>
          </w:p>
        </w:tc>
        <w:tc>
          <w:tcPr/>
          <w:p>
            <w:pPr>
              <w:pStyle w:val="Compact"/>
              <w:jc w:val="left"/>
            </w:pPr>
            <w:r>
              <w:t xml:space="preserve">Monograph Section 18.5</w:t>
            </w:r>
          </w:p>
        </w:tc>
        <w:tc>
          <w:tcPr/>
          <w:p>
            <w:pPr>
              <w:pStyle w:val="Compact"/>
              <w:jc w:val="left"/>
            </w:pPr>
            <w:r>
              <w:t xml:space="preserve">I-7, F-6</w:t>
            </w:r>
          </w:p>
        </w:tc>
        <w:tc>
          <w:tcPr/>
          <w:p>
            <w:pPr>
              <w:pStyle w:val="Compact"/>
              <w:jc w:val="left"/>
            </w:pPr>
            <w:r>
              <w:t xml:space="preserve">High</w:t>
            </w:r>
          </w:p>
        </w:tc>
        <w:tc>
          <w:tcPr/>
          <w:p>
            <w:pPr>
              <w:pStyle w:val="Compact"/>
              <w:jc w:val="left"/>
            </w:pPr>
            <w:r>
              <w:t xml:space="preserve">S</w:t>
            </w:r>
          </w:p>
        </w:tc>
        <w:tc>
          <w:tcPr/>
          <w:p>
            <w:pPr>
              <w:pStyle w:val="Compact"/>
              <w:jc w:val="left"/>
            </w:pPr>
            <w:r>
              <w:t xml:space="preserve">Quarantine/reject actions route through the existing manual-review path</w:t>
            </w:r>
          </w:p>
        </w:tc>
      </w:tr>
      <w:tr>
        <w:tc>
          <w:tcPr/>
          <w:p>
            <w:pPr>
              <w:pStyle w:val="Compact"/>
              <w:jc w:val="left"/>
            </w:pPr>
            <w:r>
              <w:t xml:space="preserve">I-9</w:t>
            </w:r>
          </w:p>
        </w:tc>
        <w:tc>
          <w:tcPr/>
          <w:p>
            <w:pPr>
              <w:pStyle w:val="Compact"/>
              <w:jc w:val="left"/>
            </w:pPr>
            <w:r>
              <w:t xml:space="preserve">Numerical/unit normalization layer</w:t>
            </w:r>
          </w:p>
        </w:tc>
        <w:tc>
          <w:tcPr/>
          <w:p>
            <w:pPr>
              <w:pStyle w:val="Compact"/>
              <w:jc w:val="left"/>
            </w:pPr>
            <w:r>
              <w:t xml:space="preserve">Implement Pint/Babel/dateutil-based</w:t>
            </w:r>
            <w:r>
              <w:t xml:space="preserve"> </w:t>
            </w:r>
            <w:r>
              <w:rPr>
                <w:rStyle w:val="VerbatimChar"/>
              </w:rPr>
              <w:t xml:space="preserve">normalize_table()</w:t>
            </w:r>
            <w:r>
              <w:t xml:space="preserve">, extending the Matrix Engine</w:t>
            </w:r>
          </w:p>
        </w:tc>
        <w:tc>
          <w:tcPr/>
          <w:p>
            <w:pPr>
              <w:pStyle w:val="Compact"/>
              <w:jc w:val="left"/>
            </w:pPr>
            <w:r>
              <w:rPr>
                <w:rStyle w:val="VerbatimChar"/>
              </w:rPr>
              <w:t xml:space="preserve">engines/matrix/unit_normalizer.py</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TC-P-16 through TC-P-18</w:t>
            </w:r>
          </w:p>
        </w:tc>
      </w:tr>
      <w:tr>
        <w:tc>
          <w:tcPr/>
          <w:p>
            <w:pPr>
              <w:pStyle w:val="Compact"/>
              <w:jc w:val="left"/>
            </w:pPr>
            <w:r>
              <w:t xml:space="preserve">I-10</w:t>
            </w:r>
          </w:p>
        </w:tc>
        <w:tc>
          <w:tcPr/>
          <w:p>
            <w:pPr>
              <w:pStyle w:val="Compact"/>
              <w:jc w:val="left"/>
            </w:pPr>
            <w:r>
              <w:t xml:space="preserve">Point-in-time currency conversion integration</w:t>
            </w:r>
          </w:p>
        </w:tc>
        <w:tc>
          <w:tcPr/>
          <w:p>
            <w:pPr>
              <w:pStyle w:val="Compact"/>
              <w:jc w:val="left"/>
            </w:pPr>
            <w:r>
              <w:t xml:space="preserve">Integrate a historical exchange-rate API with circuit-breaker fallback, per Section 17.5’s existing pattern</w:t>
            </w:r>
          </w:p>
        </w:tc>
        <w:tc>
          <w:tcPr/>
          <w:p>
            <w:pPr>
              <w:pStyle w:val="Compact"/>
              <w:jc w:val="left"/>
            </w:pPr>
            <w:r>
              <w:t xml:space="preserve">External API integration</w:t>
            </w:r>
          </w:p>
        </w:tc>
        <w:tc>
          <w:tcPr/>
          <w:p>
            <w:pPr>
              <w:pStyle w:val="Compact"/>
              <w:jc w:val="left"/>
            </w:pPr>
            <w:r>
              <w:t xml:space="preserve">I-9, F-6</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TC-P-17; graceful degradation confirmed when the rate API is unavailable</w:t>
            </w:r>
          </w:p>
        </w:tc>
      </w:tr>
      <w:tr>
        <w:tc>
          <w:tcPr/>
          <w:p>
            <w:pPr>
              <w:pStyle w:val="Compact"/>
              <w:jc w:val="left"/>
            </w:pPr>
            <w:r>
              <w:t xml:space="preserve">I-11</w:t>
            </w:r>
          </w:p>
        </w:tc>
        <w:tc>
          <w:tcPr/>
          <w:p>
            <w:pPr>
              <w:pStyle w:val="Compact"/>
              <w:jc w:val="left"/>
            </w:pPr>
            <w:r>
              <w:t xml:space="preserve">Query decomposition pre-processor</w:t>
            </w:r>
          </w:p>
        </w:tc>
        <w:tc>
          <w:tcPr/>
          <w:p>
            <w:pPr>
              <w:pStyle w:val="Compact"/>
              <w:jc w:val="left"/>
            </w:pPr>
            <w:r>
              <w:t xml:space="preserve">Implement spaCy-dependency-parse-based decomposition into a</w:t>
            </w:r>
            <w:r>
              <w:t xml:space="preserve"> </w:t>
            </w:r>
            <w:r>
              <w:rPr>
                <w:rStyle w:val="VerbatimChar"/>
              </w:rPr>
              <w:t xml:space="preserve">QueryDAG</w:t>
            </w:r>
          </w:p>
        </w:tc>
        <w:tc>
          <w:tcPr/>
          <w:p>
            <w:pPr>
              <w:pStyle w:val="Compact"/>
              <w:jc w:val="left"/>
            </w:pPr>
            <w:r>
              <w:rPr>
                <w:rStyle w:val="VerbatimChar"/>
              </w:rPr>
              <w:t xml:space="preserve">query/decomposer.py</w:t>
            </w:r>
            <w:r>
              <w:t xml:space="preserve">,</w:t>
            </w:r>
            <w:r>
              <w:t xml:space="preserve"> </w:t>
            </w:r>
            <w:r>
              <w:rPr>
                <w:rStyle w:val="VerbatimChar"/>
              </w:rPr>
              <w:t xml:space="preserve">query/subquery_dag.py</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TC-P-19 through TC-P-21</w:t>
            </w:r>
          </w:p>
        </w:tc>
      </w:tr>
      <w:tr>
        <w:tc>
          <w:tcPr/>
          <w:p>
            <w:pPr>
              <w:pStyle w:val="Compact"/>
              <w:jc w:val="left"/>
            </w:pPr>
            <w:r>
              <w:t xml:space="preserve">I-12</w:t>
            </w:r>
          </w:p>
        </w:tc>
        <w:tc>
          <w:tcPr/>
          <w:p>
            <w:pPr>
              <w:pStyle w:val="Compact"/>
              <w:jc w:val="left"/>
            </w:pPr>
            <w:r>
              <w:t xml:space="preserve">Query DAG wired into bandit router</w:t>
            </w:r>
          </w:p>
        </w:tc>
        <w:tc>
          <w:tcPr/>
          <w:p>
            <w:pPr>
              <w:pStyle w:val="Compact"/>
              <w:jc w:val="left"/>
            </w:pPr>
            <w:r>
              <w:t xml:space="preserve">Feed</w:t>
            </w:r>
            <w:r>
              <w:t xml:space="preserve"> </w:t>
            </w:r>
            <w:r>
              <w:rPr>
                <w:rStyle w:val="VerbatimChar"/>
              </w:rPr>
              <w:t xml:space="preserve">suggested_engine_weights</w:t>
            </w:r>
            <w:r>
              <w:t xml:space="preserve"> </w:t>
            </w:r>
            <w:r>
              <w:t xml:space="preserve">hints from decomposed sub-queries into Section 13’s bandit router as an informative prior</w:t>
            </w:r>
          </w:p>
        </w:tc>
        <w:tc>
          <w:tcPr/>
          <w:p>
            <w:pPr>
              <w:pStyle w:val="Compact"/>
              <w:jc w:val="left"/>
            </w:pPr>
            <w:r>
              <w:t xml:space="preserve">Monograph Section 13</w:t>
            </w:r>
          </w:p>
        </w:tc>
        <w:tc>
          <w:tcPr/>
          <w:p>
            <w:pPr>
              <w:pStyle w:val="Compact"/>
              <w:jc w:val="left"/>
            </w:pPr>
            <w:r>
              <w:t xml:space="preserve">I-11</w:t>
            </w:r>
          </w:p>
        </w:tc>
        <w:tc>
          <w:tcPr/>
          <w:p>
            <w:pPr>
              <w:pStyle w:val="Compact"/>
              <w:jc w:val="left"/>
            </w:pPr>
            <w:r>
              <w:t xml:space="preserve">Low-Medium</w:t>
            </w:r>
          </w:p>
        </w:tc>
        <w:tc>
          <w:tcPr/>
          <w:p>
            <w:pPr>
              <w:pStyle w:val="Compact"/>
              <w:jc w:val="left"/>
            </w:pPr>
            <w:r>
              <w:t xml:space="preserve">S</w:t>
            </w:r>
          </w:p>
        </w:tc>
        <w:tc>
          <w:tcPr/>
          <w:p>
            <w:pPr>
              <w:pStyle w:val="Compact"/>
              <w:jc w:val="left"/>
            </w:pPr>
            <w:r>
              <w:t xml:space="preserve">Sub-query-specific engine weighting measurably differs from whole-query weighting on decomposable test queries</w:t>
            </w:r>
          </w:p>
        </w:tc>
      </w:tr>
    </w:tbl>
    <w:bookmarkStart w:id="21" w:name="priority-justification"/>
    <w:p>
      <w:pPr>
        <w:pStyle w:val="Heading3"/>
      </w:pPr>
      <w:r>
        <w:t xml:space="preserve">1.1 Priority Justification</w:t>
      </w:r>
    </w:p>
    <w:p>
      <w:pPr>
        <w:pStyle w:val="FirstParagraph"/>
      </w:pPr>
      <w:r>
        <w:t xml:space="preserve">I-1 (PII redaction) is assigned Critical priority — the same tier as the Master Task List’s A-1 (tenant-isolation audit) — because the Pre-LLM Component Expansion’s own conclusion already identified it as the highest-priority addition given AEGIS’s stated regulated-document market, and because an unredacted-PII failure in a financial, legal, or medical deployment carries the same unrecoverable-if-wrong severity profile the Feasibility and Validation Report’s risk register already established for R1. I-3 (entity resolution) is assigned High priority on the same report’s finding that it is the highest-leverage bridge to AEGIS’s own already-recommended GraphRAG-complementary extension (Comparative Landscape Report Section 9.2).</w:t>
      </w:r>
    </w:p>
    <w:bookmarkEnd w:id="21"/>
    <w:bookmarkStart w:id="22" w:name="Xb68c4f6e2cc6e9594a54be6ccfbe0659460356b"/>
    <w:p>
      <w:pPr>
        <w:pStyle w:val="Heading3"/>
      </w:pPr>
      <w:r>
        <w:t xml:space="preserve">1.2 This Workstream’s Place in the Overall Backlog</w:t>
      </w:r>
    </w:p>
    <w:p>
      <w:pPr>
        <w:pStyle w:val="FirstParagraph"/>
      </w:pPr>
      <w:r>
        <w:t xml:space="preserve">Workstream I brings the total consolidated backlog to 62 tasks across nine workstreams (A through I). Every dependency, priority, and effort convention in this section matches the Master Task List’s Sections 1-10 exactly, so Section 5’s phased roadmap below can incorporate Workstream I without needing a separate sequencing model.</w:t>
      </w:r>
    </w:p>
    <w:bookmarkEnd w:id="22"/>
    <w:bookmarkEnd w:id="23"/>
    <w:bookmarkStart w:id="27" w:name="immediate-next-steps-first-30-days"/>
    <w:p>
      <w:pPr>
        <w:pStyle w:val="Heading2"/>
      </w:pPr>
      <w:r>
        <w:t xml:space="preserve">2. Immediate Next Steps: First 30 Days</w:t>
      </w:r>
    </w:p>
    <w:bookmarkStart w:id="24" w:name="Xe7037e179f6936675607d9f688a7b2a82adb625"/>
    <w:p>
      <w:pPr>
        <w:pStyle w:val="Heading3"/>
      </w:pPr>
      <w:r>
        <w:t xml:space="preserve">2.1 Principle: Start What Requires No Decision</w:t>
      </w:r>
    </w:p>
    <w:p>
      <w:pPr>
        <w:pStyle w:val="FirstParagraph"/>
      </w:pPr>
      <w:r>
        <w:t xml:space="preserve">The first 30 days should be occupied entirely by tasks that require no architectural decision, no new hire, and no external procurement — work that can begin the moment someone opens an editor, so that the program has real, inspectable progress before any larger organizational commitment is made. Table 2.1 lists the specific tasks meeting this bar, drawn from across every workstream in the Master Task List and this document’s new Workstream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 range</w:t>
            </w:r>
          </w:p>
        </w:tc>
        <w:tc>
          <w:tcPr/>
          <w:p>
            <w:pPr>
              <w:pStyle w:val="Compact"/>
              <w:jc w:val="left"/>
            </w:pPr>
            <w:r>
              <w:t xml:space="preserve">Task(s)</w:t>
            </w:r>
          </w:p>
        </w:tc>
        <w:tc>
          <w:tcPr/>
          <w:p>
            <w:pPr>
              <w:pStyle w:val="Compact"/>
              <w:jc w:val="left"/>
            </w:pPr>
            <w:r>
              <w:t xml:space="preserve">Why this is startable immediately</w:t>
            </w:r>
          </w:p>
        </w:tc>
      </w:tr>
      <w:tr>
        <w:tc>
          <w:tcPr/>
          <w:p>
            <w:pPr>
              <w:pStyle w:val="Compact"/>
              <w:jc w:val="left"/>
            </w:pPr>
            <w:r>
              <w:t xml:space="preserve">Days 1-5</w:t>
            </w:r>
          </w:p>
        </w:tc>
        <w:tc>
          <w:tcPr/>
          <w:p>
            <w:pPr>
              <w:pStyle w:val="Compact"/>
              <w:jc w:val="left"/>
            </w:pPr>
            <w:r>
              <w:t xml:space="preserve">A-1 kickoff (tenant-isolation audit scoping), F-7 review (confirm current row-level-security implementation status against monograph Section 17.3’s design)</w:t>
            </w:r>
          </w:p>
        </w:tc>
        <w:tc>
          <w:tcPr/>
          <w:p>
            <w:pPr>
              <w:pStyle w:val="Compact"/>
              <w:jc w:val="left"/>
            </w:pPr>
            <w:r>
              <w:t xml:space="preserve">Requires only reading the existing codebase against the existing design document; no new code, no new dependency</w:t>
            </w:r>
          </w:p>
        </w:tc>
      </w:tr>
      <w:tr>
        <w:tc>
          <w:tcPr/>
          <w:p>
            <w:pPr>
              <w:pStyle w:val="Compact"/>
              <w:jc w:val="left"/>
            </w:pPr>
            <w:r>
              <w:t xml:space="preserve">Days 1-10</w:t>
            </w:r>
          </w:p>
        </w:tc>
        <w:tc>
          <w:tcPr/>
          <w:p>
            <w:pPr>
              <w:pStyle w:val="Compact"/>
              <w:jc w:val="left"/>
            </w:pPr>
            <w:r>
              <w:t xml:space="preserve">B-1 (OPW reading-order metric), I-1 (PII redaction filter)</w:t>
            </w:r>
          </w:p>
        </w:tc>
        <w:tc>
          <w:tcPr/>
          <w:p>
            <w:pPr>
              <w:pStyle w:val="Compact"/>
              <w:jc w:val="left"/>
            </w:pPr>
            <w:r>
              <w:t xml:space="preserve">Both are S/M-effort, dependency-free (POT and Presidio respectively), and each closes a Critical or High-priority gap this body of work has repeatedly flagged</w:t>
            </w:r>
          </w:p>
        </w:tc>
      </w:tr>
      <w:tr>
        <w:tc>
          <w:tcPr/>
          <w:p>
            <w:pPr>
              <w:pStyle w:val="Compact"/>
              <w:jc w:val="left"/>
            </w:pPr>
            <w:r>
              <w:t xml:space="preserve">Days 1-10</w:t>
            </w:r>
          </w:p>
        </w:tc>
        <w:tc>
          <w:tcPr/>
          <w:p>
            <w:pPr>
              <w:pStyle w:val="Compact"/>
              <w:jc w:val="left"/>
            </w:pPr>
            <w:r>
              <w:t xml:space="preserve">All seven Workstream E tasks (E-1 through E-7, Future Concepts Report Stage 0 studies)</w:t>
            </w:r>
          </w:p>
        </w:tc>
        <w:tc>
          <w:tcPr/>
          <w:p>
            <w:pPr>
              <w:pStyle w:val="Compact"/>
              <w:jc w:val="left"/>
            </w:pPr>
            <w:r>
              <w:t xml:space="preserve">Explicitly the cheapest-entry-point workstream in the entire backlog per that report’s own Section 7.1 finding; six of seven require no new dependency at all</w:t>
            </w:r>
          </w:p>
        </w:tc>
      </w:tr>
      <w:tr>
        <w:tc>
          <w:tcPr/>
          <w:p>
            <w:pPr>
              <w:pStyle w:val="Compact"/>
              <w:jc w:val="left"/>
            </w:pPr>
            <w:r>
              <w:t xml:space="preserve">Days 5-15</w:t>
            </w:r>
          </w:p>
        </w:tc>
        <w:tc>
          <w:tcPr/>
          <w:p>
            <w:pPr>
              <w:pStyle w:val="Compact"/>
              <w:jc w:val="left"/>
            </w:pPr>
            <w:r>
              <w:t xml:space="preserve">B-3 (persistent-homology Topology Engine)</w:t>
            </w:r>
          </w:p>
        </w:tc>
        <w:tc>
          <w:tcPr/>
          <w:p>
            <w:pPr>
              <w:pStyle w:val="Compact"/>
              <w:jc w:val="left"/>
            </w:pPr>
            <w:r>
              <w:t xml:space="preserve">Closes the single longest-standing named gap in the monograph (Section 23’s unimplemented Topology Engine); GUDHI/Ripser are mature, quick-to-integrate dependencies</w:t>
            </w:r>
          </w:p>
        </w:tc>
      </w:tr>
      <w:tr>
        <w:tc>
          <w:tcPr/>
          <w:p>
            <w:pPr>
              <w:pStyle w:val="Compact"/>
              <w:jc w:val="left"/>
            </w:pPr>
            <w:r>
              <w:t xml:space="preserve">Days 10-20</w:t>
            </w:r>
          </w:p>
        </w:tc>
        <w:tc>
          <w:tcPr/>
          <w:p>
            <w:pPr>
              <w:pStyle w:val="Compact"/>
              <w:jc w:val="left"/>
            </w:pPr>
            <w:r>
              <w:t xml:space="preserve">A-5 (DocVQA/TAT-QA benchmark execution), A-6 (failure-injection suite scoping)</w:t>
            </w:r>
          </w:p>
        </w:tc>
        <w:tc>
          <w:tcPr/>
          <w:p>
            <w:pPr>
              <w:pStyle w:val="Compact"/>
              <w:jc w:val="left"/>
            </w:pPr>
            <w:r>
              <w:t xml:space="preserve">A-5 runs against the monograph’s own already-fully-specified Section 21 protocol; no new specification work required, only execution</w:t>
            </w:r>
          </w:p>
        </w:tc>
      </w:tr>
      <w:tr>
        <w:tc>
          <w:tcPr/>
          <w:p>
            <w:pPr>
              <w:pStyle w:val="Compact"/>
              <w:jc w:val="left"/>
            </w:pPr>
            <w:r>
              <w:t xml:space="preserve">Days 15-30</w:t>
            </w:r>
          </w:p>
        </w:tc>
        <w:tc>
          <w:tcPr/>
          <w:p>
            <w:pPr>
              <w:pStyle w:val="Compact"/>
              <w:jc w:val="left"/>
            </w:pPr>
            <w:r>
              <w:t xml:space="preserve">C-1 kickoff (submodular knapsack packer)</w:t>
            </w:r>
          </w:p>
        </w:tc>
        <w:tc>
          <w:tcPr/>
          <w:p>
            <w:pPr>
              <w:pStyle w:val="Compact"/>
              <w:jc w:val="left"/>
            </w:pPr>
            <w:r>
              <w:t xml:space="preserve">The single highest-leverage finding across the Enhancement Research Report; SubModLib is a mature library, and this task’s test plan (TC-E-09 through TC-E-12) is already fully specified</w:t>
            </w:r>
          </w:p>
        </w:tc>
      </w:tr>
      <w:tr>
        <w:tc>
          <w:tcPr/>
          <w:p>
            <w:pPr>
              <w:pStyle w:val="Compact"/>
              <w:jc w:val="left"/>
            </w:pPr>
            <w:r>
              <w:t xml:space="preserve">Days 20-30</w:t>
            </w:r>
          </w:p>
        </w:tc>
        <w:tc>
          <w:tcPr/>
          <w:p>
            <w:pPr>
              <w:pStyle w:val="Compact"/>
              <w:jc w:val="left"/>
            </w:pPr>
            <w:r>
              <w:t xml:space="preserve">I-7 (ingestion anomaly gate)</w:t>
            </w:r>
          </w:p>
        </w:tc>
        <w:tc>
          <w:tcPr/>
          <w:p>
            <w:pPr>
              <w:pStyle w:val="Compact"/>
              <w:jc w:val="left"/>
            </w:pPr>
            <w:r>
              <w:t xml:space="preserve">High priority, dependency-light (scikit-learn is very likely already present in any Python ML stack), and directly strengthens the same defense-in-depth posture A-1’s audit will be evaluating</w:t>
            </w:r>
          </w:p>
        </w:tc>
      </w:tr>
    </w:tbl>
    <w:bookmarkEnd w:id="24"/>
    <w:bookmarkStart w:id="25" w:name="X4e528e66b761a936070a4c633093f78a20b89e8"/>
    <w:p>
      <w:pPr>
        <w:pStyle w:val="Heading3"/>
      </w:pPr>
      <w:r>
        <w:t xml:space="preserve">2.2 What Should Not Start in the First 30 Days</w:t>
      </w:r>
    </w:p>
    <w:p>
      <w:pPr>
        <w:pStyle w:val="FirstParagraph"/>
      </w:pPr>
      <w:r>
        <w:t xml:space="preserve">Consistent with the gating logic already established across the Implementation Specification and Master Task List, the following should explicitly not begin in the first 30 days: any Workstream D task (all require a Workstream C pilot’s result first), A-7/A-8 (trained encoders — these are XL-effort and should be resourced deliberately, not started reflexively alongside smaller work), and F-1 through F-3 (production infrastructure build-out — this is a genuine organizational commitment, addressed on its own timeline in Section 5.3, not a first-30-days item).</w:t>
      </w:r>
    </w:p>
    <w:bookmarkEnd w:id="25"/>
    <w:bookmarkStart w:id="26" w:name="the-first-deliverable"/>
    <w:p>
      <w:pPr>
        <w:pStyle w:val="Heading3"/>
      </w:pPr>
      <w:r>
        <w:t xml:space="preserve">2.3 The First Deliverable</w:t>
      </w:r>
    </w:p>
    <w:p>
      <w:pPr>
        <w:pStyle w:val="FirstParagraph"/>
      </w:pPr>
      <w:r>
        <w:t xml:space="preserve">By day 30, the program should have: at least three tasks reaching their acceptance-criterion test passing (realistically B-1, one of the E-* studies, and I-1 or B-3, given their effort tiers), the tenant-isolation audit scoped and either underway or contracted, and the DocVQA/TAT-QA benchmark run producing AEGIS’s first measured (not targeted) accuracy figures. This is a concrete, checkable 30-day output — not a milestone defined by activity, but one defined by which acceptance criteria have actually been satisfied.</w:t>
      </w:r>
    </w:p>
    <w:bookmarkEnd w:id="26"/>
    <w:bookmarkEnd w:id="27"/>
    <w:bookmarkStart w:id="32" w:name="team-structure-and-roles"/>
    <w:p>
      <w:pPr>
        <w:pStyle w:val="Heading2"/>
      </w:pPr>
      <w:r>
        <w:t xml:space="preserve">3. Team Structure and Roles</w:t>
      </w:r>
    </w:p>
    <w:bookmarkStart w:id="28" w:name="sizing-principle"/>
    <w:p>
      <w:pPr>
        <w:pStyle w:val="Heading3"/>
      </w:pPr>
      <w:r>
        <w:t xml:space="preserve">3.1 Sizing Principle</w:t>
      </w:r>
    </w:p>
    <w:p>
      <w:pPr>
        <w:pStyle w:val="FirstParagraph"/>
      </w:pPr>
      <w:r>
        <w:t xml:space="preserve">Every prior document in this body of work has converged on the same finding restated in different terms: AEGIS’s mathematics is ahead of its evidence. This has a direct staffing implication — the team this program needs is weighted toward implementation-and-verification discipline, not toward net-new architectural research, since the architecture (twelve engines, the three hardened pipeline stages, and now nine further specified enhancement features and six pre-LLM components) is already substantially specified. Table 3.1 proposes five role clusters sized to this shape.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 cluster</w:t>
            </w:r>
          </w:p>
        </w:tc>
        <w:tc>
          <w:tcPr/>
          <w:p>
            <w:pPr>
              <w:pStyle w:val="Compact"/>
              <w:jc w:val="left"/>
            </w:pPr>
            <w:r>
              <w:t xml:space="preserve">Core responsibility</w:t>
            </w:r>
          </w:p>
        </w:tc>
        <w:tc>
          <w:tcPr/>
          <w:p>
            <w:pPr>
              <w:pStyle w:val="Compact"/>
              <w:jc w:val="left"/>
            </w:pPr>
            <w:r>
              <w:t xml:space="preserve">Primary workstreams</w:t>
            </w:r>
          </w:p>
        </w:tc>
        <w:tc>
          <w:tcPr/>
          <w:p>
            <w:pPr>
              <w:pStyle w:val="Compact"/>
              <w:jc w:val="left"/>
            </w:pPr>
            <w:r>
              <w:t xml:space="preserve">Approximate headcount (indicative)</w:t>
            </w:r>
          </w:p>
        </w:tc>
      </w:tr>
      <w:tr>
        <w:tc>
          <w:tcPr/>
          <w:p>
            <w:pPr>
              <w:pStyle w:val="Compact"/>
              <w:jc w:val="left"/>
            </w:pPr>
            <w:r>
              <w:t xml:space="preserve">Core Pipeline Engineers</w:t>
            </w:r>
          </w:p>
        </w:tc>
        <w:tc>
          <w:tcPr/>
          <w:p>
            <w:pPr>
              <w:pStyle w:val="Compact"/>
              <w:jc w:val="left"/>
            </w:pPr>
            <w:r>
              <w:t xml:space="preserve">Implement and harden Sections 6-9’s existing hardened components’ extensions (Workstreams B, C)</w:t>
            </w:r>
          </w:p>
        </w:tc>
        <w:tc>
          <w:tcPr/>
          <w:p>
            <w:pPr>
              <w:pStyle w:val="Compact"/>
              <w:jc w:val="left"/>
            </w:pPr>
            <w:r>
              <w:t xml:space="preserve">B, C</w:t>
            </w:r>
          </w:p>
        </w:tc>
        <w:tc>
          <w:tcPr/>
          <w:p>
            <w:pPr>
              <w:pStyle w:val="Compact"/>
              <w:jc w:val="left"/>
            </w:pPr>
            <w:r>
              <w:t xml:space="preserve">2-3</w:t>
            </w:r>
          </w:p>
        </w:tc>
      </w:tr>
      <w:tr>
        <w:tc>
          <w:tcPr/>
          <w:p>
            <w:pPr>
              <w:pStyle w:val="Compact"/>
              <w:jc w:val="left"/>
            </w:pPr>
            <w:r>
              <w:t xml:space="preserve">Evidentiary/Test Engineers</w:t>
            </w:r>
          </w:p>
        </w:tc>
        <w:tc>
          <w:tcPr/>
          <w:p>
            <w:pPr>
              <w:pStyle w:val="Compact"/>
              <w:jc w:val="left"/>
            </w:pPr>
            <w:r>
              <w:t xml:space="preserve">Own the test-plan execution and CI regression-gate discipline (Section 10.1 of the Master Task List) across every workstream</w:t>
            </w:r>
          </w:p>
        </w:tc>
        <w:tc>
          <w:tcPr/>
          <w:p>
            <w:pPr>
              <w:pStyle w:val="Compact"/>
              <w:jc w:val="left"/>
            </w:pPr>
            <w:r>
              <w:t xml:space="preserve">A, G</w:t>
            </w:r>
          </w:p>
        </w:tc>
        <w:tc>
          <w:tcPr/>
          <w:p>
            <w:pPr>
              <w:pStyle w:val="Compact"/>
              <w:jc w:val="left"/>
            </w:pPr>
            <w:r>
              <w:t xml:space="preserve">2</w:t>
            </w:r>
          </w:p>
        </w:tc>
      </w:tr>
      <w:tr>
        <w:tc>
          <w:tcPr/>
          <w:p>
            <w:pPr>
              <w:pStyle w:val="Compact"/>
              <w:jc w:val="left"/>
            </w:pPr>
            <w:r>
              <w:t xml:space="preserve">Infrastructure/Platform Engineers</w:t>
            </w:r>
          </w:p>
        </w:tc>
        <w:tc>
          <w:tcPr/>
          <w:p>
            <w:pPr>
              <w:pStyle w:val="Compact"/>
              <w:jc w:val="left"/>
            </w:pPr>
            <w:r>
              <w:t xml:space="preserve">Build the production topology (Workstream F) and the security/observability layers it depends on</w:t>
            </w:r>
          </w:p>
        </w:tc>
        <w:tc>
          <w:tcPr/>
          <w:p>
            <w:pPr>
              <w:pStyle w:val="Compact"/>
              <w:jc w:val="left"/>
            </w:pPr>
            <w:r>
              <w:t xml:space="preserve">F</w:t>
            </w:r>
          </w:p>
        </w:tc>
        <w:tc>
          <w:tcPr/>
          <w:p>
            <w:pPr>
              <w:pStyle w:val="Compact"/>
              <w:jc w:val="left"/>
            </w:pPr>
            <w:r>
              <w:t xml:space="preserve">2-3</w:t>
            </w:r>
          </w:p>
        </w:tc>
      </w:tr>
      <w:tr>
        <w:tc>
          <w:tcPr/>
          <w:p>
            <w:pPr>
              <w:pStyle w:val="Compact"/>
              <w:jc w:val="left"/>
            </w:pPr>
            <w:r>
              <w:t xml:space="preserve">Applied Research Engineers</w:t>
            </w:r>
          </w:p>
        </w:tc>
        <w:tc>
          <w:tcPr/>
          <w:p>
            <w:pPr>
              <w:pStyle w:val="Compact"/>
              <w:jc w:val="left"/>
            </w:pPr>
            <w:r>
              <w:t xml:space="preserve">Run the Workstream E Stage-0 studies and, where a study returns positive, own Stage 1 prototyping</w:t>
            </w:r>
          </w:p>
        </w:tc>
        <w:tc>
          <w:tcPr/>
          <w:p>
            <w:pPr>
              <w:pStyle w:val="Compact"/>
              <w:jc w:val="left"/>
            </w:pPr>
            <w:r>
              <w:t xml:space="preserve">E, D (long-horizon, part-time)</w:t>
            </w:r>
          </w:p>
        </w:tc>
        <w:tc>
          <w:tcPr/>
          <w:p>
            <w:pPr>
              <w:pStyle w:val="Compact"/>
              <w:jc w:val="left"/>
            </w:pPr>
            <w:r>
              <w:t xml:space="preserve">1-2</w:t>
            </w:r>
          </w:p>
        </w:tc>
      </w:tr>
      <w:tr>
        <w:tc>
          <w:tcPr/>
          <w:p>
            <w:pPr>
              <w:pStyle w:val="Compact"/>
              <w:jc w:val="left"/>
            </w:pPr>
            <w:r>
              <w:t xml:space="preserve">Integration/Compliance Engineers</w:t>
            </w:r>
          </w:p>
        </w:tc>
        <w:tc>
          <w:tcPr/>
          <w:p>
            <w:pPr>
              <w:pStyle w:val="Compact"/>
              <w:jc w:val="left"/>
            </w:pPr>
            <w:r>
              <w:t xml:space="preserve">Own Workstream I (pre-LLM components) and Workstream H (connectors/positioning), both of which touch external-facing surfaces (compliance posture, third-party framework compatibility)</w:t>
            </w:r>
          </w:p>
        </w:tc>
        <w:tc>
          <w:tcPr/>
          <w:p>
            <w:pPr>
              <w:pStyle w:val="Compact"/>
              <w:jc w:val="left"/>
            </w:pPr>
            <w:r>
              <w:t xml:space="preserve">I, H</w:t>
            </w:r>
          </w:p>
        </w:tc>
        <w:tc>
          <w:tcPr/>
          <w:p>
            <w:pPr>
              <w:pStyle w:val="Compact"/>
              <w:jc w:val="left"/>
            </w:pPr>
            <w:r>
              <w:t xml:space="preserve">2</w:t>
            </w:r>
          </w:p>
        </w:tc>
      </w:tr>
    </w:tbl>
    <w:bookmarkEnd w:id="28"/>
    <w:bookmarkStart w:id="29" w:name="why-this-shape-specifically"/>
    <w:p>
      <w:pPr>
        <w:pStyle w:val="Heading3"/>
      </w:pPr>
      <w:r>
        <w:t xml:space="preserve">3.2 Why This Shape, Specifically</w:t>
      </w:r>
    </w:p>
    <w:p>
      <w:pPr>
        <w:pStyle w:val="FirstParagraph"/>
      </w:pPr>
      <w:r>
        <w:t xml:space="preserve">The Evidentiary/Test Engineers role cluster is deliberately not folded into the Core Pipeline Engineers cluster, despite the temptation to treat testing as something implementers do themselves — this body of work’s own central finding (Section 11.7 of the monograph: defects live in the gap between an equation and a tested implementation) is precisely the finding that argues for a dedicated ownership of that gap rather than leaving it to whichever engineer happened to write the code being tested. The Integration/Compliance cluster is similarly separated from Core Pipeline Engineers because Workstream I’s components (particularly I-1’s PII redaction) carry compliance and audit obligations that benefit from an owner whose primary accountability is correctness-under-regulation, not feature velocity.</w:t>
      </w:r>
    </w:p>
    <w:bookmarkEnd w:id="29"/>
    <w:bookmarkStart w:id="30" w:name="X96738bbfe5907476f464d0d99b0b798b82b03d2"/>
    <w:p>
      <w:pPr>
        <w:pStyle w:val="Heading3"/>
      </w:pPr>
      <w:r>
        <w:t xml:space="preserve">3.3 A Note on the Applied Research Cluster’s Sizing</w:t>
      </w:r>
    </w:p>
    <w:p>
      <w:pPr>
        <w:pStyle w:val="FirstParagraph"/>
      </w:pPr>
      <w:r>
        <w:t xml:space="preserve">The Applied Research Engineers cluster is intentionally the smallest, sized at 1-2 rather than matching the size of the Future Concepts Report’s seven-concept scope — this reflects Section 2.2’s explicit guidance that Workstream E’s Stage 0 studies are cheap, parallel, and individually small, and that a large research team is not needed to run seven S-effort feasibility studies; it is needed only if multiple studies return strongly positive and the program chooses to fund several Stage 1 prototypes simultaneously, a decision Section 6’s governance model addresses rather than pre-committing to here.</w:t>
      </w:r>
    </w:p>
    <w:bookmarkEnd w:id="30"/>
    <w:bookmarkStart w:id="31" w:name="Xd20a817f96298f0ec5013bc945476f747b91f46"/>
    <w:p>
      <w:pPr>
        <w:pStyle w:val="Heading3"/>
      </w:pPr>
      <w:r>
        <w:t xml:space="preserve">3.4 Shared Accountability: A Technical Lead Role</w:t>
      </w:r>
    </w:p>
    <w:p>
      <w:pPr>
        <w:pStyle w:val="FirstParagraph"/>
      </w:pPr>
      <w:r>
        <w:t xml:space="preserve">One role sits outside Table 3.1’s cluster structure: a technical lead accountable for the Master Task List and this document’s Workstream I remaining a single, current source of truth as work proceeds — updating task status, re-triaging priority as new evidence arrives (per Section 6’s governance model), and maintaining the Feasibility and Validation Report’s risk register as risks close or new ones are identified (per that report’s Section 3 and the Master Task List’s Section 10.4). This role is explicitly a coordination and documentation-integrity function, not a people-management layer separate from the five clusters above.</w:t>
      </w:r>
    </w:p>
    <w:bookmarkEnd w:id="31"/>
    <w:bookmarkEnd w:id="32"/>
    <w:bookmarkStart w:id="39" w:name="phased-execution-roadmap"/>
    <w:p>
      <w:pPr>
        <w:pStyle w:val="Heading2"/>
      </w:pPr>
      <w:r>
        <w:t xml:space="preserve">4. Phased Execution Roadmap</w:t>
      </w:r>
    </w:p>
    <w:bookmarkStart w:id="33" w:name="X7d19d06d07070a000052dd8d028817b6b2ca666"/>
    <w:p>
      <w:pPr>
        <w:pStyle w:val="Heading3"/>
      </w:pPr>
      <w:r>
        <w:t xml:space="preserve">4.1 Relationship to the Master Task List’s Phase Structure</w:t>
      </w:r>
    </w:p>
    <w:p>
      <w:pPr>
        <w:pStyle w:val="FirstParagraph"/>
      </w:pPr>
      <w:r>
        <w:t xml:space="preserve">This section extends the Master Task List’s Section 11 four-phase sequencing (Foundation, Consolidation, Integration and Benchmarking, Long-Horizon and Gated Work) with Workstream I’s new tasks and with approximate calendar bands, making the abstract phase structure into a concrete timeline. As with every effort estimate in this body of work, the calendar bands below are indicative planning assumptions dependent on the team size proposed in Section 3, not committed dates.</w:t>
      </w:r>
    </w:p>
    <w:bookmarkEnd w:id="33"/>
    <w:bookmarkStart w:id="34" w:name="phase-1-foundation-months-1-2"/>
    <w:p>
      <w:pPr>
        <w:pStyle w:val="Heading3"/>
      </w:pPr>
      <w:r>
        <w:t xml:space="preserve">4.2 Phase 1 — Foundation (Months 1-2)</w:t>
      </w:r>
    </w:p>
    <w:p>
      <w:pPr>
        <w:pStyle w:val="FirstParagraph"/>
      </w:pPr>
      <w:r>
        <w:t xml:space="preserve">Every task identified in Section 2’s first-30-days plan, extended across the full phase:</w:t>
      </w:r>
      <w:r>
        <w:t xml:space="preserve"> </w:t>
      </w:r>
      <w:r>
        <w:rPr>
          <w:bCs/>
          <w:b/>
        </w:rPr>
        <w:t xml:space="preserve">A-1, A-2/A-3/A-4, A-5, A-6, B-1, B-3, F-1/F-2, all of Workstream E, I-1, I-7</w:t>
      </w:r>
      <w:r>
        <w:t xml:space="preserve">. This phase’s exit criterion is not calendar-based but evidentiary: Phase 1 is complete when every Critical and High-priority task listed above has either reached its acceptance criterion or has a clear, resourced path to doing so within Phase 2. A program that reaches month 2 without A-1 (tenant-isolation audit) at least underway should treat that as a signal to re-prioritize, not to proceed to Phase 2 regardless.</w:t>
      </w:r>
    </w:p>
    <w:bookmarkEnd w:id="34"/>
    <w:bookmarkStart w:id="35" w:name="phase-2-consolidation-months-2-5"/>
    <w:p>
      <w:pPr>
        <w:pStyle w:val="Heading3"/>
      </w:pPr>
      <w:r>
        <w:t xml:space="preserve">4.3 Phase 2 — Consolidation (Months 2-5)</w:t>
      </w:r>
    </w:p>
    <w:p>
      <w:pPr>
        <w:pStyle w:val="FirstParagraph"/>
      </w:pPr>
      <w:r>
        <w:rPr>
          <w:bCs/>
          <w:b/>
        </w:rPr>
        <w:t xml:space="preserve">A-7/A-8</w:t>
      </w:r>
      <w:r>
        <w:t xml:space="preserve"> </w:t>
      </w:r>
      <w:r>
        <w:t xml:space="preserve">(trained encoders, run in parallel across this phase rather than blocking anything else),</w:t>
      </w:r>
      <w:r>
        <w:t xml:space="preserve"> </w:t>
      </w:r>
      <w:r>
        <w:rPr>
          <w:bCs/>
          <w:b/>
        </w:rPr>
        <w:t xml:space="preserve">B-2/B-4/B-5, C-1, C-3/C-6, F-3 through F-7, H-4/H-5, I-2/I-3/I-5/I-9</w:t>
      </w:r>
      <w:r>
        <w:t xml:space="preserve">. This is the largest phase by task count and the one requiring the widest team engagement across all five role clusters simultaneously — Core Pipeline Engineers on C-1/C-3/C-6, Infrastructure Engineers on F-3 through F-7, Integration/Compliance Engineers on I-2/I-3/I-5/I-9, and Evidentiary/Test Engineers running acceptance tests across all of it concurrently rather than only at phase end.</w:t>
      </w:r>
    </w:p>
    <w:bookmarkEnd w:id="35"/>
    <w:bookmarkStart w:id="36" w:name="X431b93acdecd16cd852fe5696e2cbb63f0c8961"/>
    <w:p>
      <w:pPr>
        <w:pStyle w:val="Heading3"/>
      </w:pPr>
      <w:r>
        <w:t xml:space="preserve">4.4 Phase 3 — Integration and Benchmarking (Months 5-8)</w:t>
      </w:r>
    </w:p>
    <w:p>
      <w:pPr>
        <w:pStyle w:val="FirstParagraph"/>
      </w:pPr>
      <w:r>
        <w:rPr>
          <w:bCs/>
          <w:b/>
        </w:rPr>
        <w:t xml:space="preserve">C-2, C-4/C-5, G-1/G-2, H-1/H-2/H-3, H-6/G-3, I-4/I-6/I-8/I-10/I-11</w:t>
      </w:r>
      <w:r>
        <w:t xml:space="preserve">. This phase is where the program’s individually-built components are first evaluated</w:t>
      </w:r>
      <w:r>
        <w:t xml:space="preserve"> </w:t>
      </w:r>
      <w:r>
        <w:rPr>
          <w:iCs/>
          <w:i/>
        </w:rPr>
        <w:t xml:space="preserve">together</w:t>
      </w:r>
      <w:r>
        <w:t xml:space="preserve"> </w:t>
      </w:r>
      <w:r>
        <w:t xml:space="preserve">— C-2’s retirement of the separate MMR stage in favor of C-1’s submodular packer, G-1’s OmniDocBench benchmark, and G-2’s Databricks-comparable load test are all, in different ways, tests of composition rather than tests of an isolated component, echoing the same integration-level concern the Implementation and Credibility Test Cases document’s TC-19 already raised for AEGIS’s original three hardened components.</w:t>
      </w:r>
    </w:p>
    <w:bookmarkEnd w:id="36"/>
    <w:bookmarkStart w:id="37" w:name="X4339bc3af5364c633b40077c3e32216ff78e9ac"/>
    <w:p>
      <w:pPr>
        <w:pStyle w:val="Heading3"/>
      </w:pPr>
      <w:r>
        <w:t xml:space="preserve">4.5 Phase 4 — Long-Horizon and Gated Work (Months 8+, Ongoing)</w:t>
      </w:r>
    </w:p>
    <w:p>
      <w:pPr>
        <w:pStyle w:val="FirstParagraph"/>
      </w:pPr>
      <w:r>
        <w:rPr>
          <w:bCs/>
          <w:b/>
        </w:rPr>
        <w:t xml:space="preserve">D-1 through D-6, G-4, I-12</w:t>
      </w:r>
      <w:r>
        <w:t xml:space="preserve">, plus any Workstream E concept whose Stage 0 study returned positive and has been resourced for Stage 1. This phase is deliberately open-ended rather than calendar-bound, since every task in it is explicitly gated behind a Phase 2/3 pilot’s result (Master Task List Section 5.1’s gating principle) — Phase 4’s actual start date for any given task is determined by evidence, not by the calendar reaching month 8.</w:t>
      </w:r>
    </w:p>
    <w:bookmarkEnd w:id="37"/>
    <w:bookmarkStart w:id="38" w:name="roadmap-summary-table"/>
    <w:p>
      <w:pPr>
        <w:pStyle w:val="Heading3"/>
      </w:pPr>
      <w:r>
        <w:t xml:space="preserve">4.6 Roadmap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Calendar (indicative)</w:t>
            </w:r>
          </w:p>
        </w:tc>
        <w:tc>
          <w:tcPr/>
          <w:p>
            <w:pPr>
              <w:pStyle w:val="Compact"/>
              <w:jc w:val="left"/>
            </w:pPr>
            <w:r>
              <w:t xml:space="preserve">Task count</w:t>
            </w:r>
          </w:p>
        </w:tc>
        <w:tc>
          <w:tcPr/>
          <w:p>
            <w:pPr>
              <w:pStyle w:val="Compact"/>
              <w:jc w:val="left"/>
            </w:pPr>
            <w:r>
              <w:t xml:space="preserve">Primary exit signal</w:t>
            </w:r>
          </w:p>
        </w:tc>
      </w:tr>
      <w:tr>
        <w:tc>
          <w:tcPr/>
          <w:p>
            <w:pPr>
              <w:pStyle w:val="Compact"/>
              <w:jc w:val="left"/>
            </w:pPr>
            <w:r>
              <w:t xml:space="preserve">1 — Foundation</w:t>
            </w:r>
          </w:p>
        </w:tc>
        <w:tc>
          <w:tcPr/>
          <w:p>
            <w:pPr>
              <w:pStyle w:val="Compact"/>
              <w:jc w:val="left"/>
            </w:pPr>
            <w:r>
              <w:t xml:space="preserve">Months 1-2</w:t>
            </w:r>
          </w:p>
        </w:tc>
        <w:tc>
          <w:tcPr/>
          <w:p>
            <w:pPr>
              <w:pStyle w:val="Compact"/>
              <w:jc w:val="left"/>
            </w:pPr>
            <w:r>
              <w:t xml:space="preserve">~16 tasks</w:t>
            </w:r>
          </w:p>
        </w:tc>
        <w:tc>
          <w:tcPr/>
          <w:p>
            <w:pPr>
              <w:pStyle w:val="Compact"/>
              <w:jc w:val="left"/>
            </w:pPr>
            <w:r>
              <w:t xml:space="preserve">Critical/High-priority Workstream A and I tasks passing acceptance criteria</w:t>
            </w:r>
          </w:p>
        </w:tc>
      </w:tr>
      <w:tr>
        <w:tc>
          <w:tcPr/>
          <w:p>
            <w:pPr>
              <w:pStyle w:val="Compact"/>
              <w:jc w:val="left"/>
            </w:pPr>
            <w:r>
              <w:t xml:space="preserve">2 — Consolidation</w:t>
            </w:r>
          </w:p>
        </w:tc>
        <w:tc>
          <w:tcPr/>
          <w:p>
            <w:pPr>
              <w:pStyle w:val="Compact"/>
              <w:jc w:val="left"/>
            </w:pPr>
            <w:r>
              <w:t xml:space="preserve">Months 2-5</w:t>
            </w:r>
          </w:p>
        </w:tc>
        <w:tc>
          <w:tcPr/>
          <w:p>
            <w:pPr>
              <w:pStyle w:val="Compact"/>
              <w:jc w:val="left"/>
            </w:pPr>
            <w:r>
              <w:t xml:space="preserve">~20 tasks</w:t>
            </w:r>
          </w:p>
        </w:tc>
        <w:tc>
          <w:tcPr/>
          <w:p>
            <w:pPr>
              <w:pStyle w:val="Compact"/>
              <w:jc w:val="left"/>
            </w:pPr>
            <w:r>
              <w:t xml:space="preserve">C-1 and I-3 (the two highest-leverage Enhancement/Pre-LLM findings) reaching Established tier</w:t>
            </w:r>
          </w:p>
        </w:tc>
      </w:tr>
      <w:tr>
        <w:tc>
          <w:tcPr/>
          <w:p>
            <w:pPr>
              <w:pStyle w:val="Compact"/>
              <w:jc w:val="left"/>
            </w:pPr>
            <w:r>
              <w:t xml:space="preserve">3 — Integration and Benchmarking</w:t>
            </w:r>
          </w:p>
        </w:tc>
        <w:tc>
          <w:tcPr/>
          <w:p>
            <w:pPr>
              <w:pStyle w:val="Compact"/>
              <w:jc w:val="left"/>
            </w:pPr>
            <w:r>
              <w:t xml:space="preserve">Months 5-8</w:t>
            </w:r>
          </w:p>
        </w:tc>
        <w:tc>
          <w:tcPr/>
          <w:p>
            <w:pPr>
              <w:pStyle w:val="Compact"/>
              <w:jc w:val="left"/>
            </w:pPr>
            <w:r>
              <w:t xml:space="preserve">~14 tasks</w:t>
            </w:r>
          </w:p>
        </w:tc>
        <w:tc>
          <w:tcPr/>
          <w:p>
            <w:pPr>
              <w:pStyle w:val="Compact"/>
              <w:jc w:val="left"/>
            </w:pPr>
            <w:r>
              <w:t xml:space="preserve">G-1/G-2 benchmark results published; C-2’s pipeline consolidation complete</w:t>
            </w:r>
          </w:p>
        </w:tc>
      </w:tr>
      <w:tr>
        <w:tc>
          <w:tcPr/>
          <w:p>
            <w:pPr>
              <w:pStyle w:val="Compact"/>
              <w:jc w:val="left"/>
            </w:pPr>
            <w:r>
              <w:t xml:space="preserve">4 — Long-Horizon</w:t>
            </w:r>
          </w:p>
        </w:tc>
        <w:tc>
          <w:tcPr/>
          <w:p>
            <w:pPr>
              <w:pStyle w:val="Compact"/>
              <w:jc w:val="left"/>
            </w:pPr>
            <w:r>
              <w:t xml:space="preserve">Months 8+</w:t>
            </w:r>
          </w:p>
        </w:tc>
        <w:tc>
          <w:tcPr/>
          <w:p>
            <w:pPr>
              <w:pStyle w:val="Compact"/>
              <w:jc w:val="left"/>
            </w:pPr>
            <w:r>
              <w:t xml:space="preserve">~12 tasks, open-ended</w:t>
            </w:r>
          </w:p>
        </w:tc>
        <w:tc>
          <w:tcPr/>
          <w:p>
            <w:pPr>
              <w:pStyle w:val="Compact"/>
              <w:jc w:val="left"/>
            </w:pPr>
            <w:r>
              <w:t xml:space="preserve">Each task’s own named gate (per Workstream D and E’s individual specifications)</w:t>
            </w:r>
          </w:p>
        </w:tc>
      </w:tr>
    </w:tbl>
    <w:bookmarkEnd w:id="38"/>
    <w:bookmarkEnd w:id="39"/>
    <w:bookmarkStart w:id="46" w:name="X63745a860ee24b590b807658da39fc15ce69ce2"/>
    <w:p>
      <w:pPr>
        <w:pStyle w:val="Heading2"/>
      </w:pPr>
      <w:r>
        <w:t xml:space="preserve">5. Governance Model: Decision Gates and Evidentiary Promotion</w:t>
      </w:r>
    </w:p>
    <w:bookmarkStart w:id="40" w:name="X7de40b38789f4d62a995c02a39c86b3a93bab3f"/>
    <w:p>
      <w:pPr>
        <w:pStyle w:val="Heading3"/>
      </w:pPr>
      <w:r>
        <w:t xml:space="preserve">5.1 Why Governance Is a Named Mechanism, Not an Assumption</w:t>
      </w:r>
    </w:p>
    <w:p>
      <w:pPr>
        <w:pStyle w:val="FirstParagraph"/>
      </w:pPr>
      <w:r>
        <w:t xml:space="preserve">This entire body of work’s credibility rests on a specific discipline: a component is described as Established only when a named test has actually passed, Demonstrated-at-small-scale when tested only on synthetic data, and Proposed when not yet built. That discipline has, until now, been maintained by this body of work’s own internal consistency — each document checks its own claims against this standard. Once real engineering teams are executing 62 tasks in parallel, that discipline needs an actual governance mechanism, or it will erode exactly the way the original architecture proposal’s unstated assumptions eroded into the four defects monograph Section 11 documents. This section specifies that mechanism.</w:t>
      </w:r>
    </w:p>
    <w:bookmarkEnd w:id="40"/>
    <w:bookmarkStart w:id="41" w:name="the-promotion-gate"/>
    <w:p>
      <w:pPr>
        <w:pStyle w:val="Heading3"/>
      </w:pPr>
      <w:r>
        <w:t xml:space="preserve">5.2 The Promotion Gate</w:t>
      </w:r>
    </w:p>
    <w:p>
      <w:pPr>
        <w:pStyle w:val="FirstParagraph"/>
      </w:pPr>
      <w:r>
        <w:t xml:space="preserve">Every task in the consolidated backlog (Master Task List Sections 2-9, this document’s Section 1) moves through exactly three states, mirroring the Feasibility and Validation Report’s own tier vocabulary:</w:t>
      </w:r>
      <w:r>
        <w:t xml:space="preserve"> </w:t>
      </w:r>
      <w:r>
        <w:rPr>
          <w:bCs/>
          <w:b/>
        </w:rPr>
        <w:t xml:space="preserve">Proposed</w:t>
      </w:r>
      <w:r>
        <w:t xml:space="preserve"> </w:t>
      </w:r>
      <w:r>
        <w:t xml:space="preserve">(specified, not yet implemented — the state every task in this document currently occupies),</w:t>
      </w:r>
      <w:r>
        <w:t xml:space="preserve"> </w:t>
      </w:r>
      <w:r>
        <w:rPr>
          <w:bCs/>
          <w:b/>
        </w:rPr>
        <w:t xml:space="preserve">Demonstrated</w:t>
      </w:r>
      <w:r>
        <w:t xml:space="preserve"> </w:t>
      </w:r>
      <w:r>
        <w:t xml:space="preserve">(implemented, acceptance-criterion test passing against synthetic or small-scale data), and</w:t>
      </w:r>
      <w:r>
        <w:t xml:space="preserve"> </w:t>
      </w:r>
      <w:r>
        <w:rPr>
          <w:bCs/>
          <w:b/>
        </w:rPr>
        <w:t xml:space="preserve">Established</w:t>
      </w:r>
      <w:r>
        <w:t xml:space="preserve"> </w:t>
      </w:r>
      <w:r>
        <w:t xml:space="preserve">(validated against real or production-representative data, per that task’s specific acceptance criterion). Promotion from Proposed to Demonstrated requires the task’s named test case(s) passing, reported with actual results (not merely</w:t>
      </w:r>
      <w:r>
        <w:t xml:space="preserve"> </w:t>
      </w:r>
      <w:r>
        <w:t xml:space="preserve">“</w:t>
      </w:r>
      <w:r>
        <w:t xml:space="preserve">implemented, assumed working</w:t>
      </w:r>
      <w:r>
        <w:t xml:space="preserve">”</w:t>
      </w:r>
      <w:r>
        <w:t xml:space="preserve">). Promotion from Demonstrated to Established requires the task’s Stage 3-equivalent validation (for Implementation Specification and Future Concepts Report tasks, this is explicit in each task’s own four-stage or seven-part specification; for Master Task List tasks, it is the task’s stated acceptance criterion run against real data rather than synthetic fixtures).</w:t>
      </w:r>
    </w:p>
    <w:bookmarkEnd w:id="41"/>
    <w:bookmarkStart w:id="42" w:name="who-approves-a-promotion"/>
    <w:p>
      <w:pPr>
        <w:pStyle w:val="Heading3"/>
      </w:pPr>
      <w:r>
        <w:t xml:space="preserve">5.3 Who Approves a Promotion</w:t>
      </w:r>
    </w:p>
    <w:p>
      <w:pPr>
        <w:pStyle w:val="FirstParagraph"/>
      </w:pPr>
      <w:r>
        <w:t xml:space="preserve">Per Section 3.4’s technical-lead role, promotion from Proposed to Demonstrated is self-certified by the implementing engineer against the task’s test plan, spot-checked by the Evidentiary/Test Engineers cluster on a sampling basis (not every task, but enough that self-certification remains honest) — mirroring how the original 18-case test suite was itself built and verified. Promotion from Demonstrated to Established requires a second reviewer from a different role cluster than the implementer’s, specifically to avoid the single-reviewer blind spot that let the original architecture proposal’s four defects (Section 11) go undetected until an independent implementation and adversarial-testing effort surfaced them.</w:t>
      </w:r>
    </w:p>
    <w:bookmarkEnd w:id="42"/>
    <w:bookmarkStart w:id="43" w:name="X0b84795ed349c056bb796a51099d247ea87bdc4"/>
    <w:p>
      <w:pPr>
        <w:pStyle w:val="Heading3"/>
      </w:pPr>
      <w:r>
        <w:t xml:space="preserve">5.4 Feature-Flag Discipline as the Enforcement Mechanism</w:t>
      </w:r>
    </w:p>
    <w:p>
      <w:pPr>
        <w:pStyle w:val="FirstParagraph"/>
      </w:pPr>
      <w:r>
        <w:t xml:space="preserve">Consistent with the Implementation Specification’s Section 5.5 recommendation, every Workstream B-D and I task ships behind a configuration flag defaulting to off. A flag defaults to on only once its task reaches Established — meaning the promotion gate in Section 5.2 is not merely a documentation exercise but has a direct, technical enforcement mechanism: a task cannot silently become load-bearing in production before its evidence justifies that status, because the flag literally will not be on until someone with second-reviewer authority (Section 5.3) has confirmed it should be.</w:t>
      </w:r>
    </w:p>
    <w:bookmarkEnd w:id="43"/>
    <w:bookmarkStart w:id="44" w:name="risk-register-synchronization"/>
    <w:p>
      <w:pPr>
        <w:pStyle w:val="Heading3"/>
      </w:pPr>
      <w:r>
        <w:t xml:space="preserve">5.5 Risk-Register Synchronization</w:t>
      </w:r>
    </w:p>
    <w:p>
      <w:pPr>
        <w:pStyle w:val="FirstParagraph"/>
      </w:pPr>
      <w:r>
        <w:t xml:space="preserve">Every promotion event (in either direction — a task can also be demoted if a later Established-tier validation surfaces a regression) triggers an update to the Feasibility and Validation Report’s Section 3 risk register, per the Master Task List’s Section 10.4 already-stated expectation. This is the specific mechanism by which this document’s execution activity stays synchronized with that report’s risk tracking, rather than the two drifting into two independently-maintained and potentially contradictory pictures of the program’s actual status.</w:t>
      </w:r>
    </w:p>
    <w:bookmarkEnd w:id="44"/>
    <w:bookmarkStart w:id="45" w:name="a-standing-exception-workstream-e"/>
    <w:p>
      <w:pPr>
        <w:pStyle w:val="Heading3"/>
      </w:pPr>
      <w:r>
        <w:t xml:space="preserve">5.6 A Standing Exception: Workstream E</w:t>
      </w:r>
    </w:p>
    <w:p>
      <w:pPr>
        <w:pStyle w:val="FirstParagraph"/>
      </w:pPr>
      <w:r>
        <w:t xml:space="preserve">Workstream E’s Stage 0 feasibility studies (Future Concepts Report Sections 2-6) do not follow the Proposed-Demonstrated-Established sequence directly — their output is a go/no-go recommendation, not a shippable component, so their governance is simpler: a Stage 0 study’s completion is reviewed by the technical lead and the Applied Research Engineers cluster jointly, and a positive result converts the concept into a new Proposed-tier task (entering Section 5.2’s normal gate) rather than being promoted itself.</w:t>
      </w:r>
    </w:p>
    <w:bookmarkEnd w:id="45"/>
    <w:bookmarkEnd w:id="46"/>
    <w:bookmarkStart w:id="49" w:name="success-metrics-and-kpis"/>
    <w:p>
      <w:pPr>
        <w:pStyle w:val="Heading2"/>
      </w:pPr>
      <w:r>
        <w:t xml:space="preserve">6. Success Metrics and KPIs</w:t>
      </w:r>
    </w:p>
    <w:bookmarkStart w:id="47" w:name="program-level-metrics"/>
    <w:p>
      <w:pPr>
        <w:pStyle w:val="Heading3"/>
      </w:pPr>
      <w:r>
        <w:t xml:space="preserve">6.1 Program-Level Metrics</w:t>
      </w:r>
    </w:p>
    <w:p>
      <w:pPr>
        <w:pStyle w:val="FirstParagraph"/>
      </w:pPr>
      <w:r>
        <w:t xml:space="preserve">Four metrics track the program as a whole, each directly derived from mechanisms this body of work has already established rather than introduced fresh for this document:</w:t>
      </w:r>
      <w:r>
        <w:t xml:space="preserve"> </w:t>
      </w:r>
      <w:r>
        <w:rPr>
          <w:bCs/>
          <w:b/>
        </w:rPr>
        <w:t xml:space="preserve">backlog evidentiary distribution</w:t>
      </w:r>
      <w:r>
        <w:t xml:space="preserve"> </w:t>
      </w:r>
      <w:r>
        <w:t xml:space="preserve">— the count of tasks at Proposed, Demonstrated, and Established at any point in time, tracked as a simple three-bar chart that should show visible rightward movement (Proposed to Demonstrated to Established) month over month;</w:t>
      </w:r>
      <w:r>
        <w:t xml:space="preserve"> </w:t>
      </w:r>
      <w:r>
        <w:rPr>
          <w:bCs/>
          <w:b/>
        </w:rPr>
        <w:t xml:space="preserve">risk-register trend</w:t>
      </w:r>
      <w:r>
        <w:t xml:space="preserve"> </w:t>
      </w:r>
      <w:r>
        <w:t xml:space="preserve">— the count and severity of open items in the Feasibility and Validation Report’s Section 3 register, which should trend down as Workstream A tasks close their corresponding risks;</w:t>
      </w:r>
      <w:r>
        <w:t xml:space="preserve"> </w:t>
      </w:r>
      <w:r>
        <w:rPr>
          <w:bCs/>
          <w:b/>
        </w:rPr>
        <w:t xml:space="preserve">acceptance-criterion pass rate</w:t>
      </w:r>
      <w:r>
        <w:t xml:space="preserve"> </w:t>
      </w:r>
      <w:r>
        <w:t xml:space="preserve">— the fraction of attempted acceptance-criterion tests that pass on first attempt, a leading indicator of specification quality (a persistently low pass rate suggests this body of work’s specifications, however rigorous on paper, are not translating cleanly into implementable code); and</w:t>
      </w:r>
      <w:r>
        <w:t xml:space="preserve"> </w:t>
      </w:r>
      <w:r>
        <w:rPr>
          <w:bCs/>
          <w:b/>
        </w:rPr>
        <w:t xml:space="preserve">the master benchmark scorecard</w:t>
      </w:r>
      <w:r>
        <w:t xml:space="preserve"> </w:t>
      </w:r>
      <w:r>
        <w:t xml:space="preserve">— SPS, TER, RHM (monograph Section 21.4) plus the Comparative Landscape Report’s suggested cross-references (OmniDocBench edit-distance, ViDoRe nDCG@5, Vectara-comparable hallucination rate), tracked over time as Workstream G tasks complete.</w:t>
      </w:r>
    </w:p>
    <w:bookmarkEnd w:id="47"/>
    <w:bookmarkStart w:id="48" w:name="workstream-specific-metrics"/>
    <w:p>
      <w:pPr>
        <w:pStyle w:val="Heading3"/>
      </w:pPr>
      <w:r>
        <w:t xml:space="preserve">6.2 Workstream-Specific Metrics</w:t>
      </w:r>
    </w:p>
    <w:p>
      <w:pPr>
        <w:pStyle w:val="FirstParagraph"/>
      </w:pPr>
      <w:r>
        <w:t xml:space="preserve">Table 6.1 gives one primary metric per workstream, chosen to be the single number that would most directly indicate whether that workstream is on track.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Workstream</w:t>
            </w:r>
          </w:p>
        </w:tc>
        <w:tc>
          <w:tcPr/>
          <w:p>
            <w:pPr>
              <w:pStyle w:val="Compact"/>
              <w:jc w:val="left"/>
            </w:pPr>
            <w:r>
              <w:t xml:space="preserve">Primary metric</w:t>
            </w:r>
          </w:p>
        </w:tc>
      </w:tr>
      <w:tr>
        <w:tc>
          <w:tcPr/>
          <w:p>
            <w:pPr>
              <w:pStyle w:val="Compact"/>
              <w:jc w:val="left"/>
            </w:pPr>
            <w:r>
              <w:t xml:space="preserve">A — Evidentiary Closure</w:t>
            </w:r>
          </w:p>
        </w:tc>
        <w:tc>
          <w:tcPr/>
          <w:p>
            <w:pPr>
              <w:pStyle w:val="Compact"/>
              <w:jc w:val="left"/>
            </w:pPr>
            <w:r>
              <w:t xml:space="preserve">Count of the original seven NOT YET EXECUTED test cases now passing</w:t>
            </w:r>
          </w:p>
        </w:tc>
      </w:tr>
      <w:tr>
        <w:tc>
          <w:tcPr/>
          <w:p>
            <w:pPr>
              <w:pStyle w:val="Compact"/>
              <w:jc w:val="left"/>
            </w:pPr>
            <w:r>
              <w:t xml:space="preserve">B/C/D — Enhancements</w:t>
            </w:r>
          </w:p>
        </w:tc>
        <w:tc>
          <w:tcPr/>
          <w:p>
            <w:pPr>
              <w:pStyle w:val="Compact"/>
              <w:jc w:val="left"/>
            </w:pPr>
            <w:r>
              <w:t xml:space="preserve">Count of the nine Implementation Specification features at Established tier</w:t>
            </w:r>
          </w:p>
        </w:tc>
      </w:tr>
      <w:tr>
        <w:tc>
          <w:tcPr/>
          <w:p>
            <w:pPr>
              <w:pStyle w:val="Compact"/>
              <w:jc w:val="left"/>
            </w:pPr>
            <w:r>
              <w:t xml:space="preserve">E — Future Concepts</w:t>
            </w:r>
          </w:p>
        </w:tc>
        <w:tc>
          <w:tcPr/>
          <w:p>
            <w:pPr>
              <w:pStyle w:val="Compact"/>
              <w:jc w:val="left"/>
            </w:pPr>
            <w:r>
              <w:t xml:space="preserve">Count of Stage 0 studies completed with a documented go/no-go recommendation</w:t>
            </w:r>
          </w:p>
        </w:tc>
      </w:tr>
      <w:tr>
        <w:tc>
          <w:tcPr/>
          <w:p>
            <w:pPr>
              <w:pStyle w:val="Compact"/>
              <w:jc w:val="left"/>
            </w:pPr>
            <w:r>
              <w:t xml:space="preserve">F — Infrastructure</w:t>
            </w:r>
          </w:p>
        </w:tc>
        <w:tc>
          <w:tcPr/>
          <w:p>
            <w:pPr>
              <w:pStyle w:val="Compact"/>
              <w:jc w:val="left"/>
            </w:pPr>
            <w:r>
              <w:t xml:space="preserve">Percentage of monograph Section 4.3’s specified topology actually deployed</w:t>
            </w:r>
          </w:p>
        </w:tc>
      </w:tr>
      <w:tr>
        <w:tc>
          <w:tcPr/>
          <w:p>
            <w:pPr>
              <w:pStyle w:val="Compact"/>
              <w:jc w:val="left"/>
            </w:pPr>
            <w:r>
              <w:t xml:space="preserve">G — Evaluation</w:t>
            </w:r>
          </w:p>
        </w:tc>
        <w:tc>
          <w:tcPr/>
          <w:p>
            <w:pPr>
              <w:pStyle w:val="Compact"/>
              <w:jc w:val="left"/>
            </w:pPr>
            <w:r>
              <w:t xml:space="preserve">Count of benchmark protocols executed with published results (of the 4 specified)</w:t>
            </w:r>
          </w:p>
        </w:tc>
      </w:tr>
      <w:tr>
        <w:tc>
          <w:tcPr/>
          <w:p>
            <w:pPr>
              <w:pStyle w:val="Compact"/>
              <w:jc w:val="left"/>
            </w:pPr>
            <w:r>
              <w:t xml:space="preserve">H — Integration</w:t>
            </w:r>
          </w:p>
        </w:tc>
        <w:tc>
          <w:tcPr/>
          <w:p>
            <w:pPr>
              <w:pStyle w:val="Compact"/>
              <w:jc w:val="left"/>
            </w:pPr>
            <w:r>
              <w:t xml:space="preserve">Count of orchestration-framework connectors passing conformance tests</w:t>
            </w:r>
          </w:p>
        </w:tc>
      </w:tr>
      <w:tr>
        <w:tc>
          <w:tcPr/>
          <w:p>
            <w:pPr>
              <w:pStyle w:val="Compact"/>
              <w:jc w:val="left"/>
            </w:pPr>
            <w:r>
              <w:t xml:space="preserve">I — Pre-LLM Components</w:t>
            </w:r>
          </w:p>
        </w:tc>
        <w:tc>
          <w:tcPr/>
          <w:p>
            <w:pPr>
              <w:pStyle w:val="Compact"/>
              <w:jc w:val="left"/>
            </w:pPr>
            <w:r>
              <w:t xml:space="preserve">Count of the six components at Established tier, weighted toward I-1 and I-3’s Critical/High priority</w:t>
            </w:r>
          </w:p>
        </w:tc>
      </w:tr>
    </w:tbl>
    <w:bookmarkEnd w:id="48"/>
    <w:bookmarkEnd w:id="49"/>
    <w:bookmarkStart w:id="53" w:name="risk-mitigation-approach"/>
    <w:p>
      <w:pPr>
        <w:pStyle w:val="Heading2"/>
      </w:pPr>
      <w:r>
        <w:t xml:space="preserve">7. Risk Mitigation Approach</w:t>
      </w:r>
    </w:p>
    <w:bookmarkStart w:id="50" w:name="inherited-risks"/>
    <w:p>
      <w:pPr>
        <w:pStyle w:val="Heading3"/>
      </w:pPr>
      <w:r>
        <w:t xml:space="preserve">7.1 Inherited Risks</w:t>
      </w:r>
    </w:p>
    <w:p>
      <w:pPr>
        <w:pStyle w:val="FirstParagraph"/>
      </w:pPr>
      <w:r>
        <w:t xml:space="preserve">This program inherits the Feasibility and Validation Report’s Section 3 risk register in full; Section 5.5 of this document already specifies how that register stays synchronized with execution. No new risk-identification framework is introduced here — the existing register, extended as Workstream I and this document’s own tasks surface new risks, remains the single risk-tracking artifact.</w:t>
      </w:r>
    </w:p>
    <w:bookmarkEnd w:id="50"/>
    <w:bookmarkStart w:id="51" w:name="two-new-execution-specific-risks"/>
    <w:p>
      <w:pPr>
        <w:pStyle w:val="Heading3"/>
      </w:pPr>
      <w:r>
        <w:t xml:space="preserve">7.2 Two New, Execution-Specific Risks</w:t>
      </w:r>
    </w:p>
    <w:p>
      <w:pPr>
        <w:pStyle w:val="FirstParagraph"/>
      </w:pPr>
      <w:r>
        <w:t xml:space="preserve">Two risks are specific to the act of executing this program, distinct from the architectural and evidentiary risks the existing register already covers, and are added here as the register’s first execution-phase entries.</w:t>
      </w:r>
      <w:r>
        <w:t xml:space="preserve"> </w:t>
      </w:r>
      <w:r>
        <w:rPr>
          <w:bCs/>
          <w:b/>
        </w:rPr>
        <w:t xml:space="preserve">Specification drift</w:t>
      </w:r>
      <w:r>
        <w:t xml:space="preserve">: as engineers implement against this body of work’s eight prior documents, they will find ambiguities and edge cases those documents did not anticipate (the same way the original architecture proposal’s ambiguities became Section 11’s four defects) — the mitigation is Section 5.3’s second-reviewer discipline plus a standing practice of updating the source document (not just the code) when a genuine specification gap is found, so the documentation and the implementation do not silently diverge.</w:t>
      </w:r>
      <w:r>
        <w:t xml:space="preserve"> </w:t>
      </w:r>
      <w:r>
        <w:rPr>
          <w:bCs/>
          <w:b/>
        </w:rPr>
        <w:t xml:space="preserve">Evidentiary erosion under schedule pressure</w:t>
      </w:r>
      <w:r>
        <w:t xml:space="preserve">: the single greatest threat to this program’s credibility is a future team, under deadline pressure, marking a task Established without its acceptance criterion actually passing — the mitigation is Section 5.4’s feature-flag enforcement mechanism specifically, since it makes evidentiary erosion a technical impossibility (the flag cannot default to on) rather than merely a policy violation someone could route around under pressure.</w:t>
      </w:r>
    </w:p>
    <w:bookmarkEnd w:id="51"/>
    <w:bookmarkStart w:id="52" w:name="escalation-path"/>
    <w:p>
      <w:pPr>
        <w:pStyle w:val="Heading3"/>
      </w:pPr>
      <w:r>
        <w:t xml:space="preserve">7.3 Escalation Path</w:t>
      </w:r>
    </w:p>
    <w:p>
      <w:pPr>
        <w:pStyle w:val="FirstParagraph"/>
      </w:pPr>
      <w:r>
        <w:t xml:space="preserve">Any task blocked for more than two weeks past its phase’s expected window (Section 4.6) should be escalated to the technical lead for re-triage — either re-prioritized, re-scoped, or explicitly deferred to a later phase with the reason recorded, rather than left in an ambiguous, silently-stalled state that would undermine Section 6.1’s backlog-distribution metric’s honesty.</w:t>
      </w:r>
    </w:p>
    <w:bookmarkEnd w:id="52"/>
    <w:bookmarkEnd w:id="53"/>
    <w:bookmarkStart w:id="58" w:name="reporting-cadence"/>
    <w:p>
      <w:pPr>
        <w:pStyle w:val="Heading2"/>
      </w:pPr>
      <w:r>
        <w:t xml:space="preserve">8. Reporting Cadence</w:t>
      </w:r>
    </w:p>
    <w:bookmarkStart w:id="54" w:name="weekly"/>
    <w:p>
      <w:pPr>
        <w:pStyle w:val="Heading3"/>
      </w:pPr>
      <w:r>
        <w:t xml:space="preserve">8.1 Weekly</w:t>
      </w:r>
    </w:p>
    <w:p>
      <w:pPr>
        <w:pStyle w:val="FirstParagraph"/>
      </w:pPr>
      <w:r>
        <w:t xml:space="preserve">A short status update against Section 4’s current phase’s task list — which tasks moved state (Proposed/Demonstrated/Established) in the past week, and any new blockers — circulated to all five role clusters.</w:t>
      </w:r>
    </w:p>
    <w:bookmarkEnd w:id="54"/>
    <w:bookmarkStart w:id="55" w:name="monthly"/>
    <w:p>
      <w:pPr>
        <w:pStyle w:val="Heading3"/>
      </w:pPr>
      <w:r>
        <w:t xml:space="preserve">8.2 Monthly</w:t>
      </w:r>
    </w:p>
    <w:p>
      <w:pPr>
        <w:pStyle w:val="FirstParagraph"/>
      </w:pPr>
      <w:r>
        <w:t xml:space="preserve">A full update to Section 6.1’s four program-level metrics, plus a review of the risk register (Section 7.1) for any items requiring re-prioritization, presented in the same format the Feasibility and Validation Report already established for that register so the two remain directly comparable over time.</w:t>
      </w:r>
    </w:p>
    <w:bookmarkEnd w:id="55"/>
    <w:bookmarkStart w:id="56" w:name="phase-end"/>
    <w:p>
      <w:pPr>
        <w:pStyle w:val="Heading3"/>
      </w:pPr>
      <w:r>
        <w:t xml:space="preserve">8.3 Phase-End</w:t>
      </w:r>
    </w:p>
    <w:p>
      <w:pPr>
        <w:pStyle w:val="FirstParagraph"/>
      </w:pPr>
      <w:r>
        <w:t xml:space="preserve">At the close of each of Section 4’s four phases, a full re-derivation of this document’s remaining roadmap against actual progress — not a fixed plan executed blindly, but a genuine re-planning checkpoint, since Section 4.2 already specifies that Phase 1’s exit criterion is evidentiary, not calendar-based, and the same principle should govern every subsequent phase transition.</w:t>
      </w:r>
    </w:p>
    <w:bookmarkEnd w:id="56"/>
    <w:bookmarkStart w:id="57" w:name="documentation-maintenance"/>
    <w:p>
      <w:pPr>
        <w:pStyle w:val="Heading3"/>
      </w:pPr>
      <w:r>
        <w:t xml:space="preserve">8.4 Documentation Maintenance</w:t>
      </w:r>
    </w:p>
    <w:p>
      <w:pPr>
        <w:pStyle w:val="FirstParagraph"/>
      </w:pPr>
      <w:r>
        <w:t xml:space="preserve">Per the Master Task List’s Section 10.3, every task that changes a monograph-documented component’s behavior should be accompanied by a corresponding revision to that source document. This document itself should be revisited and revised at each phase-end checkpoint (Section 8.3), so that</w:t>
      </w:r>
      <w:r>
        <w:t xml:space="preserve"> </w:t>
      </w:r>
      <w:r>
        <w:t xml:space="preserve">“</w:t>
      </w:r>
      <w:r>
        <w:t xml:space="preserve">next steps</w:t>
      </w:r>
      <w:r>
        <w:t xml:space="preserve">”</w:t>
      </w:r>
      <w:r>
        <w:t xml:space="preserve"> </w:t>
      </w:r>
      <w:r>
        <w:t xml:space="preserve">remains an accurate, current statement rather than a snapshot that quietly goes stale while the underlying backlog moves on around it.</w:t>
      </w:r>
    </w:p>
    <w:bookmarkEnd w:id="57"/>
    <w:bookmarkEnd w:id="58"/>
    <w:bookmarkStart w:id="59" w:name="conclusion"/>
    <w:p>
      <w:pPr>
        <w:pStyle w:val="Heading2"/>
      </w:pPr>
      <w:r>
        <w:t xml:space="preserve">Conclusion</w:t>
      </w:r>
    </w:p>
    <w:p>
      <w:pPr>
        <w:pStyle w:val="FirstParagraph"/>
      </w:pPr>
      <w:r>
        <w:t xml:space="preserve">This document closes the loop this body of work has been building toward across eight prior documents: a monograph that specified what AEGIS is, a feasibility report that assessed whether it was ready, a test-cases document that made its evidence inspectable, a landscape report that benchmarked it externally, three research documents that identified what could still be added, and a master task list that organized all of it into a backlog. What was missing was the answer to</w:t>
      </w:r>
      <w:r>
        <w:t xml:space="preserve"> </w:t>
      </w:r>
      <w:r>
        <w:t xml:space="preserve">“</w:t>
      </w:r>
      <w:r>
        <w:t xml:space="preserve">and then what</w:t>
      </w:r>
      <w:r>
        <w:t xml:space="preserve">”</w:t>
      </w:r>
      <w:r>
        <w:t xml:space="preserve"> </w:t>
      </w:r>
      <w:r>
        <w:t xml:space="preserve">— a concrete team shape, a phased calendar, a governance mechanism ensuring the evidentiary discipline this entire body of work depends on survives contact with real execution pressure, and a way of measuring, at any point, whether the program is actually working rather than merely active. The single most important mechanism in this document is Section 5.4’s feature-flag enforcement: every other safeguard here is a process that could, in principle, be skipped under pressure, but a flag that will not default to on until a second reviewer has confirmed Established-tier evidence is a technical fact, not a policy that depends on anyone remembering to follow it — the same kind of provable-rather-than-hoped-for guarantee this entire body of work has favored, from Theorem 6.1’s acyclicity proof onward, applied here to the one thing every prior document has correctly declined to guarantee on paper alone: that this actually gets built.</w:t>
      </w:r>
    </w:p>
    <w:bookmarkEnd w:id="59"/>
    <w:bookmarkEnd w:id="60"/>
    <w:sectPr>
      <w:pgSz w:h="12240" w:orient="landscape" w:w="158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2026-07-20T02:54:08Z</dcterms:created>
  <dcterms:modified xsi:type="dcterms:W3CDTF">2026-07-20T02:54:08Z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Next Steps and Development Approach: Execution Plan for the Full Program of Work</vt:lpwstr>
  </property>
</Properties>
</file>