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1.png" ContentType="image/png"/>
  <Override PartName="/word/media/rId83.png" ContentType="image/png"/>
  <Override PartName="/word/media/rId123.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A</w:t>
      </w:r>
      <w:r>
        <w:t xml:space="preserve"> </w:t>
      </w:r>
      <w:r>
        <w:t xml:space="preserve">Pre-LLM</w:t>
      </w:r>
      <w:r>
        <w:t xml:space="preserve"> </w:t>
      </w:r>
      <w:r>
        <w:t xml:space="preserve">Document</w:t>
      </w:r>
      <w:r>
        <w:t xml:space="preserve"> </w:t>
      </w:r>
      <w:r>
        <w:t xml:space="preserve">Intelligence</w:t>
      </w:r>
      <w:r>
        <w:t xml:space="preserve"> </w:t>
      </w:r>
      <w:r>
        <w:t xml:space="preserve">Operating</w:t>
      </w:r>
      <w:r>
        <w:t xml:space="preserve"> </w:t>
      </w:r>
      <w:r>
        <w:t xml:space="preserve">System:</w:t>
      </w:r>
      <w:r>
        <w:t xml:space="preserve"> </w:t>
      </w:r>
      <w:r>
        <w:t xml:space="preserve">Mathematical</w:t>
      </w:r>
      <w:r>
        <w:t xml:space="preserve"> </w:t>
      </w:r>
      <w:r>
        <w:t xml:space="preserve">Foundations,</w:t>
      </w:r>
      <w:r>
        <w:t xml:space="preserve"> </w:t>
      </w:r>
      <w:r>
        <w:t xml:space="preserve">Reference</w:t>
      </w:r>
      <w:r>
        <w:t xml:space="preserve"> </w:t>
      </w:r>
      <w:r>
        <w:t xml:space="preserve">Architecture,</w:t>
      </w:r>
      <w:r>
        <w:t xml:space="preserve"> </w:t>
      </w:r>
      <w:r>
        <w:t xml:space="preserve">Implementation</w:t>
      </w:r>
      <w:r>
        <w:t xml:space="preserve"> </w:t>
      </w:r>
      <w:r>
        <w:t xml:space="preserve">Hardening,</w:t>
      </w:r>
      <w:r>
        <w:t xml:space="preserve"> </w:t>
      </w:r>
      <w:r>
        <w:t xml:space="preserve">and</w:t>
      </w:r>
      <w:r>
        <w:t xml:space="preserve"> </w:t>
      </w:r>
      <w:r>
        <w:t xml:space="preserve">Evaluation</w:t>
      </w:r>
      <w:r>
        <w:t xml:space="preserve"> </w:t>
      </w:r>
      <w:r>
        <w:t xml:space="preserve">Protocol</w:t>
      </w:r>
      <w:r>
        <w:t xml:space="preserve"> </w:t>
      </w:r>
      <w:r>
        <w:t xml:space="preserve">—</w:t>
      </w:r>
      <w:r>
        <w:t xml:space="preserve"> </w:t>
      </w:r>
      <w:r>
        <w:t xml:space="preserve">Second</w:t>
      </w:r>
      <w:r>
        <w:t xml:space="preserve"> </w:t>
      </w:r>
      <w:r>
        <w:t xml:space="preserve">Edition,</w:t>
      </w:r>
      <w:r>
        <w:t xml:space="preserve"> </w:t>
      </w:r>
      <w:r>
        <w:t xml:space="preserve">Extended</w:t>
      </w:r>
      <w:r>
        <w:t xml:space="preserve"> </w:t>
      </w:r>
      <w:r>
        <w:t xml:space="preserve">Technical</w:t>
      </w:r>
      <w:r>
        <w:t xml:space="preserve"> </w:t>
      </w:r>
      <w:r>
        <w:t xml:space="preserve">Monograph</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Abstract ………………………………………………………………………. 3</w:t>
      </w:r>
      <w:r>
        <w:br/>
      </w:r>
      <w:r>
        <w:t xml:space="preserve">1. Introduction ………………………………………………………………… 5</w:t>
      </w:r>
      <w:r>
        <w:br/>
      </w:r>
      <w:r>
        <w:t xml:space="preserve">2. Related Work ………………………………………………………………… 8</w:t>
      </w:r>
      <w:r>
        <w:br/>
      </w:r>
      <w:r>
        <w:t xml:space="preserve">3. Identified Engineering Bottlenecks and Terminology ………………………………. 11</w:t>
      </w:r>
      <w:r>
        <w:br/>
      </w:r>
      <w:r>
        <w:t xml:space="preserve">4. System Overview and Reference Architecture ……………………………………… 13</w:t>
      </w:r>
      <w:r>
        <w:br/>
      </w:r>
      <w:r>
        <w:t xml:space="preserve">5. The Master Document Representation and Twelve Mathematical Engines ………………… 17</w:t>
      </w:r>
      <w:r>
        <w:br/>
      </w:r>
      <w:r>
        <w:t xml:space="preserve">6. Graph-Driven Spatial Topology Anchoring ………………………………………… 22</w:t>
      </w:r>
      <w:r>
        <w:br/>
      </w:r>
      <w:r>
        <w:t xml:space="preserve">7. Layout-Aware Elastic Chunking …………………………………………………. 26</w:t>
      </w:r>
      <w:r>
        <w:br/>
      </w:r>
      <w:r>
        <w:t xml:space="preserve">8. Vector-Space Embedding and Retrieval Value Scoring ………………………………. 28</w:t>
      </w:r>
      <w:r>
        <w:br/>
      </w:r>
      <w:r>
        <w:t xml:space="preserve">9. Budget-Aware Context Packing via Constrained Optimization ………………………… 29</w:t>
      </w:r>
      <w:r>
        <w:br/>
      </w:r>
      <w:r>
        <w:t xml:space="preserve">10. Information-Theoretic Analysis ……………………………………………….. 33</w:t>
      </w:r>
      <w:r>
        <w:br/>
      </w:r>
      <w:r>
        <w:t xml:space="preserve">11. Correctness Analysis and Implementation Hardening ………………………………. 36</w:t>
      </w:r>
      <w:r>
        <w:br/>
      </w:r>
      <w:r>
        <w:t xml:space="preserve">12. Extension to Multimodal Assets and Large-Scale Optimization ……………………… 40</w:t>
      </w:r>
      <w:r>
        <w:br/>
      </w:r>
      <w:r>
        <w:t xml:space="preserve">13. Adaptive Routing via Contextual Bandits ……………………………………….. 44</w:t>
      </w:r>
      <w:r>
        <w:br/>
      </w:r>
      <w:r>
        <w:t xml:space="preserve">14. Memory Architecture …………………………………………………………. 46</w:t>
      </w:r>
      <w:r>
        <w:br/>
      </w:r>
      <w:r>
        <w:t xml:space="preserve">15. Hybrid Retrieval System ……………………………………………………… 49</w:t>
      </w:r>
      <w:r>
        <w:br/>
      </w:r>
      <w:r>
        <w:t xml:space="preserve">16. Token Economy and Cost Accounting …………………………………………….. 52</w:t>
      </w:r>
      <w:r>
        <w:br/>
      </w:r>
      <w:r>
        <w:t xml:space="preserve">17. Security, Multi-Tenancy, and Access Control ……………………………………. 54</w:t>
      </w:r>
      <w:r>
        <w:br/>
      </w:r>
      <w:r>
        <w:t xml:space="preserve">18. Production Workflows ………………………………………………………… 56</w:t>
      </w:r>
      <w:r>
        <w:br/>
      </w:r>
      <w:r>
        <w:t xml:space="preserve">19. Verification, Citation Integrity, and Observability …………………………….. 59</w:t>
      </w:r>
      <w:r>
        <w:br/>
      </w:r>
      <w:r>
        <w:t xml:space="preserve">20. Complexity and Scalability Analysis …………………………………………… 61</w:t>
      </w:r>
      <w:r>
        <w:br/>
      </w:r>
      <w:r>
        <w:t xml:space="preserve">21. Evaluation Protocol …………………………………………………………. 63</w:t>
      </w:r>
      <w:r>
        <w:br/>
      </w:r>
      <w:r>
        <w:t xml:space="preserve">22. Threats to Validity …………………………………………………………. 65</w:t>
      </w:r>
      <w:r>
        <w:br/>
      </w:r>
      <w:r>
        <w:t xml:space="preserve">23. Future Work ………………………………………………………………… 67</w:t>
      </w:r>
      <w:r>
        <w:br/>
      </w:r>
      <w:r>
        <w:t xml:space="preserve">24. Conclusion …………………………………………………………………. 69</w:t>
      </w:r>
      <w:r>
        <w:br/>
      </w:r>
      <w:r>
        <w:t xml:space="preserve">References …………………………………………………………………….. 71</w:t>
      </w:r>
      <w:r>
        <w:br/>
      </w:r>
      <w:r>
        <w:t xml:space="preserve">Appendix A — Glossary of Symbols …………………………………………………. 72</w:t>
      </w:r>
      <w:r>
        <w:br/>
      </w:r>
      <w:r>
        <w:t xml:space="preserve">Appendix B — Reading-Order Recovery: Reference Pseudocode …………………………… 74</w:t>
      </w:r>
      <w:r>
        <w:br/>
      </w:r>
      <w:r>
        <w:t xml:space="preserve">Appendix C — 0/1 Knapsack DP: Reference Pseudocode …………………………………. 75</w:t>
      </w:r>
      <w:r>
        <w:br/>
      </w:r>
      <w:r>
        <w:t xml:space="preserve">Appendix D — 18-Case Test Suite Manifest ………………………………………….. 76</w:t>
      </w:r>
      <w:r>
        <w:br/>
      </w:r>
      <w:r>
        <w:t xml:space="preserve">Appendix E — Engine and Component Implementation-Status Matrix ………………………. 78</w:t>
      </w:r>
      <w:r>
        <w:br/>
      </w:r>
      <w:r>
        <w:t xml:space="preserve">Appendix F — Worked Numerical Example: Ingestion Through Packed Context ………………. 80</w:t>
      </w:r>
      <w:r>
        <w:br/>
      </w:r>
      <w:r>
        <w:t xml:space="preserve">Appendix G — Engine Interface Contracts …………………………………………… 83</w:t>
      </w:r>
    </w:p>
    <w:bookmarkEnd w:id="20"/>
    <w:bookmarkStart w:id="199" w:name="abstract"/>
    <w:p>
      <w:pPr>
        <w:pStyle w:val="Heading1"/>
      </w:pPr>
      <w:r>
        <w:t xml:space="preserve">Abstract</w:t>
      </w:r>
    </w:p>
    <w:p>
      <w:pPr>
        <w:pStyle w:val="FirstParagraph"/>
      </w:pPr>
      <w:r>
        <w:t xml:space="preserve">Retrieval-Augmented Generation (RAG) pipelines built on naive chunk-and-embed extraction routinely discard the two structural properties that make enterprise documents legible in the first place: their spatial layout and their reading order. A form field, a table header, a multi-column sidebar, and a footnote all collapse into the same flat token stream once a PDF is linearized by conventional OCR, and downstream retrieval then packs that stream into a fixed context window using similarity rank alone — a policy that is provably unable to avoid truncating a large, high-value structural unit such as a table mid-row while simultaneously wasting budget on redundant low-value passages.</w:t>
      </w:r>
    </w:p>
    <w:p>
      <w:pPr>
        <w:pStyle w:val="BodyText"/>
      </w:pPr>
      <w:r>
        <w:t xml:space="preserve">This monograph presents AEGIS-DocIntel (internally, AMDI-OS — the Adaptive Mathematical Document Intelligence Operating System), a document intelligence architecture that inserts a deterministic, mathematically specified transformation layer between raw document ingestion and vector embedding. Twelve mathematical engines — geometric, frequency-based, recurrence-based, relational, template, semantic, graph-theoretic, topological, spectral, tensor-algebraic, information-theoretic, and retrieval-theoretic — convert each document into a synchronized multi-layer representation before any embedding model or language model observes it. Three of these layers receive full formal treatment in this monograph: a directed spatial graph that recovers a provably acyclic and deterministic reading order (Section 6); a rule-based elastic chunker that respects structural boundaries rather than fixed token counts (Section 7); and a constrained-optimization context packer that treats the assembly of an LLM prompt as a knapsack problem solvable exactly by dynamic programming, and at scale by Lagrangian relaxation (Sections 8-9).</w:t>
      </w:r>
    </w:p>
    <w:p>
      <w:pPr>
        <w:pStyle w:val="BodyText"/>
      </w:pPr>
      <w:r>
        <w:t xml:space="preserve">Consistent with the first edition of this work, we do not present the architecture as a settled result. Section 11 documents four correctness defects that were only discoverable by implementing and adversarially testing each stage - a non-terminating reading-order recovery routine, an unimplemented chunking stage, an unbounded-memory knapsack solver, and the absence of any automated test suite - together with the fixes applied and the verification method used for each. Section 12 extends the architecture to non-textual assets (images, vector-graphic flowcharts, and tabular data), generalizes context packing from single-choice to multi-choice knapsack selection across representation tiers, and evaluates and explicitly rejects a spectral (Fiedler-vector) reading-order design on the grounds that a symmetric affinity matrix cannot, by construction, encode a directional reading flow.</w:t>
      </w:r>
    </w:p>
    <w:p>
      <w:pPr>
        <w:pStyle w:val="BodyText"/>
      </w:pPr>
      <w:r>
        <w:t xml:space="preserve">Beyond the original architecture, this edition situates the three hardened components inside the full operating-system context in which they run: a twelve-engine mathematical substrate (Section 5), a two-axis memory architecture combining an L0-L5 content-abstraction hierarchy with a four-tier operational cache (Section 14), a seven-method hybrid retrieval system fused by Reciprocal Rank Fusion (Section 15), a token-economy and cost-accounting layer (Section 16), and the production workflows, security model, and observability stack that this class of system requires at scale (Sections 17-19). We close with a complexity and scalability analysis (Section 20), an explicit evaluation protocol against DocVQA and TAT-QA (Section 21), a threats-to-validity discussion (Section 22), and a concrete list of open engineering items (Section 23). Throughout, we distinguish rigorously between what has been formally specified, what has been implemented and unit-tested against a reference codebase, and what remains an open empirical question - because in a system whose central claim is deterministic, budget-safe behavior, that distinction is the paper’s real contribution.</w:t>
      </w:r>
    </w:p>
    <w:p>
      <w:pPr>
        <w:pStyle w:val="BodyText"/>
      </w:pPr>
      <w:r>
        <w:rPr>
          <w:bCs/>
          <w:b/>
        </w:rPr>
        <w:t xml:space="preserve">Keywords:</w:t>
      </w:r>
      <w:r>
        <w:t xml:space="preserve"> </w:t>
      </w:r>
      <w:r>
        <w:t xml:space="preserve">document intelligence, retrieval-augmented generation, spatial graph parsing, reading-order recovery, knapsack optimization, dynamic programming, Lagrangian relaxation, information theory, hierarchical memory, hybrid retrieval, multimodal RAG, token economy.</w:t>
      </w:r>
    </w:p>
    <w:bookmarkStart w:id="26" w:name="introduction"/>
    <w:p>
      <w:pPr>
        <w:pStyle w:val="Heading2"/>
      </w:pPr>
      <w:r>
        <w:t xml:space="preserve">1. Introduction</w:t>
      </w:r>
    </w:p>
    <w:bookmarkStart w:id="21" w:name="the-structural-loss-problem"/>
    <w:p>
      <w:pPr>
        <w:pStyle w:val="Heading3"/>
      </w:pPr>
      <w:r>
        <w:t xml:space="preserve">1.1 The Structural Loss Problem</w:t>
      </w:r>
    </w:p>
    <w:p>
      <w:pPr>
        <w:pStyle w:val="FirstParagraph"/>
      </w:pPr>
      <w:r>
        <w:t xml:space="preserve">Enterprise documents are not text. A commercial lease, a 10-K filing, an engineering datasheet, or a clinical trial report encodes meaning through position as much as through words: a number means one thing in a revenue table and another in a footnote; a clause means one thing under a heading titled</w:t>
      </w:r>
      <w:r>
        <w:t xml:space="preserve"> </w:t>
      </w:r>
      <w:r>
        <w:t xml:space="preserve">“</w:t>
      </w:r>
      <w:r>
        <w:t xml:space="preserve">Exclusions</w:t>
      </w:r>
      <w:r>
        <w:t xml:space="preserve">”</w:t>
      </w:r>
      <w:r>
        <w:t xml:space="preserve"> </w:t>
      </w:r>
      <w:r>
        <w:t xml:space="preserve">and another under</w:t>
      </w:r>
      <w:r>
        <w:t xml:space="preserve"> </w:t>
      </w:r>
      <w:r>
        <w:t xml:space="preserve">“</w:t>
      </w:r>
      <w:r>
        <w:t xml:space="preserve">Coverage.</w:t>
      </w:r>
      <w:r>
        <w:t xml:space="preserve">”</w:t>
      </w:r>
      <w:r>
        <w:t xml:space="preserve"> </w:t>
      </w:r>
      <w:r>
        <w:t xml:space="preserve">When a document intelligence pipeline converts such a document into a flat string — the standard behavior of commodity OCR and PDF-to-text tooling — every one of those positional cues is discarded permanently. The pipeline downstream of that conversion, however sophisticated its embedding model or however large its language model, is reasoning over a document that has already lost the information it needed.</w:t>
      </w:r>
    </w:p>
    <w:p>
      <w:pPr>
        <w:pStyle w:val="BodyText"/>
      </w:pPr>
      <w:r>
        <w:t xml:space="preserve">This monograph is about inserting a correction</w:t>
      </w:r>
      <w:r>
        <w:t xml:space="preserve"> </w:t>
      </w:r>
      <w:r>
        <w:rPr>
          <w:iCs/>
          <w:i/>
        </w:rPr>
        <w:t xml:space="preserve">before</w:t>
      </w:r>
      <w:r>
        <w:t xml:space="preserve"> </w:t>
      </w:r>
      <w:r>
        <w:t xml:space="preserve">that loss occurs. The guiding design principle, restated from the original architectural proposal this work extends, is that a document intelligence system should behave less like a text extractor and more like a compiler: it should parse a document into a well-defined intermediate representation — one that a downstream stage can consume with guarantees — rather than emitting an unstructured stream and hoping a large language model can recover the lost structure through pattern-matching alone.</w:t>
      </w:r>
    </w:p>
    <w:bookmarkEnd w:id="21"/>
    <w:bookmarkStart w:id="22" w:name="two-compounding-failure-modes"/>
    <w:p>
      <w:pPr>
        <w:pStyle w:val="Heading3"/>
      </w:pPr>
      <w:r>
        <w:t xml:space="preserve">1.2 Two Compounding Failure Modes</w:t>
      </w:r>
    </w:p>
    <w:p>
      <w:pPr>
        <w:pStyle w:val="FirstParagraph"/>
      </w:pPr>
      <w:r>
        <w:t xml:space="preserve">Two failure modes compound in nearly every production RAG deployment handling dense, multi-modal documents:</w:t>
      </w:r>
    </w:p>
    <w:p>
      <w:pPr>
        <w:numPr>
          <w:ilvl w:val="0"/>
          <w:numId w:val="1001"/>
        </w:numPr>
      </w:pPr>
      <w:r>
        <w:rPr>
          <w:bCs/>
          <w:b/>
        </w:rPr>
        <w:t xml:space="preserve">Structural degradation during extraction.</w:t>
      </w:r>
      <w:r>
        <w:t xml:space="preserve"> </w:t>
      </w:r>
      <w:r>
        <w:t xml:space="preserve">Reading order, column boundaries, table row/column relationships, and figure-caption bindings are either not modeled at all, or are recovered heuristically (e.g.,</w:t>
      </w:r>
      <w:r>
        <w:t xml:space="preserve"> </w:t>
      </w:r>
      <w:r>
        <w:t xml:space="preserve">“</w:t>
      </w:r>
      <w:r>
        <w:t xml:space="preserve">sort by y-coordinate, then x-coordinate</w:t>
      </w:r>
      <w:r>
        <w:t xml:space="preserve">”</w:t>
      </w:r>
      <w:r>
        <w:t xml:space="preserve">) in a way that fails silently on multi-column layouts, nested call-out boxes, and irregular text wrapping — precisely the layouts most common in the enterprise documents these systems are built to handle.</w:t>
      </w:r>
    </w:p>
    <w:p>
      <w:pPr>
        <w:numPr>
          <w:ilvl w:val="0"/>
          <w:numId w:val="1001"/>
        </w:numPr>
      </w:pPr>
      <w:r>
        <w:rPr>
          <w:bCs/>
          <w:b/>
        </w:rPr>
        <w:t xml:space="preserve">Economic mismanagement of the context window.</w:t>
      </w:r>
      <w:r>
        <w:t xml:space="preserve"> </w:t>
      </w:r>
      <w:r>
        <w:t xml:space="preserve">Once retrieval has ranked candidate passages by similarity, the standard practice is to concatenate the top-</w:t>
      </w:r>
      <w:r>
        <w:rPr>
          <w:iCs/>
          <w:i/>
        </w:rPr>
        <w:t xml:space="preserve">k</w:t>
      </w:r>
      <w:r>
        <w:t xml:space="preserve"> </w:t>
      </w:r>
      <w:r>
        <w:t xml:space="preserve">until a token budget is exhausted. This</w:t>
      </w:r>
      <w:r>
        <w:t xml:space="preserve"> </w:t>
      </w:r>
      <w:r>
        <w:t xml:space="preserve">“</w:t>
      </w:r>
      <w:r>
        <w:t xml:space="preserve">top-k truncation</w:t>
      </w:r>
      <w:r>
        <w:t xml:space="preserve">”</w:t>
      </w:r>
      <w:r>
        <w:t xml:space="preserve"> </w:t>
      </w:r>
      <w:r>
        <w:t xml:space="preserve">policy is a greedy, single-pass heuristic; it has no mechanism to recognize that including one lower-ranked, cheap passage and excluding one expensive, marginally-higher-ranked passage could increase total delivered value, and no mechanism to protect a large structural unit — a table, a code block — from being truncated mid-unit simply because it exceeded the remaining budget when its turn came.</w:t>
      </w:r>
    </w:p>
    <w:p>
      <w:pPr>
        <w:pStyle w:val="FirstParagraph"/>
      </w:pPr>
      <w:r>
        <w:t xml:space="preserve">Neither failure mode is a training problem. Both are architectural: they are consequences of</w:t>
      </w:r>
      <w:r>
        <w:t xml:space="preserve"> </w:t>
      </w:r>
      <w:r>
        <w:rPr>
          <w:iCs/>
          <w:i/>
        </w:rPr>
        <w:t xml:space="preserve">when</w:t>
      </w:r>
      <w:r>
        <w:t xml:space="preserve"> </w:t>
      </w:r>
      <w:r>
        <w:t xml:space="preserve">structure is discarded and</w:t>
      </w:r>
      <w:r>
        <w:t xml:space="preserve"> </w:t>
      </w:r>
      <w:r>
        <w:rPr>
          <w:iCs/>
          <w:i/>
        </w:rPr>
        <w:t xml:space="preserve">how</w:t>
      </w:r>
      <w:r>
        <w:t xml:space="preserve"> </w:t>
      </w:r>
      <w:r>
        <w:t xml:space="preserve">a fixed resource (the token budget) is allocated. Both are, correspondingly, solvable by classical, non-learned methods — graph theory for the first, constrained combinatorial optimization for the second — applied</w:t>
      </w:r>
      <w:r>
        <w:t xml:space="preserve"> </w:t>
      </w:r>
      <w:r>
        <w:rPr>
          <w:iCs/>
          <w:i/>
        </w:rPr>
        <w:t xml:space="preserve">before</w:t>
      </w:r>
      <w:r>
        <w:t xml:space="preserve"> </w:t>
      </w:r>
      <w:r>
        <w:t xml:space="preserve">the language model is invoked, rather than left for the language model to compensate for after the fact.</w:t>
      </w:r>
    </w:p>
    <w:bookmarkEnd w:id="22"/>
    <w:bookmarkStart w:id="23" w:name="Xf53c744a6891bc4d2d02011b91543e44ebb4101"/>
    <w:p>
      <w:pPr>
        <w:pStyle w:val="Heading3"/>
      </w:pPr>
      <w:r>
        <w:t xml:space="preserve">1.3 System Framing: A Pre-LLM Operating System</w:t>
      </w:r>
    </w:p>
    <w:p>
      <w:pPr>
        <w:pStyle w:val="FirstParagraph"/>
      </w:pPr>
      <w:r>
        <w:t xml:space="preserve">We adopt, and formalize, the framing of the base architecture as a</w:t>
      </w:r>
      <w:r>
        <w:t xml:space="preserve"> </w:t>
      </w:r>
      <w:r>
        <w:rPr>
          <w:bCs/>
          <w:b/>
        </w:rPr>
        <w:t xml:space="preserve">pre-LLM operating system</w:t>
      </w:r>
      <w:r>
        <w:t xml:space="preserve">: a layer that sits between raw unstructured input and every downstream AI agent, converting documents into synchronized mathematical representations — geometric, relational, spectral, information-theoretic — prior to vectorization. The analogy to an operating system is deliberate and load-bearing, not decorative: an operating system provides processes with a stable, well-specified abstraction (files, memory addresses, sockets) so that they do not each have to reimplement disk scheduling or memory paging. AEGIS-DocIntel aims to provide language-model agents with an analogous abstraction — a synchronized document representation — so that grounding, citation, and context-budget management do not have to be reimplemented, inconsistently, inside every downstream agent or prompt template.</w:t>
      </w:r>
    </w:p>
    <w:p>
      <w:pPr>
        <w:pStyle w:val="BodyText"/>
      </w:pPr>
      <w:r>
        <w:t xml:space="preserve">Under this framing, twelve mathematical engines (Section 5) each contribute one representation layer to a single synchronized document object. Three of those layers — the spatial graph, the elastic chunker, and the context packer — are the load-bearing components for the specific failure modes above, and receive full mathematical formalization (Section 6–9) and correctness treatment (Section 11). The remaining engines are documented at the level of their mathematical contract and their role in retrieval fusion (Sections 5, 15), consistent with how deeply each has been hardened in the reference implementation at the time of this writing.</w:t>
      </w:r>
    </w:p>
    <w:bookmarkEnd w:id="23"/>
    <w:bookmarkStart w:id="24" w:name="what-this-monograph-does-differently"/>
    <w:p>
      <w:pPr>
        <w:pStyle w:val="Heading3"/>
      </w:pPr>
      <w:r>
        <w:t xml:space="preserve">1.4 What This Monograph Does Differently</w:t>
      </w:r>
    </w:p>
    <w:p>
      <w:pPr>
        <w:pStyle w:val="FirstParagraph"/>
      </w:pPr>
      <w:r>
        <w:t xml:space="preserve">Three commitments distinguish this document from a conventional systems-marketing description of the same architecture, and are maintained throughout:</w:t>
      </w:r>
    </w:p>
    <w:p>
      <w:pPr>
        <w:numPr>
          <w:ilvl w:val="0"/>
          <w:numId w:val="1002"/>
        </w:numPr>
        <w:pStyle w:val="Compact"/>
      </w:pPr>
      <w:r>
        <w:rPr>
          <w:bCs/>
          <w:b/>
        </w:rPr>
        <w:t xml:space="preserve">Every claim is tagged by evidentiary status.</w:t>
      </w:r>
      <w:r>
        <w:t xml:space="preserve"> </w:t>
      </w:r>
      <w:r>
        <w:t xml:space="preserve">A design is described as</w:t>
      </w:r>
      <w:r>
        <w:t xml:space="preserve"> </w:t>
      </w:r>
      <w:r>
        <w:rPr>
          <w:iCs/>
          <w:i/>
        </w:rPr>
        <w:t xml:space="preserve">proposed</w:t>
      </w:r>
      <w:r>
        <w:t xml:space="preserve"> </w:t>
      </w:r>
      <w:r>
        <w:t xml:space="preserve">until Section 11 or Section 12 reports that it was implemented and tested; only after such a report is a property (e.g.,</w:t>
      </w:r>
      <w:r>
        <w:t xml:space="preserve"> </w:t>
      </w:r>
      <w:r>
        <w:t xml:space="preserve">“</w:t>
      </w:r>
      <w:r>
        <w:t xml:space="preserve">reading order is acyclic</w:t>
      </w:r>
      <w:r>
        <w:t xml:space="preserve">”</w:t>
      </w:r>
      <w:r>
        <w:t xml:space="preserve">) stated as</w:t>
      </w:r>
      <w:r>
        <w:t xml:space="preserve"> </w:t>
      </w:r>
      <w:r>
        <w:rPr>
          <w:iCs/>
          <w:i/>
        </w:rPr>
        <w:t xml:space="preserve">established</w:t>
      </w:r>
      <w:r>
        <w:t xml:space="preserve">. Where no implementation exists yet, the text says so plainly rather than presenting an equation as if it were already a verified system property.</w:t>
      </w:r>
    </w:p>
    <w:p>
      <w:pPr>
        <w:numPr>
          <w:ilvl w:val="0"/>
          <w:numId w:val="1002"/>
        </w:numPr>
        <w:pStyle w:val="Compact"/>
      </w:pPr>
      <w:r>
        <w:rPr>
          <w:bCs/>
          <w:b/>
        </w:rPr>
        <w:t xml:space="preserve">Defects are reported, not smoothed over.</w:t>
      </w:r>
      <w:r>
        <w:t xml:space="preserve"> </w:t>
      </w:r>
      <w:r>
        <w:t xml:space="preserve">Section 11 exists specifically because a purely conceptual description of this architecture — equations and a single hand-built example — did not surface a non-terminating algorithm, a missing implementation, and an unbounded memory profile that only became visible once the components were built and adversarially tested. A systems paper that omits this kind of material is, in a domain whose central claim is deterministic behavior, omitting the paper’s most important content.</w:t>
      </w:r>
    </w:p>
    <w:p>
      <w:pPr>
        <w:numPr>
          <w:ilvl w:val="0"/>
          <w:numId w:val="1002"/>
        </w:numPr>
        <w:pStyle w:val="Compact"/>
      </w:pPr>
      <w:r>
        <w:rPr>
          <w:bCs/>
          <w:b/>
        </w:rPr>
        <w:t xml:space="preserve">Rejected designs are documented alongside adopted ones.</w:t>
      </w:r>
      <w:r>
        <w:t xml:space="preserve"> </w:t>
      </w:r>
      <w:r>
        <w:t xml:space="preserve">Section 12.6 evaluates a plausible-sounding alternative reading-order construction based on spectral graph theory and explains, on mathematical grounds, why it was not adopted. A negative result of this kind is informative to a reader building a similar system and is included for that reason, not suppressed for narrative tidiness.</w:t>
      </w:r>
    </w:p>
    <w:bookmarkEnd w:id="24"/>
    <w:bookmarkStart w:id="25" w:name="document-roadmap"/>
    <w:p>
      <w:pPr>
        <w:pStyle w:val="Heading3"/>
      </w:pPr>
      <w:r>
        <w:t xml:space="preserve">1.5 Document Roadmap</w:t>
      </w:r>
    </w:p>
    <w:p>
      <w:pPr>
        <w:pStyle w:val="FirstParagraph"/>
      </w:pPr>
      <w:r>
        <w:t xml:space="preserve">Sections 2–4 establish related work, terminology, and the identified engineering bottlenecks that motivate the architecture. Section 5 introduces the twelve-engine mathematical substrate and the master document representation that synchronizes their outputs. Sections 6–9 formalize the three hardened pipeline stages — spatial graph parsing, elastic chunking, and knapsack-based context packing — restated as a rigorous sequence of vector-space and constrained-optimization operations. Section 10 develops the information-theoretic view of the same pipeline. Section 11 is the correctness-hardening section: four defects, four fixes, four verification methods. Section 12 extends the architecture to multimodal assets and large-scale allocation, including the multi-choice knapsack generalization, a genuine Lagrangian relaxation solver, and the rejected spectral reading-order design. Sections 13–19 place these components inside the full operating-system context: memory architecture, hybrid retrieval, token economy, production workflows, security, and observability. Sections 20–24 close with complexity analysis, an evaluation protocol, threats to validity, future work, and conclusions.</w:t>
      </w:r>
    </w:p>
    <w:bookmarkEnd w:id="25"/>
    <w:bookmarkEnd w:id="26"/>
    <w:bookmarkStart w:id="34" w:name="related-work"/>
    <w:p>
      <w:pPr>
        <w:pStyle w:val="Heading2"/>
      </w:pPr>
      <w:r>
        <w:t xml:space="preserve">2. Related Work</w:t>
      </w:r>
    </w:p>
    <w:bookmarkStart w:id="27" w:name="X067b4be1eecfda4a72966d98d5bc3d26766a236"/>
    <w:p>
      <w:pPr>
        <w:pStyle w:val="Heading3"/>
      </w:pPr>
      <w:r>
        <w:t xml:space="preserve">2.1 Document Layout and Reading-Order Recovery</w:t>
      </w:r>
    </w:p>
    <w:p>
      <w:pPr>
        <w:pStyle w:val="FirstParagraph"/>
      </w:pPr>
      <w:r>
        <w:t xml:space="preserve">Layout-aware document understanding has moved from rule-based heuristics toward joint text-layout-image pretraining. LayoutLMv3 (Huang et al., 2022) pretrains a unified transformer over text and image patches with a masked-modeling objective that spans both modalities, producing embeddings that are layout-aware without requiring a separate hand-built geometric feature set. AEGIS-DocIntel’s semantic engine (Section 5.6) is designed to consume embeddings from a model in this family, via the augmentation function h_i = LayerNorm(e_text(v_i) + e_2D_bbox(b_i)) described in Section 5.9 — but, as documented in Section 12.7, the encoder currently wired into the reference implementation is a structurally-verified mock, not a trained LayoutLMv3-class model; this is flagged as an open item rather than an established capability.</w:t>
      </w:r>
    </w:p>
    <w:p>
      <w:pPr>
        <w:pStyle w:val="BodyText"/>
      </w:pPr>
      <w:r>
        <w:t xml:space="preserve">Reading-order recovery specifically — as distinct from layout classification — has historically been treated as a byproduct of layout detection (assign an order by traversing detected regions top-to-bottom) rather than as a first-class graph problem with a correctness guarantee. Section 6 and Section 11.1 depart from that treatment by constructing the reading-order relation as a directed acyclic graph by definition, and recovering the order via Kahn’s algorithm, rather than inferring an order from a heuristic traversal of a layout that may not itself be acyclic under adversarial layouts.</w:t>
      </w:r>
    </w:p>
    <w:bookmarkEnd w:id="27"/>
    <w:bookmarkStart w:id="28" w:name="X087f57e93804c3a71efcd1352a19434e6e9cab0"/>
    <w:p>
      <w:pPr>
        <w:pStyle w:val="Heading3"/>
      </w:pPr>
      <w:r>
        <w:t xml:space="preserve">2.2 Retrieval-Augmented Generation and Context Assembly</w:t>
      </w:r>
    </w:p>
    <w:p>
      <w:pPr>
        <w:pStyle w:val="FirstParagraph"/>
      </w:pPr>
      <w:r>
        <w:t xml:space="preserve">Standard RAG pipelines (dense retrieval, sparse BM25 retrieval, or hybrid combinations of the two) rank candidate passages by a relevance score and then greedily fill the available context window in rank order until the budget is exhausted. This top-k-truncation policy is simple and fast, but it is a single-pass greedy heuristic with no combinatorial guarantee: it cannot recognize that swapping a marginally lower-value, cheaper passage for a marginally higher-value, more expensive one could increase the total value delivered within a fixed budget, and it has no mechanism to protect a large, atomic structural unit from truncation. Section 8–9 reframe context assembly explicitly as a resource-constrained combinatorial optimization problem — the 0/1 Knapsack Problem (Kellerer, Pferschy, &amp; Pisinger, 2004) — which admits an exact polynomial-time solution via dynamic programming for the token-budget scales typical of current context windows, and a bounded-suboptimality relaxation (Fisher, 1981) for scales where exact dynamic programming becomes memory-infeasible.</w:t>
      </w:r>
    </w:p>
    <w:p>
      <w:pPr>
        <w:pStyle w:val="BodyText"/>
      </w:pPr>
      <w:r>
        <w:t xml:space="preserve">Evaluation of document-grounded question answering in this monograph’s proposed protocol (Section 21) draws on two established benchmarks: DocVQA (Mathew, Karatzas, &amp; Jawahar, 2021), which evaluates visual question answering directly over document images, and TAT-QA (Zhu et al., 2021), which evaluates question answering over hybrid tabular-and-textual financial content — a benchmark whose table-heavy structure makes it a direct stress test for the elastic-chunking and structural-preservation claims of Sections 7 and 9.</w:t>
      </w:r>
    </w:p>
    <w:bookmarkEnd w:id="28"/>
    <w:bookmarkStart w:id="29" w:name="Xffbf79affb29a7041beec6db4ffb2735538ed38"/>
    <w:p>
      <w:pPr>
        <w:pStyle w:val="Heading3"/>
      </w:pPr>
      <w:r>
        <w:t xml:space="preserve">2.3 Reciprocal Rank Fusion and Hybrid Retrieval</w:t>
      </w:r>
    </w:p>
    <w:p>
      <w:pPr>
        <w:pStyle w:val="FirstParagraph"/>
      </w:pPr>
      <w:r>
        <w:t xml:space="preserve">Combining multiple independently-ranked retrieval signals (lexical, dense, structural) is well established in information retrieval; the reference implementation’s Reciprocal Rank Fusion stage (Section 15.3) follows the standard formulation, summing 1/(k + rank) contributions across ranked lists with k = 60, before a cross-encoder reranking pass. Cross-encoder reranking itself is a standard second stage in modern retrieval pipelines, trading the efficiency of a bi-encoder first pass for the accuracy of full query-document attention on a narrowed candidate set.</w:t>
      </w:r>
    </w:p>
    <w:bookmarkEnd w:id="29"/>
    <w:bookmarkStart w:id="30" w:name="contextual-bandits-for-adaptive-routing"/>
    <w:p>
      <w:pPr>
        <w:pStyle w:val="Heading3"/>
      </w:pPr>
      <w:r>
        <w:t xml:space="preserve">2.4 Contextual Bandits for Adaptive Routing</w:t>
      </w:r>
    </w:p>
    <w:p>
      <w:pPr>
        <w:pStyle w:val="FirstParagraph"/>
      </w:pPr>
      <w:r>
        <w:t xml:space="preserve">Section 13.5 applies a contextual multi-armed bandit — specifically, the LinUCB algorithm (Li, Chu, Langford, &amp; Schapire, 2010) — to the problem of dynamically routing a query to the mathematical engine or retrieval method most likely to be informative for it, rather than always fusing all available signals at fixed weights. LinUCB was originally developed for personalized content recommendation under partial feedback (a user’s click on one recommended article is the only signal about the chosen arm’s reward), a setting structurally analogous to routing a query to one scoring method and only observing that method’s downstream utility.</w:t>
      </w:r>
    </w:p>
    <w:bookmarkEnd w:id="30"/>
    <w:bookmarkStart w:id="31" w:name="X5721e8ca5510317c817a3ae6b38a3b2b8970061"/>
    <w:p>
      <w:pPr>
        <w:pStyle w:val="Heading3"/>
      </w:pPr>
      <w:r>
        <w:t xml:space="preserve">2.5 Spectral Graph Theory in Document Analysis</w:t>
      </w:r>
    </w:p>
    <w:p>
      <w:pPr>
        <w:pStyle w:val="FirstParagraph"/>
      </w:pPr>
      <w:r>
        <w:t xml:space="preserve">Spectral clustering (Von Luxburg, 2007) partitions a graph’s vertex set using the eigenvectors of its Laplacian matrix, and is the standard tool this monograph’s spectral engine (Section 5.8, Section 12.4) applies for structural grouping of document elements — clustering visually or relationally similar blocks without a predefined layout template. Section 12.6 separately evaluates, and explicitly rejects, a proposal to reuse this same spectral machinery — specifically the Fiedler vector, the eigenvector associated with a graph Laplacian’s second-smallest eigenvalue — for a different task it was not designed for: recovering directional reading order. That rejection, and its mathematical justification, is reported in full because the distinction between</w:t>
      </w:r>
      <w:r>
        <w:t xml:space="preserve"> </w:t>
      </w:r>
      <w:r>
        <w:t xml:space="preserve">“</w:t>
      </w:r>
      <w:r>
        <w:t xml:space="preserve">this tool is well-suited to structural partitioning</w:t>
      </w:r>
      <w:r>
        <w:t xml:space="preserve">”</w:t>
      </w:r>
      <w:r>
        <w:t xml:space="preserve"> </w:t>
      </w:r>
      <w:r>
        <w:t xml:space="preserve">and</w:t>
      </w:r>
      <w:r>
        <w:t xml:space="preserve"> </w:t>
      </w:r>
      <w:r>
        <w:t xml:space="preserve">“</w:t>
      </w:r>
      <w:r>
        <w:t xml:space="preserve">this tool is well-suited to sequencing</w:t>
      </w:r>
      <w:r>
        <w:t xml:space="preserve">”</w:t>
      </w:r>
      <w:r>
        <w:t xml:space="preserve"> </w:t>
      </w:r>
      <w:r>
        <w:t xml:space="preserve">is exactly the kind of distinction that a purely equation-level description of a system can obscure.</w:t>
      </w:r>
    </w:p>
    <w:bookmarkEnd w:id="31"/>
    <w:bookmarkStart w:id="32" w:name="Xf559d3558441742bca7a3b2eb462f1ee34bbd8d"/>
    <w:p>
      <w:pPr>
        <w:pStyle w:val="Heading3"/>
      </w:pPr>
      <w:r>
        <w:t xml:space="preserve">2.6 Graph Convolutional Networks for Structural Encoding</w:t>
      </w:r>
    </w:p>
    <w:p>
      <w:pPr>
        <w:pStyle w:val="FirstParagraph"/>
      </w:pPr>
      <w:r>
        <w:t xml:space="preserve">Kipf &amp; Welling’s (2017) Graph Convolutional Network formulation underlies the flowchart and diagram encoder proposed in Section 12.3, where a vector-graphic flowchart is parsed into a graph of shape-nodes and connector-edges and read out via GCN layers into a fixed-size embedding compatible with the shared multimodal representation space. As with the semantic engine’s LayoutLM-class encoder, the GCN readout described in Section 12.3 is, at the time of this writing, structurally verified against synthetic flowchart graphs but not semantically trained on real diagram corpora — an open item rather than a shipped capability.</w:t>
      </w:r>
    </w:p>
    <w:bookmarkEnd w:id="32"/>
    <w:bookmarkStart w:id="33" w:name="information-theory-applied-to-retrieval"/>
    <w:p>
      <w:pPr>
        <w:pStyle w:val="Heading3"/>
      </w:pPr>
      <w:r>
        <w:t xml:space="preserve">2.7 Information Theory Applied to Retrieval</w:t>
      </w:r>
    </w:p>
    <w:p>
      <w:pPr>
        <w:pStyle w:val="FirstParagraph"/>
      </w:pPr>
      <w:r>
        <w:t xml:space="preserve">Section 10 applies classical information theory — Shannon entropy, mutual information, the data processing inequality, and rate-distortion theory — to characterize what the pre-embedding structural transformation is actually accomplishing: minimizing the information lost in the step from raw document to synchronized representation, so that the mutual information between the retrieved context and the eventual query is preserved as closely as possible to the mutual information available in the original, unprocessed document. This framing is not a novel contribution of information theory itself; its contribution here is diagnostic — it gives Section 16’s token-economy claims (that structural deduplication reduces token cost with near-zero fact loss) a formal vocabulary in which</w:t>
      </w:r>
      <w:r>
        <w:t xml:space="preserve"> </w:t>
      </w:r>
      <w:r>
        <w:t xml:space="preserve">“</w:t>
      </w:r>
      <w:r>
        <w:t xml:space="preserve">near-zero fact loss</w:t>
      </w:r>
      <w:r>
        <w:t xml:space="preserve">”</w:t>
      </w:r>
      <w:r>
        <w:t xml:space="preserve"> </w:t>
      </w:r>
      <w:r>
        <w:t xml:space="preserve">can be stated precisely as a distortion bound rather than as a marketing claim.</w:t>
      </w:r>
    </w:p>
    <w:bookmarkEnd w:id="33"/>
    <w:bookmarkEnd w:id="34"/>
    <w:bookmarkStart w:id="39" w:name="Xad44a248b4c51292fc6243f15af8f086281e4a2"/>
    <w:p>
      <w:pPr>
        <w:pStyle w:val="Heading2"/>
      </w:pPr>
      <w:r>
        <w:t xml:space="preserve">3. Identified Engineering Bottlenecks and Terminology</w:t>
      </w:r>
    </w:p>
    <w:bookmarkStart w:id="35" w:name="terminology"/>
    <w:p>
      <w:pPr>
        <w:pStyle w:val="Heading3"/>
      </w:pPr>
      <w:r>
        <w:t xml:space="preserve">3.1 Terminology</w:t>
      </w:r>
    </w:p>
    <w:p>
      <w:pPr>
        <w:pStyle w:val="FirstParagraph"/>
      </w:pPr>
      <w:r>
        <w:t xml:space="preserve">We fix the following terms for the remainder of this monograph:</w:t>
      </w:r>
    </w:p>
    <w:p>
      <w:pPr>
        <w:numPr>
          <w:ilvl w:val="0"/>
          <w:numId w:val="1003"/>
        </w:numPr>
        <w:pStyle w:val="Compact"/>
      </w:pPr>
      <w:r>
        <w:rPr>
          <w:bCs/>
          <w:b/>
        </w:rPr>
        <w:t xml:space="preserve">Element / node.</w:t>
      </w:r>
      <w:r>
        <w:t xml:space="preserve"> </w:t>
      </w:r>
      <w:r>
        <w:t xml:space="preserve">The smallest addressable unit of extracted content — a text run, a table cell, a figure, a heading — represented as a bounding-box-anchored tuple (Section 5.2).</w:t>
      </w:r>
    </w:p>
    <w:p>
      <w:pPr>
        <w:numPr>
          <w:ilvl w:val="0"/>
          <w:numId w:val="1003"/>
        </w:numPr>
        <w:pStyle w:val="Compact"/>
      </w:pPr>
      <w:r>
        <w:rPr>
          <w:bCs/>
          <w:b/>
        </w:rPr>
        <w:t xml:space="preserve">Chunk.</w:t>
      </w:r>
      <w:r>
        <w:t xml:space="preserve"> </w:t>
      </w:r>
      <w:r>
        <w:t xml:space="preserve">A contiguous, reading-order-adjacent group of elements assembled by the elastic chunker (Section 7) for downstream embedding and retrieval; the unit that carries a value V_i and a token weight W_i into the context packer (Sections 8–9).</w:t>
      </w:r>
    </w:p>
    <w:p>
      <w:pPr>
        <w:numPr>
          <w:ilvl w:val="0"/>
          <w:numId w:val="1003"/>
        </w:numPr>
        <w:pStyle w:val="Compact"/>
      </w:pPr>
      <w:r>
        <w:rPr>
          <w:bCs/>
          <w:b/>
        </w:rPr>
        <w:t xml:space="preserve">Synchronized representation.</w:t>
      </w:r>
      <w:r>
        <w:t xml:space="preserve"> </w:t>
      </w:r>
      <w:r>
        <w:t xml:space="preserve">The property that every mathematical engine’s output for a given document refers to the same underlying element set and reading order, so that, e.g., a geometry-engine score and a semantic-engine score for</w:t>
      </w:r>
      <w:r>
        <w:t xml:space="preserve"> </w:t>
      </w:r>
      <w:r>
        <w:t xml:space="preserve">“</w:t>
      </w:r>
      <w:r>
        <w:t xml:space="preserve">element 47</w:t>
      </w:r>
      <w:r>
        <w:t xml:space="preserve">”</w:t>
      </w:r>
      <w:r>
        <w:t xml:space="preserve"> </w:t>
      </w:r>
      <w:r>
        <w:t xml:space="preserve">are guaranteed to describe the same physical region of the same page.</w:t>
      </w:r>
    </w:p>
    <w:p>
      <w:pPr>
        <w:numPr>
          <w:ilvl w:val="0"/>
          <w:numId w:val="1003"/>
        </w:numPr>
        <w:pStyle w:val="Compact"/>
      </w:pPr>
      <w:r>
        <w:rPr>
          <w:bCs/>
          <w:b/>
        </w:rPr>
        <w:t xml:space="preserve">Pre-LLM.</w:t>
      </w:r>
      <w:r>
        <w:t xml:space="preserve"> </w:t>
      </w:r>
      <w:r>
        <w:t xml:space="preserve">Any transformation applied to a document before it is embedded or shown to a language model, as distinct from prompt-time transformations (which operate on already-selected context) or post-hoc transformations (which operate on a language model’s output, e.g., citation verification in Section 19).</w:t>
      </w:r>
    </w:p>
    <w:p>
      <w:pPr>
        <w:numPr>
          <w:ilvl w:val="0"/>
          <w:numId w:val="1003"/>
        </w:numPr>
        <w:pStyle w:val="Compact"/>
      </w:pPr>
      <w:r>
        <w:rPr>
          <w:bCs/>
          <w:b/>
        </w:rPr>
        <w:t xml:space="preserve">Established vs. proposed.</w:t>
      </w:r>
      <w:r>
        <w:t xml:space="preserve"> </w:t>
      </w:r>
      <w:r>
        <w:t xml:space="preserve">As introduced in Section 1.4: a property is</w:t>
      </w:r>
      <w:r>
        <w:t xml:space="preserve"> </w:t>
      </w:r>
      <w:r>
        <w:rPr>
          <w:iCs/>
          <w:i/>
        </w:rPr>
        <w:t xml:space="preserve">established</w:t>
      </w:r>
      <w:r>
        <w:t xml:space="preserve"> </w:t>
      </w:r>
      <w:r>
        <w:t xml:space="preserve">only where Section 11 or Section 12 reports a specific test that verifies it; otherwise it is a</w:t>
      </w:r>
      <w:r>
        <w:t xml:space="preserve"> </w:t>
      </w:r>
      <w:r>
        <w:rPr>
          <w:iCs/>
          <w:i/>
        </w:rPr>
        <w:t xml:space="preserve">proposed</w:t>
      </w:r>
      <w:r>
        <w:t xml:space="preserve"> </w:t>
      </w:r>
      <w:r>
        <w:t xml:space="preserve">design and is described using conditional or intentional language (</w:t>
      </w:r>
      <w:r>
        <w:t xml:space="preserve">“</w:t>
      </w:r>
      <w:r>
        <w:t xml:space="preserve">is designed to,</w:t>
      </w:r>
      <w:r>
        <w:t xml:space="preserve">”</w:t>
      </w:r>
      <w:r>
        <w:t xml:space="preserve"> </w:t>
      </w:r>
      <w:r>
        <w:t xml:space="preserve">“</w:t>
      </w:r>
      <w:r>
        <w:t xml:space="preserve">is intended to</w:t>
      </w:r>
      <w:r>
        <w:t xml:space="preserve">”</w:t>
      </w:r>
      <w:r>
        <w:t xml:space="preserve">).</w:t>
      </w:r>
    </w:p>
    <w:bookmarkEnd w:id="35"/>
    <w:bookmarkStart w:id="36" w:name="three-structural-bottlenecks"/>
    <w:p>
      <w:pPr>
        <w:pStyle w:val="Heading3"/>
      </w:pPr>
      <w:r>
        <w:t xml:space="preserve">3.2 Three Structural Bottlenecks</w:t>
      </w:r>
    </w:p>
    <w:p>
      <w:pPr>
        <w:pStyle w:val="FirstParagraph"/>
      </w:pPr>
      <w:r>
        <w:t xml:space="preserve">Across enterprise document loads, three structural limits recur regardless of how strong the downstream embedding model or language model is:</w:t>
      </w:r>
    </w:p>
    <w:p>
      <w:pPr>
        <w:pStyle w:val="BodyText"/>
      </w:pPr>
      <w:r>
        <w:rPr>
          <w:bCs/>
          <w:b/>
        </w:rPr>
        <w:t xml:space="preserve">Bottleneck 1 — Deterministic reading-order failure in dynamic visual contexts.</w:t>
      </w:r>
      <w:r>
        <w:t xml:space="preserve"> </w:t>
      </w:r>
      <w:r>
        <w:t xml:space="preserve">Multi-column structures, nested callout boxes, sidebars that interrupt a column mid-flow, and irregular text wrapping cause layout engines that rely on simple top-to-bottom or y-then-x sorting to misindex the reading sequence. A misindexed sequence is worse than a merely suboptimal one: it can silently interleave unrelated column content, producing chunks and downstream answers that read as fluent but are factually spliced from non-adjacent source material.</w:t>
      </w:r>
    </w:p>
    <w:p>
      <w:pPr>
        <w:pStyle w:val="BodyText"/>
      </w:pPr>
      <w:r>
        <w:rPr>
          <w:bCs/>
          <w:b/>
        </w:rPr>
        <w:t xml:space="preserve">Bottleneck 2 — Semantic boundary blindness in chunking.</w:t>
      </w:r>
      <w:r>
        <w:t xml:space="preserve"> </w:t>
      </w:r>
      <w:r>
        <w:t xml:space="preserve">Splitting a document by a fixed character or token count, without reference to structural boundaries, fractures tables mid-row, splits code blocks mid-statement, and severs the contextual link between a heading and the body text it introduces. Every fractured unit becomes a chunk whose embedding represents a semantically incoherent fragment, degrading both retrieval precision (the fragment does not cleanly match any single query intent) and generation quality (the language model receives a truncated table row and may hallucinate the missing cells rather than reporting their absence).</w:t>
      </w:r>
    </w:p>
    <w:p>
      <w:pPr>
        <w:pStyle w:val="BodyText"/>
      </w:pPr>
      <w:r>
        <w:rPr>
          <w:bCs/>
          <w:b/>
        </w:rPr>
        <w:t xml:space="preserve">Bottleneck 3 — Naive context packing under fixed token budgets.</w:t>
      </w:r>
      <w:r>
        <w:t xml:space="preserve"> </w:t>
      </w:r>
      <w:r>
        <w:t xml:space="preserve">Assembling the language model’s input context by similarity rank alone, filling the budget greedily until exhausted, wastes token budget on redundant near-duplicate passages while truncating large, high-value structural blocks — such as a complete financial table — simply because the block’s full token cost did not fit in the budget remaining when its turn arrived in rank order.</w:t>
      </w:r>
    </w:p>
    <w:bookmarkEnd w:id="36"/>
    <w:bookmarkStart w:id="37" w:name="X9206d61171f7503e6fda1bf69aa250e10ad8fa0"/>
    <w:p>
      <w:pPr>
        <w:pStyle w:val="Heading3"/>
      </w:pPr>
      <w:r>
        <w:t xml:space="preserve">3.3 Why These Are Architectural, Not Model-Capacity, Problems</w:t>
      </w:r>
    </w:p>
    <w:p>
      <w:pPr>
        <w:pStyle w:val="FirstParagraph"/>
      </w:pPr>
      <w:r>
        <w:t xml:space="preserve">It is tempting to treat all three bottlenecks as problems that a sufficiently large language model, given enough context and enough post-training on document-heavy corpora, will eventually absorb. Two observations argue against deferring to that expectation as a substitute for architectural correction.</w:t>
      </w:r>
    </w:p>
    <w:p>
      <w:pPr>
        <w:pStyle w:val="BodyText"/>
      </w:pPr>
      <w:r>
        <w:t xml:space="preserve">First, all three bottlenecks are lossy at the</w:t>
      </w:r>
      <w:r>
        <w:t xml:space="preserve"> </w:t>
      </w:r>
      <w:r>
        <w:rPr>
          <w:iCs/>
          <w:i/>
        </w:rPr>
        <w:t xml:space="preserve">representation</w:t>
      </w:r>
      <w:r>
        <w:t xml:space="preserve"> </w:t>
      </w:r>
      <w:r>
        <w:t xml:space="preserve">stage, before any language model receives the document. A language model cannot recover reading order information that a flat token stream never encoded, cannot recover a table’s row/column structure once it has been fractured across two adjacent chunks with no linking metadata, and cannot recover value that a truncated table row discarded — it can at best guess, and a guess presented fluently is a hallucination risk rather than an acceptable substitute for the missing structure.</w:t>
      </w:r>
    </w:p>
    <w:p>
      <w:pPr>
        <w:pStyle w:val="BodyText"/>
      </w:pPr>
      <w:r>
        <w:t xml:space="preserve">Second, and more directly falsifiable: item selection under a fixed budget to maximize total value is a classical, exactly-solvable combinatorial optimization problem (Section 8) whenever value and weight are well-defined per item. There is no information-theoretic reason to solve this exactly-solvable problem by an implicit, unverifiable heuristic (greedy top-k truncation) when an exact polynomial-time algorithm — dynamic programming over the knapsack recurrence — is available at the token-budget scales relevant to current context windows. Where an exact classical algorithm exists for the sub-problem, delegating that sub-problem to language-model judgment is not</w:t>
      </w:r>
      <w:r>
        <w:t xml:space="preserve"> </w:t>
      </w:r>
      <w:r>
        <w:t xml:space="preserve">“</w:t>
      </w:r>
      <w:r>
        <w:t xml:space="preserve">leaning on capability,</w:t>
      </w:r>
      <w:r>
        <w:t xml:space="preserve">”</w:t>
      </w:r>
      <w:r>
        <w:t xml:space="preserve"> </w:t>
      </w:r>
      <w:r>
        <w:t xml:space="preserve">it is discarding a correctness guarantee for no offsetting benefit.</w:t>
      </w:r>
    </w:p>
    <w:bookmarkEnd w:id="37"/>
    <w:bookmarkStart w:id="38" w:name="scope-boundary-of-this-monograph"/>
    <w:p>
      <w:pPr>
        <w:pStyle w:val="Heading3"/>
      </w:pPr>
      <w:r>
        <w:t xml:space="preserve">3.4 Scope Boundary of This Monograph</w:t>
      </w:r>
    </w:p>
    <w:p>
      <w:pPr>
        <w:pStyle w:val="FirstParagraph"/>
      </w:pPr>
      <w:r>
        <w:t xml:space="preserve">Not every document-intelligence problem is addressed here. In particular: this monograph does not propose a new embedding model architecture (Section 5.6’s semantic engine consumes an existing model, LayoutLMv3-class or otherwise); it does not propose a new base language model or a new decoding strategy (Section 5.4’s generation stage treats the downstream LLM as a black box conditioned on the packed context); and it does not claim the twelve mathematical engines of Section 5 are all equally mature — Section 5 documents each engine’s mathematical contract, and Sections 11–12 document, engine by engine, which components have been implemented, tested, and hardened versus which remain proposed designs or structurally-verified-but-semantically-untrained prototypes. The contribution claimed is narrower and, we argue, more durable: a correct, mathematically specified, and empirically testable treatment of reading order, chunk-boundary detection, and budget-constrained context assembly — the three sub-problems in the pipeline that are exactly solvable by classical methods and that a language model cannot compensate for once their outputs have propagated downstream.</w:t>
      </w:r>
    </w:p>
    <w:bookmarkEnd w:id="38"/>
    <w:bookmarkEnd w:id="39"/>
    <w:bookmarkStart w:id="47" w:name="X3135e9d5db5ce93dd9f36a9c74ae93279b05e4b"/>
    <w:p>
      <w:pPr>
        <w:pStyle w:val="Heading2"/>
      </w:pPr>
      <w:r>
        <w:t xml:space="preserve">4. System Overview and Reference Architecture</w:t>
      </w:r>
    </w:p>
    <w:bookmarkStart w:id="40" w:name="design-philosophy"/>
    <w:p>
      <w:pPr>
        <w:pStyle w:val="Heading3"/>
      </w:pPr>
      <w:r>
        <w:t xml:space="preserve">4.1 Design Philosophy</w:t>
      </w:r>
    </w:p>
    <w:p>
      <w:pPr>
        <w:pStyle w:val="FirstParagraph"/>
      </w:pPr>
      <w:r>
        <w:t xml:space="preserve">AMDI-OS is organized around seven architectural principles, each addressing a specific failure mode observed in naive document-to-LLM pipelines at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Failure mode addressed</w:t>
            </w:r>
          </w:p>
        </w:tc>
      </w:tr>
      <w:tr>
        <w:tc>
          <w:tcPr/>
          <w:p>
            <w:pPr>
              <w:pStyle w:val="Compact"/>
              <w:jc w:val="left"/>
            </w:pPr>
            <w:r>
              <w:t xml:space="preserve">Separation of concerns</w:t>
            </w:r>
          </w:p>
        </w:tc>
        <w:tc>
          <w:tcPr/>
          <w:p>
            <w:pPr>
              <w:pStyle w:val="Compact"/>
              <w:jc w:val="left"/>
            </w:pPr>
            <w:r>
              <w:t xml:space="preserve">Ingestion, indexing, retrieval, and reasoning are fully decoupled services communicating over well-defined interfaces</w:t>
            </w:r>
          </w:p>
        </w:tc>
        <w:tc>
          <w:tcPr/>
          <w:p>
            <w:pPr>
              <w:pStyle w:val="Compact"/>
              <w:jc w:val="left"/>
            </w:pPr>
            <w:r>
              <w:t xml:space="preserve">A monolithic pipeline cannot be independently scaled, tested, or replaced stage-by-stage</w:t>
            </w:r>
          </w:p>
        </w:tc>
      </w:tr>
      <w:tr>
        <w:tc>
          <w:tcPr/>
          <w:p>
            <w:pPr>
              <w:pStyle w:val="Compact"/>
              <w:jc w:val="left"/>
            </w:pPr>
            <w:r>
              <w:t xml:space="preserve">Horizontal scalability</w:t>
            </w:r>
          </w:p>
        </w:tc>
        <w:tc>
          <w:tcPr/>
          <w:p>
            <w:pPr>
              <w:pStyle w:val="Compact"/>
              <w:jc w:val="left"/>
            </w:pPr>
            <w:r>
              <w:t xml:space="preserve">Every subsystem scales independently via Kubernetes HPA / KEDA, keyed to its own load signal (queue depth, request rate, GPU utilization)</w:t>
            </w:r>
          </w:p>
        </w:tc>
        <w:tc>
          <w:tcPr/>
          <w:p>
            <w:pPr>
              <w:pStyle w:val="Compact"/>
              <w:jc w:val="left"/>
            </w:pPr>
            <w:r>
              <w:t xml:space="preserve">Uniform scaling wastes resources on lightly-loaded stages while starving bottleneck stages</w:t>
            </w:r>
          </w:p>
        </w:tc>
      </w:tr>
      <w:tr>
        <w:tc>
          <w:tcPr/>
          <w:p>
            <w:pPr>
              <w:pStyle w:val="Compact"/>
              <w:jc w:val="left"/>
            </w:pPr>
            <w:r>
              <w:t xml:space="preserve">Multimodal-first</w:t>
            </w:r>
          </w:p>
        </w:tc>
        <w:tc>
          <w:tcPr/>
          <w:p>
            <w:pPr>
              <w:pStyle w:val="Compact"/>
              <w:jc w:val="left"/>
            </w:pPr>
            <w:r>
              <w:t xml:space="preserve">Text, tables, images, equations, and charts are first-class content types with their own representation tiers (Section 12), not text-only with images bolted on</w:t>
            </w:r>
          </w:p>
        </w:tc>
        <w:tc>
          <w:tcPr/>
          <w:p>
            <w:pPr>
              <w:pStyle w:val="Compact"/>
              <w:jc w:val="left"/>
            </w:pPr>
            <w:r>
              <w:t xml:space="preserve">Image and table content silently dropped or degraded to alt-text in text-only pipelines</w:t>
            </w:r>
          </w:p>
        </w:tc>
      </w:tr>
      <w:tr>
        <w:tc>
          <w:tcPr/>
          <w:p>
            <w:pPr>
              <w:pStyle w:val="Compact"/>
              <w:jc w:val="left"/>
            </w:pPr>
            <w:r>
              <w:t xml:space="preserve">Token economy</w:t>
            </w:r>
          </w:p>
        </w:tc>
        <w:tc>
          <w:tcPr/>
          <w:p>
            <w:pPr>
              <w:pStyle w:val="Compact"/>
              <w:jc w:val="left"/>
            </w:pPr>
            <w:r>
              <w:t xml:space="preserve">The system is designed never to send an entire document to a language model; retrieval and caching are the default path (Section 16)</w:t>
            </w:r>
          </w:p>
        </w:tc>
        <w:tc>
          <w:tcPr/>
          <w:p>
            <w:pPr>
              <w:pStyle w:val="Compact"/>
              <w:jc w:val="left"/>
            </w:pPr>
            <w:r>
              <w:t xml:space="preserve">Naive whole-document prompting is both economically unsustainable and exceeds most context windows for large documents</w:t>
            </w:r>
          </w:p>
        </w:tc>
      </w:tr>
      <w:tr>
        <w:tc>
          <w:tcPr/>
          <w:p>
            <w:pPr>
              <w:pStyle w:val="Compact"/>
              <w:jc w:val="left"/>
            </w:pPr>
            <w:r>
              <w:t xml:space="preserve">Defense in depth</w:t>
            </w:r>
          </w:p>
        </w:tc>
        <w:tc>
          <w:tcPr/>
          <w:p>
            <w:pPr>
              <w:pStyle w:val="Compact"/>
              <w:jc w:val="left"/>
            </w:pPr>
            <w:r>
              <w:t xml:space="preserve">Caching, fallback paths, circuit breakers, and observability instrumentation exist at every layer (Section 17.5, Section 19)</w:t>
            </w:r>
          </w:p>
        </w:tc>
        <w:tc>
          <w:tcPr/>
          <w:p>
            <w:pPr>
              <w:pStyle w:val="Compact"/>
              <w:jc w:val="left"/>
            </w:pPr>
            <w:r>
              <w:t xml:space="preserve">A single-point-of-failure dependency (one vector database, one LLM provider) causes total pipeline failure</w:t>
            </w:r>
          </w:p>
        </w:tc>
      </w:tr>
      <w:tr>
        <w:tc>
          <w:tcPr/>
          <w:p>
            <w:pPr>
              <w:pStyle w:val="Compact"/>
              <w:jc w:val="left"/>
            </w:pPr>
            <w:r>
              <w:t xml:space="preserve">Tenant isolation</w:t>
            </w:r>
          </w:p>
        </w:tc>
        <w:tc>
          <w:tcPr/>
          <w:p>
            <w:pPr>
              <w:pStyle w:val="Compact"/>
              <w:jc w:val="left"/>
            </w:pPr>
            <w:r>
              <w:t xml:space="preserve">Row-level security, namespace separation, and encrypted per-tenant storage (Section 17)</w:t>
            </w:r>
          </w:p>
        </w:tc>
        <w:tc>
          <w:tcPr/>
          <w:p>
            <w:pPr>
              <w:pStyle w:val="Compact"/>
              <w:jc w:val="left"/>
            </w:pPr>
            <w:r>
              <w:t xml:space="preserve">Cross-tenant data leakage in a multi-tenant deployment</w:t>
            </w:r>
          </w:p>
        </w:tc>
      </w:tr>
      <w:tr>
        <w:tc>
          <w:tcPr/>
          <w:p>
            <w:pPr>
              <w:pStyle w:val="Compact"/>
              <w:jc w:val="left"/>
            </w:pPr>
            <w:r>
              <w:t xml:space="preserve">Immutable audit log</w:t>
            </w:r>
          </w:p>
        </w:tc>
        <w:tc>
          <w:tcPr/>
          <w:p>
            <w:pPr>
              <w:pStyle w:val="Compact"/>
              <w:jc w:val="left"/>
            </w:pPr>
            <w:r>
              <w:t xml:space="preserve">All ingestion, query, and access events are recorded append-only and tamper-evident</w:t>
            </w:r>
          </w:p>
        </w:tc>
        <w:tc>
          <w:tcPr/>
          <w:p>
            <w:pPr>
              <w:pStyle w:val="Compact"/>
              <w:jc w:val="left"/>
            </w:pPr>
            <w:r>
              <w:t xml:space="preserve">Non-repudiation and compliance requirements for regulated document types (financial, legal, medical)</w:t>
            </w:r>
          </w:p>
        </w:tc>
      </w:tr>
    </w:tbl>
    <w:bookmarkEnd w:id="40"/>
    <w:bookmarkStart w:id="41" w:name="high-level-pipeline"/>
    <w:p>
      <w:pPr>
        <w:pStyle w:val="Heading3"/>
      </w:pPr>
      <w:r>
        <w:t xml:space="preserve">4.2 High-Level Pipeline</w:t>
      </w:r>
    </w:p>
    <w:p>
      <w:pPr>
        <w:pStyle w:val="FirstParagraph"/>
      </w:pPr>
      <w:r>
        <w:t xml:space="preserve">The system is organized as a nine-stage pipeline (Figure 1): raw documents enter through</w:t>
      </w:r>
      <w:r>
        <w:t xml:space="preserve"> </w:t>
      </w:r>
      <w:r>
        <w:rPr>
          <w:bCs/>
          <w:b/>
        </w:rPr>
        <w:t xml:space="preserve">Ingestion</w:t>
      </w:r>
      <w:r>
        <w:t xml:space="preserve"> </w:t>
      </w:r>
      <w:r>
        <w:t xml:space="preserve">(parsing, OCR, layout detection), pass through</w:t>
      </w:r>
      <w:r>
        <w:t xml:space="preserve"> </w:t>
      </w:r>
      <w:r>
        <w:rPr>
          <w:bCs/>
          <w:b/>
        </w:rPr>
        <w:t xml:space="preserve">Normalization</w:t>
      </w:r>
      <w:r>
        <w:t xml:space="preserve"> </w:t>
      </w:r>
      <w:r>
        <w:t xml:space="preserve">(coordinate unification across pages and physical page sizes, per Section 5.4’s scale-invariance theorem), are transformed by the</w:t>
      </w:r>
      <w:r>
        <w:t xml:space="preserve"> </w:t>
      </w:r>
      <w:r>
        <w:rPr>
          <w:bCs/>
          <w:b/>
        </w:rPr>
        <w:t xml:space="preserve">twelve mathematical engines</w:t>
      </w:r>
      <w:r>
        <w:t xml:space="preserve"> </w:t>
      </w:r>
      <w:r>
        <w:t xml:space="preserve">(Section 5) into a synchronized multi-layer representation, are combined by a</w:t>
      </w:r>
      <w:r>
        <w:t xml:space="preserve"> </w:t>
      </w:r>
      <w:r>
        <w:rPr>
          <w:bCs/>
          <w:b/>
        </w:rPr>
        <w:t xml:space="preserve">Fusion</w:t>
      </w:r>
      <w:r>
        <w:t xml:space="preserve"> </w:t>
      </w:r>
      <w:r>
        <w:t xml:space="preserve">stage that blends layer scores into a single relevance signal (Section 5.14), populate a</w:t>
      </w:r>
      <w:r>
        <w:t xml:space="preserve"> </w:t>
      </w:r>
      <w:r>
        <w:rPr>
          <w:bCs/>
          <w:b/>
        </w:rPr>
        <w:t xml:space="preserve">Memory</w:t>
      </w:r>
      <w:r>
        <w:t xml:space="preserve"> </w:t>
      </w:r>
      <w:r>
        <w:t xml:space="preserve">subsystem spanning both a content-abstraction hierarchy and an operational cache (Section 14), are surfaced by</w:t>
      </w:r>
      <w:r>
        <w:t xml:space="preserve"> </w:t>
      </w:r>
      <w:r>
        <w:rPr>
          <w:bCs/>
          <w:b/>
        </w:rPr>
        <w:t xml:space="preserve">Hybrid Retrieval</w:t>
      </w:r>
      <w:r>
        <w:t xml:space="preserve"> </w:t>
      </w:r>
      <w:r>
        <w:t xml:space="preserve">(Section 15), assembled by the</w:t>
      </w:r>
      <w:r>
        <w:t xml:space="preserve"> </w:t>
      </w:r>
      <w:r>
        <w:rPr>
          <w:bCs/>
          <w:b/>
        </w:rPr>
        <w:t xml:space="preserve">Context Builder</w:t>
      </w:r>
      <w:r>
        <w:t xml:space="preserve"> </w:t>
      </w:r>
      <w:r>
        <w:t xml:space="preserve">using budget-aware knapsack packing (Sections 8–9), formatted by an</w:t>
      </w:r>
      <w:r>
        <w:t xml:space="preserve"> </w:t>
      </w:r>
      <w:r>
        <w:rPr>
          <w:bCs/>
          <w:b/>
        </w:rPr>
        <w:t xml:space="preserve">Export</w:t>
      </w:r>
      <w:r>
        <w:t xml:space="preserve"> </w:t>
      </w:r>
      <w:r>
        <w:t xml:space="preserve">stage into a Universal Export Object (UEO) tailored to the target agent’s expected input format, dispatched through an</w:t>
      </w:r>
      <w:r>
        <w:t xml:space="preserve"> </w:t>
      </w:r>
      <w:r>
        <w:rPr>
          <w:bCs/>
          <w:b/>
        </w:rPr>
        <w:t xml:space="preserve">Agent Connector</w:t>
      </w:r>
      <w:r>
        <w:t xml:space="preserve"> </w:t>
      </w:r>
      <w:r>
        <w:t xml:space="preserve">to the chosen downstream language model (Claude, GPT-class, Gemini, DeepSeek, Qwen, or a self-hosted model), and finally passed through a</w:t>
      </w:r>
      <w:r>
        <w:t xml:space="preserve"> </w:t>
      </w:r>
      <w:r>
        <w:rPr>
          <w:bCs/>
          <w:b/>
        </w:rPr>
        <w:t xml:space="preserve">Verification</w:t>
      </w:r>
      <w:r>
        <w:t xml:space="preserve"> </w:t>
      </w:r>
      <w:r>
        <w:t xml:space="preserve">stage (Section 19) before the response reaches the end user.</w:t>
      </w:r>
    </w:p>
    <w:p>
      <w:pPr>
        <w:pStyle w:val="BodyText"/>
      </w:pPr>
      <w:r>
        <w:rPr>
          <w:iCs/>
          <w:i/>
        </w:rPr>
        <w:t xml:space="preserve">[Figure 1 — full pipeline diagram]</w:t>
      </w:r>
    </w:p>
    <w:bookmarkEnd w:id="41"/>
    <w:bookmarkStart w:id="42" w:name="high-level-system-topology"/>
    <w:p>
      <w:pPr>
        <w:pStyle w:val="Heading3"/>
      </w:pPr>
      <w:r>
        <w:t xml:space="preserve">4.3 High-Level System Topology</w:t>
      </w:r>
    </w:p>
    <w:p>
      <w:pPr>
        <w:pStyle w:val="FirstParagraph"/>
      </w:pPr>
      <w:r>
        <w:t xml:space="preserve">At the infrastructure level, client applications (web, mobile, API, SDK) enter through an API gateway (Envoy/Kong class) providing authentication, rate limiting, and routing. Behind the gateway, the ingestion, query, and memory-lifecycle workflows described in Section 18 run as independently deployable services, backed by a polyglot persistence layer: a vector database (Milvus-class, HNSW indexing) for dense embeddings, a full-text search engine (Elasticsearch-class) for BM25 lexical retrieval, a relational store (Postgres-class) for chunk metadata, session state, and the audit log, an in-memory store (Redis-class) for the operational cache tiers of Section 14.2, and object storage (S3-class) for page images, figure crops, and derived JSON artifacts. Document ingestion at scale is orchestrated through a distributed batch layer (Ray/Spark-class) with a priority queue and autoscaling worker pool, described fully as Workflow 6 in Section 18.</w:t>
      </w:r>
    </w:p>
    <w:p>
      <w:pPr>
        <w:pStyle w:val="BodyText"/>
      </w:pPr>
      <w:r>
        <w:t xml:space="preserve">This topology is stated as the intended production target for the architecture; the reference implementation accompanying this monograph exercises the mathematical core (Sections 5–12) directly and does not itself stand up the full multi-service production topology described here, which remains, per Section 23, an infrastructure item rather than a mathematical or algorithmic one.</w:t>
      </w:r>
    </w:p>
    <w:bookmarkEnd w:id="42"/>
    <w:bookmarkStart w:id="46" w:name="X1d02980887ad42e6745f6f75877131d4b5e8284"/>
    <w:p>
      <w:pPr>
        <w:pStyle w:val="Heading3"/>
      </w:pPr>
      <w:r>
        <w:t xml:space="preserve">4.4 Twelve Mathematical Engines: Summary Table</w:t>
      </w:r>
    </w:p>
    <w:p>
      <w:pPr>
        <w:pStyle w:val="FirstParagraph"/>
      </w:pPr>
      <w:r>
        <w:t xml:space="preserve">Table 2 previews the twelve engines detailed in Section 5, organized by the development wave in which each was introduced.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Wave</w:t>
            </w:r>
          </w:p>
        </w:tc>
        <w:tc>
          <w:tcPr/>
          <w:p>
            <w:pPr>
              <w:pStyle w:val="Compact"/>
              <w:jc w:val="left"/>
            </w:pPr>
            <w:r>
              <w:t xml:space="preserve">Engine</w:t>
            </w:r>
          </w:p>
        </w:tc>
        <w:tc>
          <w:tcPr/>
          <w:p>
            <w:pPr>
              <w:pStyle w:val="Compact"/>
              <w:jc w:val="left"/>
            </w:pPr>
            <w:r>
              <w:t xml:space="preserve">Mathematical foundation</w:t>
            </w:r>
          </w:p>
        </w:tc>
        <w:tc>
          <w:tcPr/>
          <w:p>
            <w:pPr>
              <w:pStyle w:val="Compact"/>
              <w:jc w:val="left"/>
            </w:pPr>
            <w:r>
              <w:t xml:space="preserve">Primary role</w:t>
            </w:r>
          </w:p>
        </w:tc>
      </w:tr>
      <w:tr>
        <w:tc>
          <w:tcPr/>
          <w:p>
            <w:pPr>
              <w:pStyle w:val="Compact"/>
              <w:jc w:val="left"/>
            </w:pPr>
            <w:r>
              <w:t xml:space="preserve">1</w:t>
            </w:r>
          </w:p>
        </w:tc>
        <w:tc>
          <w:tcPr/>
          <w:p>
            <w:pPr>
              <w:pStyle w:val="Compact"/>
              <w:jc w:val="left"/>
            </w:pPr>
            <w:r>
              <w:t xml:space="preserve">Geometry</w:t>
            </w:r>
          </w:p>
        </w:tc>
        <w:tc>
          <w:tcPr/>
          <w:p>
            <w:pPr>
              <w:pStyle w:val="Compact"/>
              <w:jc w:val="left"/>
            </w:pPr>
            <w:r>
              <w:t xml:space="preserve">Spatial coordinates, bounding boxes, Euclidean/angular distance</w:t>
            </w:r>
          </w:p>
        </w:tc>
        <w:tc>
          <w:tcPr/>
          <w:p>
            <w:pPr>
              <w:pStyle w:val="Compact"/>
              <w:jc w:val="left"/>
            </w:pPr>
            <w:r>
              <w:t xml:space="preserve">Spatial graph construction (Section 6)</w:t>
            </w:r>
          </w:p>
        </w:tc>
      </w:tr>
      <w:tr>
        <w:tc>
          <w:tcPr/>
          <w:p>
            <w:pPr>
              <w:pStyle w:val="Compact"/>
              <w:jc w:val="left"/>
            </w:pPr>
            <w:r>
              <w:t xml:space="preserve">1</w:t>
            </w:r>
          </w:p>
        </w:tc>
        <w:tc>
          <w:tcPr/>
          <w:p>
            <w:pPr>
              <w:pStyle w:val="Compact"/>
              <w:jc w:val="left"/>
            </w:pPr>
            <w:r>
              <w:t xml:space="preserve">Matrix</w:t>
            </w:r>
          </w:p>
        </w:tc>
        <w:tc>
          <w:tcPr/>
          <w:p>
            <w:pPr>
              <w:pStyle w:val="Compact"/>
              <w:jc w:val="left"/>
            </w:pPr>
            <w:r>
              <w:t xml:space="preserve">Linear algebra over table cells: sums, means, covariance, correlation</w:t>
            </w:r>
          </w:p>
        </w:tc>
        <w:tc>
          <w:tcPr/>
          <w:p>
            <w:pPr>
              <w:pStyle w:val="Compact"/>
              <w:jc w:val="left"/>
            </w:pPr>
            <w:r>
              <w:t xml:space="preserve">Tabular relational encoding (Section 12.2)</w:t>
            </w:r>
          </w:p>
        </w:tc>
      </w:tr>
      <w:tr>
        <w:tc>
          <w:tcPr/>
          <w:p>
            <w:pPr>
              <w:pStyle w:val="Compact"/>
              <w:jc w:val="left"/>
            </w:pPr>
            <w:r>
              <w:t xml:space="preserve">1</w:t>
            </w:r>
          </w:p>
        </w:tc>
        <w:tc>
          <w:tcPr/>
          <w:p>
            <w:pPr>
              <w:pStyle w:val="Compact"/>
              <w:jc w:val="left"/>
            </w:pPr>
            <w:r>
              <w:t xml:space="preserve">Template</w:t>
            </w:r>
          </w:p>
        </w:tc>
        <w:tc>
          <w:tcPr/>
          <w:p>
            <w:pPr>
              <w:pStyle w:val="Compact"/>
              <w:jc w:val="left"/>
            </w:pPr>
            <w:r>
              <w:t xml:space="preserve">Layout fingerprints and structural signatures</w:t>
            </w:r>
          </w:p>
        </w:tc>
        <w:tc>
          <w:tcPr/>
          <w:p>
            <w:pPr>
              <w:pStyle w:val="Compact"/>
              <w:jc w:val="left"/>
            </w:pPr>
            <w:r>
              <w:t xml:space="preserve">Recurring-layout deduplication</w:t>
            </w:r>
          </w:p>
        </w:tc>
      </w:tr>
      <w:tr>
        <w:tc>
          <w:tcPr/>
          <w:p>
            <w:pPr>
              <w:pStyle w:val="Compact"/>
              <w:jc w:val="left"/>
            </w:pPr>
            <w:r>
              <w:t xml:space="preserve">2</w:t>
            </w:r>
          </w:p>
        </w:tc>
        <w:tc>
          <w:tcPr/>
          <w:p>
            <w:pPr>
              <w:pStyle w:val="Compact"/>
              <w:jc w:val="left"/>
            </w:pPr>
            <w:r>
              <w:t xml:space="preserve">Frequency</w:t>
            </w:r>
          </w:p>
        </w:tc>
        <w:tc>
          <w:tcPr/>
          <w:p>
            <w:pPr>
              <w:pStyle w:val="Compact"/>
              <w:jc w:val="left"/>
            </w:pPr>
            <w:r>
              <w:t xml:space="preserve">TF-IDF, BM25, information-theoretic term weighting</w:t>
            </w:r>
          </w:p>
        </w:tc>
        <w:tc>
          <w:tcPr/>
          <w:p>
            <w:pPr>
              <w:pStyle w:val="Compact"/>
              <w:jc w:val="left"/>
            </w:pPr>
            <w:r>
              <w:t xml:space="preserve">Lexical retrieval signal</w:t>
            </w:r>
          </w:p>
        </w:tc>
      </w:tr>
      <w:tr>
        <w:tc>
          <w:tcPr/>
          <w:p>
            <w:pPr>
              <w:pStyle w:val="Compact"/>
              <w:jc w:val="left"/>
            </w:pPr>
            <w:r>
              <w:t xml:space="preserve">2</w:t>
            </w:r>
          </w:p>
        </w:tc>
        <w:tc>
          <w:tcPr/>
          <w:p>
            <w:pPr>
              <w:pStyle w:val="Compact"/>
              <w:jc w:val="left"/>
            </w:pPr>
            <w:r>
              <w:t xml:space="preserve">Recurrence</w:t>
            </w:r>
          </w:p>
        </w:tc>
        <w:tc>
          <w:tcPr/>
          <w:p>
            <w:pPr>
              <w:pStyle w:val="Compact"/>
              <w:jc w:val="left"/>
            </w:pPr>
            <w:r>
              <w:t xml:space="preserve">LSH, MinHash, structural recurrence relations</w:t>
            </w:r>
          </w:p>
        </w:tc>
        <w:tc>
          <w:tcPr/>
          <w:p>
            <w:pPr>
              <w:pStyle w:val="Compact"/>
              <w:jc w:val="left"/>
            </w:pPr>
            <w:r>
              <w:t xml:space="preserve">Duplicate/boilerplate detection (headers, footers)</w:t>
            </w:r>
          </w:p>
        </w:tc>
      </w:tr>
      <w:tr>
        <w:tc>
          <w:tcPr/>
          <w:p>
            <w:pPr>
              <w:pStyle w:val="Compact"/>
              <w:jc w:val="left"/>
            </w:pPr>
            <w:r>
              <w:t xml:space="preserve">2</w:t>
            </w:r>
          </w:p>
        </w:tc>
        <w:tc>
          <w:tcPr/>
          <w:p>
            <w:pPr>
              <w:pStyle w:val="Compact"/>
              <w:jc w:val="left"/>
            </w:pPr>
            <w:r>
              <w:t xml:space="preserve">Semantic</w:t>
            </w:r>
          </w:p>
        </w:tc>
        <w:tc>
          <w:tcPr/>
          <w:p>
            <w:pPr>
              <w:pStyle w:val="Compact"/>
              <w:jc w:val="left"/>
            </w:pPr>
            <w:r>
              <w:t xml:space="preserve">Dense embeddings, named-entity recognition</w:t>
            </w:r>
          </w:p>
        </w:tc>
        <w:tc>
          <w:tcPr/>
          <w:p>
            <w:pPr>
              <w:pStyle w:val="Compact"/>
              <w:jc w:val="left"/>
            </w:pPr>
            <w:r>
              <w:t xml:space="preserve">Semantic retrieval signal</w:t>
            </w:r>
          </w:p>
        </w:tc>
      </w:tr>
      <w:tr>
        <w:tc>
          <w:tcPr/>
          <w:p>
            <w:pPr>
              <w:pStyle w:val="Compact"/>
              <w:jc w:val="left"/>
            </w:pPr>
            <w:r>
              <w:t xml:space="preserve">2</w:t>
            </w:r>
          </w:p>
        </w:tc>
        <w:tc>
          <w:tcPr/>
          <w:p>
            <w:pPr>
              <w:pStyle w:val="Compact"/>
              <w:jc w:val="left"/>
            </w:pPr>
            <w:r>
              <w:t xml:space="preserve">Graph</w:t>
            </w:r>
          </w:p>
        </w:tc>
        <w:tc>
          <w:tcPr/>
          <w:p>
            <w:pPr>
              <w:pStyle w:val="Compact"/>
              <w:jc w:val="left"/>
            </w:pPr>
            <w:r>
              <w:t xml:space="preserve">PageRank, breadth-first search, shortest paths, topological sort</w:t>
            </w:r>
          </w:p>
        </w:tc>
        <w:tc>
          <w:tcPr/>
          <w:p>
            <w:pPr>
              <w:pStyle w:val="Compact"/>
              <w:jc w:val="left"/>
            </w:pPr>
            <w:r>
              <w:t xml:space="preserve">Reading-order recovery (Section 6)</w:t>
            </w:r>
          </w:p>
        </w:tc>
      </w:tr>
      <w:tr>
        <w:tc>
          <w:tcPr/>
          <w:p>
            <w:pPr>
              <w:pStyle w:val="Compact"/>
              <w:jc w:val="left"/>
            </w:pPr>
            <w:r>
              <w:t xml:space="preserve">4</w:t>
            </w:r>
          </w:p>
        </w:tc>
        <w:tc>
          <w:tcPr/>
          <w:p>
            <w:pPr>
              <w:pStyle w:val="Compact"/>
              <w:jc w:val="left"/>
            </w:pPr>
            <w:r>
              <w:t xml:space="preserve">Topology</w:t>
            </w:r>
          </w:p>
        </w:tc>
        <w:tc>
          <w:tcPr/>
          <w:p>
            <w:pPr>
              <w:pStyle w:val="Compact"/>
              <w:jc w:val="left"/>
            </w:pPr>
            <w:r>
              <w:t xml:space="preserve">Betti numbers, persistent homology</w:t>
            </w:r>
          </w:p>
        </w:tc>
        <w:tc>
          <w:tcPr/>
          <w:p>
            <w:pPr>
              <w:pStyle w:val="Compact"/>
              <w:jc w:val="left"/>
            </w:pPr>
            <w:r>
              <w:t xml:space="preserve">Structural-shape classification (open item, Section 23)</w:t>
            </w:r>
          </w:p>
        </w:tc>
      </w:tr>
      <w:tr>
        <w:tc>
          <w:tcPr/>
          <w:p>
            <w:pPr>
              <w:pStyle w:val="Compact"/>
              <w:jc w:val="left"/>
            </w:pPr>
            <w:r>
              <w:t xml:space="preserve">4</w:t>
            </w:r>
          </w:p>
        </w:tc>
        <w:tc>
          <w:tcPr/>
          <w:p>
            <w:pPr>
              <w:pStyle w:val="Compact"/>
              <w:jc w:val="left"/>
            </w:pPr>
            <w:r>
              <w:t xml:space="preserve">Spectral</w:t>
            </w:r>
          </w:p>
        </w:tc>
        <w:tc>
          <w:tcPr/>
          <w:p>
            <w:pPr>
              <w:pStyle w:val="Compact"/>
              <w:jc w:val="left"/>
            </w:pPr>
            <w:r>
              <w:t xml:space="preserve">Graph Laplacian eigendecomposition, spectral clustering</w:t>
            </w:r>
          </w:p>
        </w:tc>
        <w:tc>
          <w:tcPr/>
          <w:p>
            <w:pPr>
              <w:pStyle w:val="Compact"/>
              <w:jc w:val="left"/>
            </w:pPr>
            <w:r>
              <w:t xml:space="preserve">Structural grouping (Section 12.4)</w:t>
            </w:r>
          </w:p>
        </w:tc>
      </w:tr>
      <w:tr>
        <w:tc>
          <w:tcPr/>
          <w:p>
            <w:pPr>
              <w:pStyle w:val="Compact"/>
              <w:jc w:val="left"/>
            </w:pPr>
            <w:r>
              <w:t xml:space="preserve">4</w:t>
            </w:r>
          </w:p>
        </w:tc>
        <w:tc>
          <w:tcPr/>
          <w:p>
            <w:pPr>
              <w:pStyle w:val="Compact"/>
              <w:jc w:val="left"/>
            </w:pPr>
            <w:r>
              <w:t xml:space="preserve">Tensor</w:t>
            </w:r>
          </w:p>
        </w:tc>
        <w:tc>
          <w:tcPr/>
          <w:p>
            <w:pPr>
              <w:pStyle w:val="Compact"/>
              <w:jc w:val="left"/>
            </w:pPr>
            <w:r>
              <w:t xml:space="preserve">Tucker / CP / Tensor-Train decomposition</w:t>
            </w:r>
          </w:p>
        </w:tc>
        <w:tc>
          <w:tcPr/>
          <w:p>
            <w:pPr>
              <w:pStyle w:val="Compact"/>
              <w:jc w:val="left"/>
            </w:pPr>
            <w:r>
              <w:t xml:space="preserve">Multi-way table and cross-document compression</w:t>
            </w:r>
          </w:p>
        </w:tc>
      </w:tr>
      <w:tr>
        <w:tc>
          <w:tcPr/>
          <w:p>
            <w:pPr>
              <w:pStyle w:val="Compact"/>
              <w:jc w:val="left"/>
            </w:pPr>
            <w:r>
              <w:t xml:space="preserve">4</w:t>
            </w:r>
          </w:p>
        </w:tc>
        <w:tc>
          <w:tcPr/>
          <w:p>
            <w:pPr>
              <w:pStyle w:val="Compact"/>
              <w:jc w:val="left"/>
            </w:pPr>
            <w:r>
              <w:t xml:space="preserve">Info Physics</w:t>
            </w:r>
          </w:p>
        </w:tc>
        <w:tc>
          <w:tcPr/>
          <w:p>
            <w:pPr>
              <w:pStyle w:val="Compact"/>
              <w:jc w:val="left"/>
            </w:pPr>
            <w:r>
              <w:t xml:space="preserve">Energy, gravity, and field analogies over entropy-weighted elements</w:t>
            </w:r>
          </w:p>
        </w:tc>
        <w:tc>
          <w:tcPr/>
          <w:p>
            <w:pPr>
              <w:pStyle w:val="Compact"/>
              <w:jc w:val="left"/>
            </w:pPr>
            <w:r>
              <w:t xml:space="preserve">Relevance-decay and attention-allocation heuristics</w:t>
            </w:r>
          </w:p>
        </w:tc>
      </w:tr>
      <w:tr>
        <w:tc>
          <w:tcPr/>
          <w:p>
            <w:pPr>
              <w:pStyle w:val="Compact"/>
              <w:jc w:val="left"/>
            </w:pPr>
            <w:r>
              <w:t xml:space="preserve">2/4</w:t>
            </w:r>
          </w:p>
        </w:tc>
        <w:tc>
          <w:tcPr/>
          <w:p>
            <w:pPr>
              <w:pStyle w:val="Compact"/>
              <w:jc w:val="left"/>
            </w:pPr>
            <w:r>
              <w:t xml:space="preserve">Retrieval</w:t>
            </w:r>
          </w:p>
        </w:tc>
        <w:tc>
          <w:tcPr/>
          <w:p>
            <w:pPr>
              <w:pStyle w:val="Compact"/>
              <w:jc w:val="left"/>
            </w:pPr>
            <w:r>
              <w:t xml:space="preserve">Hybrid fusion of the above signals (Section 15)</w:t>
            </w:r>
          </w:p>
        </w:tc>
        <w:tc>
          <w:tcPr/>
          <w:p>
            <w:pPr>
              <w:pStyle w:val="Compact"/>
              <w:jc w:val="left"/>
            </w:pPr>
            <w:r>
              <w:t xml:space="preserve">Final ranked candidate list into the context packer</w:t>
            </w:r>
          </w:p>
        </w:tc>
      </w:tr>
    </w:tbl>
    <w:p>
      <w:pPr>
        <w:pStyle w:val="BodyText"/>
      </w:pPr>
      <w:r>
        <w:t xml:space="preserve">Section 5 treats each engine’s mathematical contract individually; Sections 6–9 give full formal and correctness treatment to the three engines (Geometry/Graph jointly for reading order, and the packing formalization spanning Frequency/Semantic/Matrix value scoring) that are hardened in this edition.</w:t>
      </w:r>
    </w:p>
    <w:p>
      <w:pPr>
        <w:pStyle w:val="CaptionedFigure"/>
      </w:pPr>
      <w:r>
        <w:drawing>
          <wp:inline>
            <wp:extent cx="5943600" cy="2207622"/>
            <wp:effectExtent b="0" l="0" r="0" t="0"/>
            <wp:docPr descr="Figure 1. End-to-end pipeline." title="" id="44" name="Picture"/>
            <a:graphic>
              <a:graphicData uri="http://schemas.openxmlformats.org/drawingml/2006/picture">
                <pic:pic>
                  <pic:nvPicPr>
                    <pic:cNvPr descr="figures/fig1_pipeline.png" id="45" name="Picture"/>
                    <pic:cNvPicPr>
                      <a:picLocks noChangeArrowheads="1" noChangeAspect="1"/>
                    </pic:cNvPicPr>
                  </pic:nvPicPr>
                  <pic:blipFill>
                    <a:blip r:embed="rId43"/>
                    <a:stretch>
                      <a:fillRect/>
                    </a:stretch>
                  </pic:blipFill>
                  <pic:spPr bwMode="auto">
                    <a:xfrm>
                      <a:off x="0" y="0"/>
                      <a:ext cx="5943600" cy="2207622"/>
                    </a:xfrm>
                    <a:prstGeom prst="rect">
                      <a:avLst/>
                    </a:prstGeom>
                    <a:noFill/>
                    <a:ln w="9525">
                      <a:noFill/>
                      <a:headEnd/>
                      <a:tailEnd/>
                    </a:ln>
                  </pic:spPr>
                </pic:pic>
              </a:graphicData>
            </a:graphic>
          </wp:inline>
        </w:drawing>
      </w:r>
    </w:p>
    <w:p>
      <w:pPr>
        <w:pStyle w:val="ImageCaption"/>
      </w:pPr>
      <w:r>
        <w:t xml:space="preserve">Figure 1. End-to-end pipeline.</w:t>
      </w:r>
    </w:p>
    <w:bookmarkEnd w:id="46"/>
    <w:bookmarkEnd w:id="47"/>
    <w:bookmarkStart w:id="55" w:name="Xc83127823f0c8f9a5620fbb9c65cf126f26b294"/>
    <w:p>
      <w:pPr>
        <w:pStyle w:val="Heading2"/>
      </w:pPr>
      <w:r>
        <w:t xml:space="preserve">5. The Master Document Representation and Twelve Mathematical Engines</w:t>
      </w:r>
    </w:p>
    <w:bookmarkStart w:id="48" w:name="the-master-document-tuple"/>
    <w:p>
      <w:pPr>
        <w:pStyle w:val="Heading3"/>
      </w:pPr>
      <w:r>
        <w:t xml:space="preserve">5.1 The Master Document Tuple</w:t>
      </w:r>
    </w:p>
    <w:p>
      <w:pPr>
        <w:pStyle w:val="FirstParagraph"/>
      </w:pPr>
      <w:r>
        <w:t xml:space="preserve">A document D is defined as a 10-tuple synchronizing ten representation layers, each populated by one or more of the twelve engines:</w:t>
      </w:r>
    </w:p>
    <w:p>
      <w:pPr>
        <w:pStyle w:val="BodyText"/>
      </w:pPr>
      <w:r>
        <w:t xml:space="preserve">D = (P, S, G, R, F, M, T, X, H, E)</w:t>
      </w:r>
    </w:p>
    <w:p>
      <w:pPr>
        <w:pStyle w:val="BodyText"/>
      </w:pPr>
      <w:r>
        <w:t xml:space="preserve">where P is the ordered set of page representations, S is the semantic embedding layer, G is the geometric coordinate layer, R is the structural recurrence layer, F is the token frequency/weight layer, M is the table-matrix relational layer, T is the clustered template-fingerprint layer, X is the structural linkage graph layer, H is the hierarchical coordinate layer, and E is the Shannon-entropy layer. Every downstream stage in this monograph — reading-order recovery (Section 6), elastic chunking (Section 7), and context packing (Sections 8–9) — reads from this single synchronized object rather than from independently-computed, potentially inconsistent per-purpose extractions.</w:t>
      </w:r>
    </w:p>
    <w:bookmarkEnd w:id="48"/>
    <w:bookmarkStart w:id="49" w:name="element-representation"/>
    <w:p>
      <w:pPr>
        <w:pStyle w:val="Heading3"/>
      </w:pPr>
      <w:r>
        <w:t xml:space="preserve">5.2 Element Representation</w:t>
      </w:r>
    </w:p>
    <w:p>
      <w:pPr>
        <w:pStyle w:val="FirstParagraph"/>
      </w:pPr>
      <w:r>
        <w:t xml:space="preserve">Each page P_i is an ordered set of elements P_i = {E_1, …, E_n}. Each element E_i is an 8-tuple:</w:t>
      </w:r>
    </w:p>
    <w:p>
      <w:pPr>
        <w:pStyle w:val="BodyText"/>
      </w:pPr>
      <w:r>
        <w:t xml:space="preserve">E_i = (x_i, y_i, w_i, h_i, p_i, θ_i, t_i, c_i)</w:t>
      </w:r>
    </w:p>
    <w:p>
      <w:pPr>
        <w:pStyle w:val="BodyText"/>
      </w:pPr>
      <w:r>
        <w:t xml:space="preserve">where (x_i, y_i) ∈ [0,1]² are the normalized top-left bounding-box coordinates, (w_i, h_i) ∈ [0,1]² are the normalized width and height, p_i ∈ ℕ⁺ is the page number, θ_i ∈ [0, 2π) is the element’s rotation angle, t_i is the element type (text, table, figure, heading, …), and c_i is the element’s textual or binary content.</w:t>
      </w:r>
    </w:p>
    <w:bookmarkEnd w:id="49"/>
    <w:bookmarkStart w:id="50" w:name="X962f21bb544cc3ec4473d54babbfeaae551e60c"/>
    <w:p>
      <w:pPr>
        <w:pStyle w:val="Heading3"/>
      </w:pPr>
      <w:r>
        <w:t xml:space="preserve">5.3 Coordinate Normalization and Scale Invariance</w:t>
      </w:r>
    </w:p>
    <w:p>
      <w:pPr>
        <w:pStyle w:val="FirstParagraph"/>
      </w:pPr>
      <w:r>
        <w:t xml:space="preserve">Raw pixel coordinates are normalized against physical page dimensions W_p, H_p: x̃_i = x_i / W_p, ỹ_i = y_i / H_p, and similarly for width and height. This normalization is not cosmetic — it is what allows every downstream geometric computation (distance, alignment, area ratio) to be compared across pages and documents of differing physical dimensions.</w:t>
      </w:r>
    </w:p>
    <w:p>
      <w:pPr>
        <w:pStyle w:val="BodyText"/>
      </w:pPr>
      <w:r>
        <w:rPr>
          <w:bCs/>
          <w:b/>
        </w:rPr>
        <w:t xml:space="preserve">Theorem 5.1 (Scale invariance).</w:t>
      </w:r>
      <w:r>
        <w:t xml:space="preserve"> </w:t>
      </w:r>
      <w:r>
        <w:t xml:space="preserve">For any uniform page rescaling by factor λ &gt; 0 (W’ = λW, H’ = λH, x’ = λx, y’ = λy), the normalized-coordinate distance satisfies dist(x̃’_i, x̃’_j) = dist(x̃_i, x̃_j) — i.e., the normalized distance metric is exactly invariant under page rescaling.</w:t>
      </w:r>
    </w:p>
    <w:p>
      <w:pPr>
        <w:pStyle w:val="BodyText"/>
      </w:pPr>
      <w:r>
        <w:rPr>
          <w:iCs/>
          <w:i/>
        </w:rPr>
        <w:t xml:space="preserve">Proof.</w:t>
      </w:r>
      <w:r>
        <w:t xml:space="preserve"> </w:t>
      </w:r>
      <w:r>
        <w:t xml:space="preserve">The physical distance scales linearly under uniform rescaling: d’ = √((x’_i − x’_j)² + (y’_i − y’_j)²) = λ·√((x_i − x_j)² + (y_i − y_j)²) = λd. Meanwhile the normalized coordinates themselves are rescaling-invariant: x̃’_i = x’_i/W’ = λx_i/λW = x_i/W = x̃_i, and identically for ỹ. Since the normalized coordinates are pointwise unchanged, any distance computed between them is pointwise unchanged: dist(x̃’_i, x̃’_j) = dist(x̃_i, x̃_j). ∎</w:t>
      </w:r>
    </w:p>
    <w:p>
      <w:pPr>
        <w:pStyle w:val="BodyText"/>
      </w:pPr>
      <w:r>
        <w:rPr>
          <w:bCs/>
          <w:b/>
        </w:rPr>
        <w:t xml:space="preserve">Theorem 5.2 (Metric validity).</w:t>
      </w:r>
      <w:r>
        <w:t xml:space="preserve"> </w:t>
      </w:r>
      <w:r>
        <w:t xml:space="preserve">The normalized Euclidean distance d_ij = √((x_i−x_j)² + (y_i−y_j)²) is a valid metric on ℝ²: it is non-negative, zero exactly when E_i = E_j, symmetric, and satisfies the triangle inequality (the last by Minkowski’s inequality for p = 2). This validity matters operationally because Section 6’s spatial adjacency function composes this distance with an exponential decay kernel exp(−D_ij/σ), and a decay kernel over a non-metric</w:t>
      </w:r>
      <w:r>
        <w:t xml:space="preserve"> </w:t>
      </w:r>
      <w:r>
        <w:t xml:space="preserve">“</w:t>
      </w:r>
      <w:r>
        <w:t xml:space="preserve">distance</w:t>
      </w:r>
      <w:r>
        <w:t xml:space="preserve">”</w:t>
      </w:r>
      <w:r>
        <w:t xml:space="preserve"> </w:t>
      </w:r>
      <w:r>
        <w:t xml:space="preserve">would not have the monotonic, well-behaved falloff the adjacency function relies on.</w:t>
      </w:r>
    </w:p>
    <w:bookmarkEnd w:id="50"/>
    <w:bookmarkStart w:id="51" w:name="the-twelve-engines"/>
    <w:p>
      <w:pPr>
        <w:pStyle w:val="Heading3"/>
      </w:pPr>
      <w:r>
        <w:t xml:space="preserve">5.4 The Twelve Engines</w:t>
      </w:r>
    </w:p>
    <w:p>
      <w:pPr>
        <w:pStyle w:val="FirstParagraph"/>
      </w:pPr>
      <w:r>
        <w:rPr>
          <w:bCs/>
          <w:b/>
        </w:rPr>
        <w:t xml:space="preserve">Geometry Engine (Wave 1).</w:t>
      </w:r>
      <w:r>
        <w:t xml:space="preserve"> </w:t>
      </w:r>
      <w:r>
        <w:t xml:space="preserve">Computes the spatial primitives of Sections 5.2–5.3: Euclidean and page-penalized distance, horizontal/vertical alignment scores A_x(i,j) = 1 − |x_i−x_j|/W and A_y(i,j) = 1 − |y_i−y_j|/H, and area ratio AR_i = w̃_i·h̃_i. These primitives feed directly into the spatial adjacency function of Section 6.</w:t>
      </w:r>
    </w:p>
    <w:p>
      <w:pPr>
        <w:pStyle w:val="BodyText"/>
      </w:pPr>
      <w:r>
        <w:rPr>
          <w:bCs/>
          <w:b/>
        </w:rPr>
        <w:t xml:space="preserve">Matrix Engine (Wave 1).</w:t>
      </w:r>
      <w:r>
        <w:t xml:space="preserve"> </w:t>
      </w:r>
      <w:r>
        <w:t xml:space="preserve">Represents each detected table as a cell matrix M = [m_ij]_{r×c} and computes linear-algebraic summaries — total sum, mean μ, variance σ², covariance, and Pearson correlation ρ = Cov(X,Y)/(σ_Xσ_Y) — along with cell-adjacency structure D(i,j) = {M[i,j−1], M[i−1,j], M[i−1,j−1]} for dependency-aware table reasoning, and growth metrics (period-over-period growth G, and compound annual growth rate) for financial and time-series tables specifically.</w:t>
      </w:r>
    </w:p>
    <w:p>
      <w:pPr>
        <w:pStyle w:val="BodyText"/>
      </w:pPr>
      <w:r>
        <w:rPr>
          <w:bCs/>
          <w:b/>
        </w:rPr>
        <w:t xml:space="preserve">Template Engine (Wave 1).</w:t>
      </w:r>
      <w:r>
        <w:t xml:space="preserve"> </w:t>
      </w:r>
      <w:r>
        <w:t xml:space="preserve">Extracts a per-page structural fingerprint T = (h, b, t, i, m) — header count, block count, table count, image count, and a 4-vector of page margins — and computes template similarity between pages as TS(T_1, T_2) = cos(T_1, T_2). This is the mechanism by which recurring page layouts (a report’s cover-page template versus its body-page template) are detected without a hand-authored template library.</w:t>
      </w:r>
    </w:p>
    <w:p>
      <w:pPr>
        <w:pStyle w:val="BodyText"/>
      </w:pPr>
      <w:r>
        <w:rPr>
          <w:bCs/>
          <w:b/>
        </w:rPr>
        <w:t xml:space="preserve">Frequency Engine (Wave 2).</w:t>
      </w:r>
      <w:r>
        <w:t xml:space="preserve"> </w:t>
      </w:r>
      <w:r>
        <w:t xml:space="preserve">Computes TF-IDF and BM25 lexical weighting, plus an information-theoretic term-importance function I_f(x) = 1/(1 + log f(x)).</w:t>
      </w:r>
    </w:p>
    <w:p>
      <w:pPr>
        <w:pStyle w:val="BodyText"/>
      </w:pPr>
      <w:r>
        <w:rPr>
          <w:bCs/>
          <w:b/>
        </w:rPr>
        <w:t xml:space="preserve">Theorem 5.3 (Frequency-weighting monotonicity and bounds).</w:t>
      </w:r>
      <w:r>
        <w:t xml:space="preserve"> </w:t>
      </w:r>
      <w:r>
        <w:t xml:space="preserve">I_f is strictly decreasing on f(x) ≥ 1, with I_f(1) = 1 and lim_{f→∞} I_f(x) = 0, so I_f(x) ∈ (0,1].</w:t>
      </w:r>
    </w:p>
    <w:p>
      <w:pPr>
        <w:pStyle w:val="BodyText"/>
      </w:pPr>
      <w:r>
        <w:rPr>
          <w:iCs/>
          <w:i/>
        </w:rPr>
        <w:t xml:space="preserve">Proof sketch.</w:t>
      </w:r>
      <w:r>
        <w:t xml:space="preserve"> </w:t>
      </w:r>
      <w:r>
        <w:t xml:space="preserve">Writing g(y) = 1/(1+ln y) for y ≥ 1, g’(y) = −1/(y(1+ln y)²) &lt; 0 for all y ≥ 1, establishing strict monotonic decrease; g(1) = 1 and g(y) → 0 as y → ∞ by direct evaluation and limit, and continuity on a strictly-decreasing continuous function over [1, ∞) gives range (0, 1]. ∎</w:t>
      </w:r>
    </w:p>
    <w:p>
      <w:pPr>
        <w:pStyle w:val="BodyText"/>
      </w:pPr>
      <w:r>
        <w:t xml:space="preserve">This theorem is what licenses using I_f directly as a downweighting factor for high-frequency boilerplate terms without a separate stopword list: the function is guaranteed to never invert (never assign a rarer term less weight than a more common one) and never leaves the interpretable (0,1] range.</w:t>
      </w:r>
    </w:p>
    <w:p>
      <w:pPr>
        <w:pStyle w:val="BodyText"/>
      </w:pPr>
      <w:r>
        <w:rPr>
          <w:bCs/>
          <w:b/>
        </w:rPr>
        <w:t xml:space="preserve">Recurrence Engine (Wave 2).</w:t>
      </w:r>
      <w:r>
        <w:t xml:space="preserve"> </w:t>
      </w:r>
      <w:r>
        <w:t xml:space="preserve">Detects structural duplicates — running headers, footers, page numbers — via locality-sensitive hashing (LSH) and MinHash, and via exact structural hashing H_i = Hash(E_i), where an element is defined as recurring iff its hash frequency f(H_i) &gt; 1. Recurring blocks follow the recurrence relation R_n = a·R_{n-1} + b, and are stored once (a canonical form R_0) with per-occurrence page references rather than duplicated in full.</w:t>
      </w:r>
    </w:p>
    <w:p>
      <w:pPr>
        <w:pStyle w:val="BodyText"/>
      </w:pPr>
      <w:r>
        <w:rPr>
          <w:bCs/>
          <w:b/>
        </w:rPr>
        <w:t xml:space="preserve">Theorem 5.4 (Recurrence compression bound).</w:t>
      </w:r>
      <w:r>
        <w:t xml:space="preserve"> </w:t>
      </w:r>
      <w:r>
        <w:t xml:space="preserve">For a document with n recurring instances of a block across p_max pages, storing one canonical copy plus per-instance page references consumes less memory than naive full-duplication storage if and only if |R_0| &gt; log_2(p_max)·n/(n−1).</w:t>
      </w:r>
    </w:p>
    <w:p>
      <w:pPr>
        <w:pStyle w:val="BodyText"/>
      </w:pPr>
      <w:r>
        <w:rPr>
          <w:iCs/>
          <w:i/>
        </w:rPr>
        <w:t xml:space="preserve">Proof.</w:t>
      </w:r>
      <w:r>
        <w:t xml:space="preserve"> </w:t>
      </w:r>
      <w:r>
        <w:t xml:space="preserve">Naive storage costs S_naive = n·|R_0|. Canonical-plus-reference storage costs S_AMDI = |R_0| + n·log_2(p_max). Compression is beneficial exactly when S_AMDI &lt; S_naive, i.e., |R_0| + n·log_2(p_max) &lt; n·|R_0|, which rearranges to n·log_2(p_max) &lt; (n−1)·|R_0|, i.e., |R_0| &gt; log_2(p_max)·n/(n−1). As n → ∞, the multiplier n/(n−1) → 1, so the asymptotic condition simplifies to |R_0| &gt; log_2(p_max). ∎</w:t>
      </w:r>
    </w:p>
    <w:p>
      <w:pPr>
        <w:pStyle w:val="BodyText"/>
      </w:pPr>
      <w:r>
        <w:t xml:space="preserve">This is a genuinely useful engineering bound: it tells an implementer exactly when deduplication is worth the bookkeeping overhead (a one-word recurring block on a 1,000-page document, where log_2(1000) ≈ 10 bits already exceeds a short |R_0|, is a case where naive per-instance storage may in fact be cheaper for very small R_0, though in practice |R_0| for a real header/footer block is far larger than 10 bits and the bound is comfortably satisfied).</w:t>
      </w:r>
    </w:p>
    <w:p>
      <w:pPr>
        <w:pStyle w:val="BodyText"/>
      </w:pPr>
      <w:r>
        <w:rPr>
          <w:bCs/>
          <w:b/>
        </w:rPr>
        <w:t xml:space="preserve">Semantic Engine (Wave 2).</w:t>
      </w:r>
      <w:r>
        <w:t xml:space="preserve"> </w:t>
      </w:r>
      <w:r>
        <w:t xml:space="preserve">Maps text and named entities into dense embeddings S_i ∈ ℝ^d (d ∈ {384, 768, 1024, 1536, 3072} depending on the configured backbone), scored by cosine similarity. As discussed in Section 2.1 and revisited in Section 12.7, the joint text-layout augmentation h_i = LayerNorm(e_text(v_i) + e_2D_bbox(b_i)) is the intended integration point for a LayoutLMv3-class encoder; the currently wired encoder in the reference implementation is a structurally-verified mock pending that integration.</w:t>
      </w:r>
    </w:p>
    <w:p>
      <w:pPr>
        <w:pStyle w:val="BodyText"/>
      </w:pPr>
      <w:r>
        <w:rPr>
          <w:bCs/>
          <w:b/>
        </w:rPr>
        <w:t xml:space="preserve">Graph Engine (Wave 2).</w:t>
      </w:r>
      <w:r>
        <w:t xml:space="preserve"> </w:t>
      </w:r>
      <w:r>
        <w:t xml:space="preserve">Builds the structural linkage graph X = (V, E) over document elements, with adjacency matrix A[i,j] = 1 iff (i,j) ∈ E, degree centrality C(v) = deg(v)/(N−1), and PageRank PR(v) = (1−d)/N + d·Σ_{u→v} PR(u)/L(u) for identifying structurally central elements (e.g., a heading many sections link back to). The directed, reading-order-specific specialization of this engine is the subject of full formal treatment in Section 6.</w:t>
      </w:r>
    </w:p>
    <w:p>
      <w:pPr>
        <w:pStyle w:val="BodyText"/>
      </w:pPr>
      <w:r>
        <w:rPr>
          <w:bCs/>
          <w:b/>
        </w:rPr>
        <w:t xml:space="preserve">Topology Engine (Wave 4).</w:t>
      </w:r>
      <w:r>
        <w:t xml:space="preserve"> </w:t>
      </w:r>
      <w:r>
        <w:t xml:space="preserve">Computes Betti numbers and persistent homology features over the document’s structural graph, intended for tabular-grid detection (identifying a table’s row/column topology from its cell-adjacency structure alone, without relying on detected ruling lines). This engine is listed in Section 23 as an evaluate-before-adopt candidate rather than a hardened component in the current reference implementation.</w:t>
      </w:r>
    </w:p>
    <w:p>
      <w:pPr>
        <w:pStyle w:val="BodyText"/>
      </w:pPr>
      <w:r>
        <w:rPr>
          <w:bCs/>
          <w:b/>
        </w:rPr>
        <w:t xml:space="preserve">Spectral Engine (Wave 4).</w:t>
      </w:r>
      <w:r>
        <w:t xml:space="preserve"> </w:t>
      </w:r>
      <w:r>
        <w:t xml:space="preserve">Computes the eigendecomposition of the document graph’s Laplacian for spectral clustering (Von Luxburg, 2007) — structural grouping of visually or relationally similar elements without a predefined template. Section 12.4 gives this engine full treatment for the specific task of structural grouping, and Section 12.6 formally evaluates and rejects an alternative proposal to reuse the same machinery for reading-order sequencing.</w:t>
      </w:r>
    </w:p>
    <w:p>
      <w:pPr>
        <w:pStyle w:val="BodyText"/>
      </w:pPr>
      <w:r>
        <w:rPr>
          <w:bCs/>
          <w:b/>
        </w:rPr>
        <w:t xml:space="preserve">Tensor Engine (Wave 4).</w:t>
      </w:r>
      <w:r>
        <w:t xml:space="preserve"> </w:t>
      </w:r>
      <w:r>
        <w:t xml:space="preserve">Applies Tucker, CP (CANDECOMP/PARAFAC), and Tensor-Train decompositions to multi-way data — e.g., a corpus of structurally similar tables treated as a 3-way tensor (table × row × column) — for cross-document compression and pattern extraction.</w:t>
      </w:r>
    </w:p>
    <w:p>
      <w:pPr>
        <w:pStyle w:val="BodyText"/>
      </w:pPr>
      <w:r>
        <w:rPr>
          <w:bCs/>
          <w:b/>
        </w:rPr>
        <w:t xml:space="preserve">Information Physics Engine (Wave 4).</w:t>
      </w:r>
      <w:r>
        <w:t xml:space="preserve"> </w:t>
      </w:r>
      <w:r>
        <w:t xml:space="preserve">Applies energy, gravity, and field analogies over entropy-weighted elements: treating high-entropy (high-information) elements as exerting stronger</w:t>
      </w:r>
      <w:r>
        <w:t xml:space="preserve"> </w:t>
      </w:r>
      <w:r>
        <w:t xml:space="preserve">“</w:t>
      </w:r>
      <w:r>
        <w:t xml:space="preserve">attraction</w:t>
      </w:r>
      <w:r>
        <w:t xml:space="preserve">”</w:t>
      </w:r>
      <w:r>
        <w:t xml:space="preserve"> </w:t>
      </w:r>
      <w:r>
        <w:t xml:space="preserve">in a relevance-decay model, giving an intuitive but mathematically grounded (via the Shannon-entropy layer E of Section 5.1) heuristic for attention allocation across a long document.</w:t>
      </w:r>
    </w:p>
    <w:p>
      <w:pPr>
        <w:pStyle w:val="BodyText"/>
      </w:pPr>
      <w:r>
        <w:rPr>
          <w:bCs/>
          <w:b/>
        </w:rPr>
        <w:t xml:space="preserve">Retrieval Engine (Waves 2 and 4).</w:t>
      </w:r>
      <w:r>
        <w:t xml:space="preserve"> </w:t>
      </w:r>
      <w:r>
        <w:t xml:space="preserve">Fuses the scoring signals produced by the above engines into the seven-method hybrid retrieval system detailed in Section 15, which is itself the direct input to the context-packing formalization of Sections 8–9.</w:t>
      </w:r>
    </w:p>
    <w:bookmarkEnd w:id="51"/>
    <w:bookmarkStart w:id="52" w:name="shannon-entropy-layer"/>
    <w:p>
      <w:pPr>
        <w:pStyle w:val="Heading3"/>
      </w:pPr>
      <w:r>
        <w:t xml:space="preserve">5.5 Shannon Entropy Layer</w:t>
      </w:r>
    </w:p>
    <w:p>
      <w:pPr>
        <w:pStyle w:val="FirstParagraph"/>
      </w:pPr>
      <w:r>
        <w:t xml:space="preserve">Element-level information content is measured via Shannon entropy over token distributions: H(e_i) = −Σ_t (tf_t/|e_i|)·log_2(tf_t/|e_i|), with the aggregate document entropy H(X) = −Σ_x p(x)log_2 p(x).</w:t>
      </w:r>
    </w:p>
    <w:p>
      <w:pPr>
        <w:pStyle w:val="BodyText"/>
      </w:pPr>
      <w:r>
        <w:rPr>
          <w:bCs/>
          <w:b/>
        </w:rPr>
        <w:t xml:space="preserve">Theorem 5.5 (Entropy bounds).</w:t>
      </w:r>
      <w:r>
        <w:t xml:space="preserve"> </w:t>
      </w:r>
      <w:r>
        <w:t xml:space="preserve">0 ≤ H(X) ≤ log_2|X|, with equality at the lower bound for a deterministic (single-outcome) distribution and equality at the upper bound for the uniform distribution.</w:t>
      </w:r>
    </w:p>
    <w:p>
      <w:pPr>
        <w:pStyle w:val="BodyText"/>
      </w:pPr>
      <w:r>
        <w:rPr>
          <w:iCs/>
          <w:i/>
        </w:rPr>
        <w:t xml:space="preserve">Proof.</w:t>
      </w:r>
      <w:r>
        <w:t xml:space="preserve"> </w:t>
      </w:r>
      <w:r>
        <w:t xml:space="preserve">Since each p_i ∈ [0,1], log_2 p_i ≤ 0, so −p_i log_2 p_i ≥ 0 termwise, giving H(X) ≥ 0, with equality when a single p_k = 1 (all other terms vanish and −1·log_2 1 = 0). For the upper bound, maximize H subject to Σp_i = 1 via Lagrange multipliers: setting ∂/∂p_i[−Σp_i log_2 p_i + λ(Σp_i − 1)] = 0 gives p_i = 2^{λ ln 2 − 1} = constant for all i, so the constrained optimum is the uniform distribution p_i = 1/n, at which H = log_2 n. ∎</w:t>
      </w:r>
    </w:p>
    <w:p>
      <w:pPr>
        <w:pStyle w:val="BodyText"/>
      </w:pPr>
      <w:r>
        <w:t xml:space="preserve">This bound is the anchor for the information-density diagnostics of Section 10.7: an element’s entropy relative to log_2|X| gives a normalized, cross-document-comparable information-richness score, used by the fusion stage (Section 5.14 below) to identify which representation layer is carrying the most discriminating signal for a given query.</w:t>
      </w:r>
    </w:p>
    <w:bookmarkEnd w:id="52"/>
    <w:bookmarkStart w:id="53" w:name="hierarchical-coordinates-and-uniqueness"/>
    <w:p>
      <w:pPr>
        <w:pStyle w:val="Heading3"/>
      </w:pPr>
      <w:r>
        <w:t xml:space="preserve">5.6 Hierarchical Coordinates and Uniqueness</w:t>
      </w:r>
    </w:p>
    <w:p>
      <w:pPr>
        <w:pStyle w:val="FirstParagraph"/>
      </w:pPr>
      <w:r>
        <w:t xml:space="preserve">Every token additionally carries a hierarchical coordinate H = (p, s, b, l, t) — page, section, block, line, and token index.</w:t>
      </w:r>
    </w:p>
    <w:p>
      <w:pPr>
        <w:pStyle w:val="BodyText"/>
      </w:pPr>
      <w:r>
        <w:rPr>
          <w:bCs/>
          <w:b/>
        </w:rPr>
        <w:t xml:space="preserve">Theorem 5.6 (Hierarchical coordinate uniqueness).</w:t>
      </w:r>
      <w:r>
        <w:t xml:space="preserve"> </w:t>
      </w:r>
      <w:r>
        <w:t xml:space="preserve">The 5-tuple H uniquely identifies any token in the document.</w:t>
      </w:r>
    </w:p>
    <w:p>
      <w:pPr>
        <w:pStyle w:val="BodyText"/>
      </w:pPr>
      <w:r>
        <w:rPr>
          <w:iCs/>
          <w:i/>
        </w:rPr>
        <w:t xml:space="preserve">Proof.</w:t>
      </w:r>
      <w:r>
        <w:t xml:space="preserve"> </w:t>
      </w:r>
      <w:r>
        <w:t xml:space="preserve">Suppose two distinct tokens T_a ≠ T_b share coordinate (p,s,b,l,t). Matching p places both on the same page; matching s places both in the same section of that page; matching b places both in the same block of that section; matching l places both on the same line of that block; and a document line is represented as a sequential array indexed by token position, so L_l[t] denotes a single token value — L_l[t] = T_a and L_l[t] = T_b together force T_a = T_b, contradicting the assumption. ∎</w:t>
      </w:r>
    </w:p>
    <w:p>
      <w:pPr>
        <w:pStyle w:val="BodyText"/>
      </w:pPr>
      <w:r>
        <w:t xml:space="preserve">This uniqueness property is what allows a citation (Section 19.2) to resolve deterministically from a chunk_id back to an exact page, section, block, line, and token span, rather than to an approximate</w:t>
      </w:r>
      <w:r>
        <w:t xml:space="preserve"> </w:t>
      </w:r>
      <w:r>
        <w:t xml:space="preserve">“</w:t>
      </w:r>
      <w:r>
        <w:t xml:space="preserve">somewhere in this chunk</w:t>
      </w:r>
      <w:r>
        <w:t xml:space="preserve">”</w:t>
      </w:r>
      <w:r>
        <w:t xml:space="preserve"> </w:t>
      </w:r>
      <w:r>
        <w:t xml:space="preserve">region.</w:t>
      </w:r>
    </w:p>
    <w:bookmarkEnd w:id="53"/>
    <w:bookmarkStart w:id="54" w:name="fusion-combining-layer-scores"/>
    <w:p>
      <w:pPr>
        <w:pStyle w:val="Heading3"/>
      </w:pPr>
      <w:r>
        <w:t xml:space="preserve">5.7 Fusion: Combining Layer Scores</w:t>
      </w:r>
    </w:p>
    <w:p>
      <w:pPr>
        <w:pStyle w:val="FirstParagraph"/>
      </w:pPr>
      <w:r>
        <w:t xml:space="preserve">The fusion stage combines the per-layer scores into a single multi-layer retrieval score:</w:t>
      </w:r>
    </w:p>
    <w:p>
      <w:pPr>
        <w:pStyle w:val="BodyText"/>
      </w:pPr>
      <w:r>
        <w:t xml:space="preserve">R(Q, D) = Σ_i w_i(Q)·s_i(Q, D), subject to Σw_i = 1, w_i ≥ 0</w:t>
      </w:r>
    </w:p>
    <w:p>
      <w:pPr>
        <w:pStyle w:val="BodyText"/>
      </w:pPr>
      <w:r>
        <w:t xml:space="preserve">where weights are either normalized directly from raw per-layer scores (w_i = score_i / Σ_j score_j) or learned via a softmax-headed MLP over a query feature vector, w* = softmax(MLP(φ(Q))) — the</w:t>
      </w:r>
      <w:r>
        <w:t xml:space="preserve"> </w:t>
      </w:r>
      <w:r>
        <w:t xml:space="preserve">“</w:t>
      </w:r>
      <w:r>
        <w:t xml:space="preserve">dynamic router</w:t>
      </w:r>
      <w:r>
        <w:t xml:space="preserve">”</w:t>
      </w:r>
      <w:r>
        <w:t xml:space="preserve"> </w:t>
      </w:r>
      <w:r>
        <w:t xml:space="preserve">formalized further in Section 13.5’s contextual-bandit treatment. Fusion confidence is reported as the weighted sum C = Σ_i w_i·R_i, giving downstream consumers a single scalar they can threshold on (e.g., to trigger the escalation paths of Section 18.5).</w:t>
      </w:r>
    </w:p>
    <w:bookmarkEnd w:id="54"/>
    <w:bookmarkEnd w:id="55"/>
    <w:bookmarkStart w:id="65" w:name="graph-driven-spatial-topology-anchoring"/>
    <w:p>
      <w:pPr>
        <w:pStyle w:val="Heading2"/>
      </w:pPr>
      <w:r>
        <w:t xml:space="preserve">6. Graph-Driven Spatial Topology Anchoring</w:t>
      </w:r>
    </w:p>
    <w:bookmarkStart w:id="56" w:name="motivation"/>
    <w:p>
      <w:pPr>
        <w:pStyle w:val="Heading3"/>
      </w:pPr>
      <w:r>
        <w:t xml:space="preserve">6.1 Motivation</w:t>
      </w:r>
    </w:p>
    <w:p>
      <w:pPr>
        <w:pStyle w:val="FirstParagraph"/>
      </w:pPr>
      <w:r>
        <w:t xml:space="preserve">Bottleneck 1 (Section 3.2) is a sequencing problem: given a set of extracted elements, recover the order a human reader would traverse them in, under multi-column layouts, sidebars, and irregular wrapping where a naive top-to-bottom sort fails. Section 6 treats this as a graph construction and traversal problem rather than a sorting problem, because — as Section 11.1 documents — a sorting-based approach that relies on a soft, post-hoc-pruned adjacency structure cannot guarantee either termination or determinism under adversarial layouts, while a graph constructed to be acyclic</w:t>
      </w:r>
      <w:r>
        <w:t xml:space="preserve"> </w:t>
      </w:r>
      <w:r>
        <w:rPr>
          <w:iCs/>
          <w:i/>
        </w:rPr>
        <w:t xml:space="preserve">by definition</w:t>
      </w:r>
      <w:r>
        <w:t xml:space="preserve"> </w:t>
      </w:r>
      <w:r>
        <w:t xml:space="preserve">can guarantee both.</w:t>
      </w:r>
    </w:p>
    <w:bookmarkEnd w:id="56"/>
    <w:bookmarkStart w:id="57" w:name="spatial-graph-construction"/>
    <w:p>
      <w:pPr>
        <w:pStyle w:val="Heading3"/>
      </w:pPr>
      <w:r>
        <w:t xml:space="preserve">6.2 Spatial Graph Construction</w:t>
      </w:r>
    </w:p>
    <w:p>
      <w:pPr>
        <w:pStyle w:val="FirstParagraph"/>
      </w:pPr>
      <w:r>
        <w:t xml:space="preserve">Text blocks are modeled as nodes V in a directed spatial graph G = (V, E), populated by a spatial adjacency function combining three geometric constraints computed by the Geometry Engine (Section 5.4):</w:t>
      </w:r>
    </w:p>
    <w:p>
      <w:pPr>
        <w:numPr>
          <w:ilvl w:val="0"/>
          <w:numId w:val="1004"/>
        </w:numPr>
        <w:pStyle w:val="Compact"/>
      </w:pPr>
      <w:r>
        <w:rPr>
          <w:bCs/>
          <w:b/>
        </w:rPr>
        <w:t xml:space="preserve">Boundary-to-boundary distance D(b_i, b_j)</w:t>
      </w:r>
      <w:r>
        <w:t xml:space="preserve"> </w:t>
      </w:r>
      <w:r>
        <w:t xml:space="preserve">— the minimum distance between the two elements’ bounding boxes, rather than centroid distance, because centroid distance fails on long, flat text boxes (two wide single-line elements can have distant centroids while their near edges are adjacent).</w:t>
      </w:r>
    </w:p>
    <w:p>
      <w:pPr>
        <w:numPr>
          <w:ilvl w:val="0"/>
          <w:numId w:val="1004"/>
        </w:numPr>
        <w:pStyle w:val="Compact"/>
      </w:pPr>
      <w:r>
        <w:rPr>
          <w:bCs/>
          <w:b/>
        </w:rPr>
        <w:t xml:space="preserve">Angular bias θ_ij = atan2(Δy, Δx)</w:t>
      </w:r>
      <w:r>
        <w:t xml:space="preserve">, penalizing transitions that move upward or sharply diagonally relative to a natural reading-flow angle θ_flow, via max(0, cos(θ_ij − θ_flow)).</w:t>
      </w:r>
    </w:p>
    <w:p>
      <w:pPr>
        <w:numPr>
          <w:ilvl w:val="0"/>
          <w:numId w:val="1004"/>
        </w:numPr>
        <w:pStyle w:val="Compact"/>
      </w:pPr>
      <w:r>
        <w:rPr>
          <w:bCs/>
          <w:b/>
        </w:rPr>
        <w:t xml:space="preserve">Horizontal overlap coefficient Φ_ij</w:t>
      </w:r>
      <w:r>
        <w:t xml:space="preserve">, preventing multi-column layouts from blending horizontally across column boundaries by penalizing edges between elements with little or no horizontal projection overlap.</w:t>
      </w:r>
    </w:p>
    <w:p>
      <w:pPr>
        <w:pStyle w:val="FirstParagraph"/>
      </w:pPr>
      <w:r>
        <w:t xml:space="preserve">The combined edge-weight matrix is:</w:t>
      </w:r>
    </w:p>
    <w:p>
      <w:pPr>
        <w:pStyle w:val="BodyText"/>
      </w:pPr>
      <w:r>
        <w:t xml:space="preserve">A_ij = 𝟙[Δy_ij ≥ −ε] · ( α·exp(−D(b_i,b_j)/σ) + β·max(0, cos(θ_ij − θ_flow)) + γ·Φ(b_i,b_j) )</w:t>
      </w:r>
    </w:p>
    <w:p>
      <w:pPr>
        <w:pStyle w:val="BodyText"/>
      </w:pPr>
      <w:r>
        <w:t xml:space="preserve">where 𝟙[·] is an indicator function enforcing an asymmetric reading-direction constraint (candidate successors must not be meaningfully</w:t>
      </w:r>
      <w:r>
        <w:t xml:space="preserve"> </w:t>
      </w:r>
      <w:r>
        <w:t xml:space="preserve">“</w:t>
      </w:r>
      <w:r>
        <w:t xml:space="preserve">above</w:t>
      </w:r>
      <w:r>
        <w:t xml:space="preserve">”</w:t>
      </w:r>
      <w:r>
        <w:t xml:space="preserve"> </w:t>
      </w:r>
      <w:r>
        <w:t xml:space="preserve">their predecessor), and α, β, γ are configurable weights satisfying α + β + γ = 1. Candidate edges beyond a distance threshold τ_dist are dropped outright, bounding the graph’s density (and, per Section 20.1, its construction cost).</w:t>
      </w:r>
    </w:p>
    <w:p>
      <w:pPr>
        <w:pStyle w:val="BodyText"/>
      </w:pPr>
      <w:r>
        <w:rPr>
          <w:iCs/>
          <w:i/>
        </w:rPr>
        <w:t xml:space="preserve">[Figure 2 — page layout to directed reading-order graph]</w:t>
      </w:r>
    </w:p>
    <w:bookmarkEnd w:id="57"/>
    <w:bookmarkStart w:id="58" w:name="X0e46d797785b3896509f352d817bb2caf124b5a"/>
    <w:p>
      <w:pPr>
        <w:pStyle w:val="Heading3"/>
      </w:pPr>
      <w:r>
        <w:t xml:space="preserve">6.3 From Soft Gating to Construction-Time Acyclicity</w:t>
      </w:r>
    </w:p>
    <w:p>
      <w:pPr>
        <w:pStyle w:val="FirstParagraph"/>
      </w:pPr>
      <w:r>
        <w:t xml:space="preserve">The original formulation of this adjacency function used the indicator 𝟙[Δy_ij ≥ −ε] as a</w:t>
      </w:r>
      <w:r>
        <w:t xml:space="preserve"> </w:t>
      </w:r>
      <w:r>
        <w:rPr>
          <w:iCs/>
          <w:i/>
        </w:rPr>
        <w:t xml:space="preserve">soft</w:t>
      </w:r>
      <w:r>
        <w:t xml:space="preserve"> </w:t>
      </w:r>
      <w:r>
        <w:t xml:space="preserve">gate applied after both-direction edge weights had already been computed — meaning two nodes on the same visual row (Δy_ij ≈ 0 in both directions) could receive a positive edge weight in</w:t>
      </w:r>
      <w:r>
        <w:t xml:space="preserve"> </w:t>
      </w:r>
      <w:r>
        <w:rPr>
          <w:iCs/>
          <w:i/>
        </w:rPr>
        <w:t xml:space="preserve">both</w:t>
      </w:r>
      <w:r>
        <w:t xml:space="preserve"> </w:t>
      </w:r>
      <w:r>
        <w:t xml:space="preserve">directions simultaneously, since ±ε both satisfy the ≥ −ε test from either node’s perspective. Section 11.1 documents the correctness consequence of this design (a graph that is not guaranteed acyclic, traversed by a recursive algorithm that is not guaranteed to terminate or to be deterministic) and its fix: edges are constructed only from i to j where j is a</w:t>
      </w:r>
      <w:r>
        <w:t xml:space="preserve"> </w:t>
      </w:r>
      <w:r>
        <w:rPr>
          <w:iCs/>
          <w:i/>
        </w:rPr>
        <w:t xml:space="preserve">strict</w:t>
      </w:r>
      <w:r>
        <w:t xml:space="preserve"> </w:t>
      </w:r>
      <w:r>
        <w:t xml:space="preserve">reading-forward successor of i — either to the right of i within the same row, or below i — which makes the successor relation antisymmetric by construction rather than by post-hoc filtering of a symmetric candidate set. We restate the corrected construction here as the definition used throughout the rest of this monograph:</w:t>
      </w:r>
    </w:p>
    <w:p>
      <w:pPr>
        <w:pStyle w:val="BodyText"/>
      </w:pPr>
      <w:r>
        <w:rPr>
          <w:bCs/>
          <w:b/>
        </w:rPr>
        <w:t xml:space="preserve">Definition 6.1 (Reading-forward successor).</w:t>
      </w:r>
      <w:r>
        <w:t xml:space="preserve"> </w:t>
      </w:r>
      <w:r>
        <w:t xml:space="preserve">j is a reading-forward successor of i iff either (a) i and j lie within the same row band (|y_i − y_j| &lt; row_tolerance) and x_j &gt; x_i, or (b) y_j &gt; y_i + row_tolerance (j lies on a strictly lower row band). An edge (i, j) ∈ E is constructed only when j is a reading-forward successor of i and D(b_i, b_j) ≤ τ_dist.</w:t>
      </w:r>
    </w:p>
    <w:p>
      <w:pPr>
        <w:pStyle w:val="BodyText"/>
      </w:pPr>
      <w:r>
        <w:rPr>
          <w:bCs/>
          <w:b/>
        </w:rPr>
        <w:t xml:space="preserve">Theorem 6.1 (Construction-time acyclicity).</w:t>
      </w:r>
      <w:r>
        <w:t xml:space="preserve"> </w:t>
      </w:r>
      <w:r>
        <w:t xml:space="preserve">The graph G = (V, E) built under Definition 6.1 is acyclic.</w:t>
      </w:r>
    </w:p>
    <w:p>
      <w:pPr>
        <w:pStyle w:val="BodyText"/>
      </w:pPr>
      <w:r>
        <w:rPr>
          <w:iCs/>
          <w:i/>
        </w:rPr>
        <w:t xml:space="preserve">Proof.</w:t>
      </w:r>
      <w:r>
        <w:t xml:space="preserve"> </w:t>
      </w:r>
      <w:r>
        <w:t xml:space="preserve">Define a strict total preorder ≺ on row bands by row index, and within a row band by x-coordinate. Definition 6.1 constructs an edge (i,j) only when j ≻ i under this preorder (strictly greater row band, or same row band with strictly greater x). A directed edge therefore only ever points from a lower element in this order to a strictly higher one. Any directed path v_1 → v_2 → … → v_k must have v_1 ≺ v_2 ≺ … ≺ v_k strictly increasing at every step, so no path can return to its starting node — a cycle would require some v_m ≺ v_m, which is impossible under a strict order. Hence G contains no directed cycle. ∎</w:t>
      </w:r>
    </w:p>
    <w:bookmarkEnd w:id="58"/>
    <w:bookmarkStart w:id="59" w:name="X4175a0eef26c707d25a41f845b1cc8122d1c797"/>
    <w:p>
      <w:pPr>
        <w:pStyle w:val="Heading3"/>
      </w:pPr>
      <w:r>
        <w:t xml:space="preserve">6.4 Reading-Order Recovery via Kahn’s Algorithm</w:t>
      </w:r>
    </w:p>
    <w:p>
      <w:pPr>
        <w:pStyle w:val="FirstParagraph"/>
      </w:pPr>
      <w:r>
        <w:t xml:space="preserve">Given the acyclic graph of Theorem 6.1, reading order is recovered via Kahn’s algorithm: repeatedly select and remove a node with in-degree zero, appending it to the output sequence, until the graph is empty. Because Theorem 6.1 already guarantees at least one in-degree-zero node exists at every step of a non-empty acyclic graph (a standard property of finite DAGs), Kahn’s algorithm on this graph is guaranteed to terminate after exactly |V| removals with every node visited exactly once — a stronger and cheaper guarantee than the recursive depth-first search this replaced (Section 11.1), which required an explicit visited-set and had no analogous termination guarantee under the earlier, non-acyclic-by-construction edge set.</w:t>
      </w:r>
    </w:p>
    <w:p>
      <w:pPr>
        <w:pStyle w:val="BodyText"/>
      </w:pPr>
      <w:r>
        <w:t xml:space="preserve">Ties among simultaneously-available in-degree-zero nodes are broken deterministically using a priority queue keyed on (y_min, x_min, node_id):</w:t>
      </w:r>
    </w:p>
    <w:p>
      <w:pPr>
        <w:pStyle w:val="BodyText"/>
      </w:pPr>
      <w:r>
        <w:rPr>
          <w:bCs/>
          <w:b/>
        </w:rPr>
        <w:t xml:space="preserve">Theorem 6.2 (Determinism).</w:t>
      </w:r>
      <w:r>
        <w:t xml:space="preserve"> </w:t>
      </w:r>
      <w:r>
        <w:t xml:space="preserve">For a fixed document (fixed element set and fixed geometric attributes), the reading order recovered by Kahn’s algorithm with (y_min, x_min, node_id)-keyed tie-breaking is independent of the input node list’s original ordering.</w:t>
      </w:r>
    </w:p>
    <w:p>
      <w:pPr>
        <w:pStyle w:val="BodyText"/>
      </w:pPr>
      <w:r>
        <w:rPr>
          <w:iCs/>
          <w:i/>
        </w:rPr>
        <w:t xml:space="preserve">Proof.</w:t>
      </w:r>
      <w:r>
        <w:t xml:space="preserve"> </w:t>
      </w:r>
      <w:r>
        <w:t xml:space="preserve">The edge set E is a pure function of pairwise geometric attributes (Definition 6.1), independent of list order, so G itself is identical regardless of input ordering. At each step, the set of currently-available (in-degree-zero) nodes is likewise a pure function of G and the set of already-removed nodes, both of which are themselves determined solely by prior deterministic steps (induction base case: before any removals, the available set is exactly the in-degree-zero nodes of G, a function of G alone). Among the available set, the tie-break key (y_min, x_min, node_id) imposes a strict total order (node_id is unique, so no two nodes share the full key), so the next node selected is uniquely determined by the available set — not by the original list order. By induction over the |V| removal steps, the entire output sequence is uniquely determined by G alone. ∎</w:t>
      </w:r>
    </w:p>
    <w:p>
      <w:pPr>
        <w:pStyle w:val="BodyText"/>
      </w:pPr>
      <w:r>
        <w:rPr>
          <w:bCs/>
          <w:b/>
        </w:rPr>
        <w:t xml:space="preserve">Corollary 6.1 (Reading sequence well-definedness).</w:t>
      </w:r>
      <w:r>
        <w:t xml:space="preserve"> </w:t>
      </w:r>
      <w:r>
        <w:t xml:space="preserve">The deterministic reading sequence S produced by this construction satisfies: if (v_i, v_j) ∈ E, then index(v_i) &lt; index(v_j) in S — i.e., S is a valid topological sort, by definition of Kahn’s algorithm’s correctness (a node is only appended once all its in-edges’ sources have already been appended, so no successor can precede its predecessor).</w:t>
      </w:r>
    </w:p>
    <w:bookmarkEnd w:id="59"/>
    <w:bookmarkStart w:id="60" w:name="complexity"/>
    <w:p>
      <w:pPr>
        <w:pStyle w:val="Heading3"/>
      </w:pPr>
      <w:r>
        <w:t xml:space="preserve">6.5 Complexity</w:t>
      </w:r>
    </w:p>
    <w:p>
      <w:pPr>
        <w:pStyle w:val="FirstParagraph"/>
      </w:pPr>
      <w:r>
        <w:t xml:space="preserve">Graph construction, per page, evaluates candidate adjacency for each pair of the n elements on that page in the worst case, giving O(n²) candidate-edge evaluation before distance-threshold pruning; reading-order recovery via Kahn’s algorithm runs in O(|V| + |E|), where |E| is bounded above by the distance-threshold τ_dist (Section 6.2). For typical page node counts (tens to low hundreds of elements), the O(n²) construction cost is acceptable; Section 20.1 and Section 23 discuss spatial indexing (grid bucketing or an R-tree) as the mitigation for pages with node counts in the thousands, where quadratic candidate-edge evaluation becomes the pipeline’s dominant cost.</w:t>
      </w:r>
    </w:p>
    <w:bookmarkEnd w:id="60"/>
    <w:bookmarkStart w:id="64" w:name="interaction-with-downstream-stages"/>
    <w:p>
      <w:pPr>
        <w:pStyle w:val="Heading3"/>
      </w:pPr>
      <w:r>
        <w:t xml:space="preserve">6.6 Interaction with Downstream Stages</w:t>
      </w:r>
    </w:p>
    <w:p>
      <w:pPr>
        <w:pStyle w:val="FirstParagraph"/>
      </w:pPr>
      <w:r>
        <w:t xml:space="preserve">The reading sequence S produced here has two consumers in the rest of this monograph: the elastic chunker (Section 7) walks S in order when evaluating consecutive-node boundary rules, and the fused context generation stage (Section 8.4) re-sorts the knapsack-selected chunk subset C* back into S-order before it is passed to the downstream language model — ensuring that even though the</w:t>
      </w:r>
      <w:r>
        <w:t xml:space="preserve"> </w:t>
      </w:r>
      <w:r>
        <w:rPr>
          <w:iCs/>
          <w:i/>
        </w:rPr>
        <w:t xml:space="preserve">selection</w:t>
      </w:r>
      <w:r>
        <w:t xml:space="preserve"> </w:t>
      </w:r>
      <w:r>
        <w:t xml:space="preserve">of which chunks to include is driven by a value-maximizing optimization (Sections 8–9) that has no inherent notion of document order, the</w:t>
      </w:r>
      <w:r>
        <w:t xml:space="preserve"> </w:t>
      </w:r>
      <w:r>
        <w:rPr>
          <w:iCs/>
          <w:i/>
        </w:rPr>
        <w:t xml:space="preserve">presentation</w:t>
      </w:r>
      <w:r>
        <w:t xml:space="preserve"> </w:t>
      </w:r>
      <w:r>
        <w:t xml:space="preserve">of those selected chunks to the language model always respects the human-intended reading flow established in this section.</w:t>
      </w:r>
    </w:p>
    <w:p>
      <w:pPr>
        <w:pStyle w:val="CaptionedFigure"/>
      </w:pPr>
      <w:r>
        <w:drawing>
          <wp:inline>
            <wp:extent cx="5943600" cy="2593570"/>
            <wp:effectExtent b="0" l="0" r="0" t="0"/>
            <wp:docPr descr="Figure 2. Spatial graph reading-order construction." title="" id="62" name="Picture"/>
            <a:graphic>
              <a:graphicData uri="http://schemas.openxmlformats.org/drawingml/2006/picture">
                <pic:pic>
                  <pic:nvPicPr>
                    <pic:cNvPr descr="figures/fig2_graph_dag.png" id="63" name="Picture"/>
                    <pic:cNvPicPr>
                      <a:picLocks noChangeArrowheads="1" noChangeAspect="1"/>
                    </pic:cNvPicPr>
                  </pic:nvPicPr>
                  <pic:blipFill>
                    <a:blip r:embed="rId61"/>
                    <a:stretch>
                      <a:fillRect/>
                    </a:stretch>
                  </pic:blipFill>
                  <pic:spPr bwMode="auto">
                    <a:xfrm>
                      <a:off x="0" y="0"/>
                      <a:ext cx="5943600" cy="2593570"/>
                    </a:xfrm>
                    <a:prstGeom prst="rect">
                      <a:avLst/>
                    </a:prstGeom>
                    <a:noFill/>
                    <a:ln w="9525">
                      <a:noFill/>
                      <a:headEnd/>
                      <a:tailEnd/>
                    </a:ln>
                  </pic:spPr>
                </pic:pic>
              </a:graphicData>
            </a:graphic>
          </wp:inline>
        </w:drawing>
      </w:r>
    </w:p>
    <w:p>
      <w:pPr>
        <w:pStyle w:val="ImageCaption"/>
      </w:pPr>
      <w:r>
        <w:t xml:space="preserve">Figure 2. Spatial graph reading-order construction.</w:t>
      </w:r>
    </w:p>
    <w:bookmarkEnd w:id="64"/>
    <w:bookmarkEnd w:id="65"/>
    <w:bookmarkStart w:id="71" w:name="layout-aware-elastic-chunking"/>
    <w:p>
      <w:pPr>
        <w:pStyle w:val="Heading2"/>
      </w:pPr>
      <w:r>
        <w:t xml:space="preserve">7. Layout-Aware Elastic Chunking</w:t>
      </w:r>
    </w:p>
    <w:bookmarkStart w:id="66" w:name="design-requirement"/>
    <w:p>
      <w:pPr>
        <w:pStyle w:val="Heading3"/>
      </w:pPr>
      <w:r>
        <w:t xml:space="preserve">7.1 Design Requirement</w:t>
      </w:r>
    </w:p>
    <w:p>
      <w:pPr>
        <w:pStyle w:val="FirstParagraph"/>
      </w:pPr>
      <w:r>
        <w:t xml:space="preserve">Bottleneck 2 (Section 3.2) calls for chunk boundaries that adapt to structural change in the document rather than to a rigid character or token count. The elastic chunker consumes the reading-ordered sequence S from Section 6 and walks it once, deciding at each consecutive pair of nodes whether to draw a chunk boundary between them.</w:t>
      </w:r>
    </w:p>
    <w:bookmarkEnd w:id="66"/>
    <w:bookmarkStart w:id="67" w:name="boundary-rules"/>
    <w:p>
      <w:pPr>
        <w:pStyle w:val="Heading3"/>
      </w:pPr>
      <w:r>
        <w:t xml:space="preserve">7.2 Boundary Rules</w:t>
      </w:r>
    </w:p>
    <w:p>
      <w:pPr>
        <w:pStyle w:val="FirstParagraph"/>
      </w:pPr>
      <w:r>
        <w:t xml:space="preserve">Four rules are evaluated, in order, over each consecutive node pair (v_k, v_{k+1}) in S:</w:t>
      </w:r>
    </w:p>
    <w:p>
      <w:pPr>
        <w:numPr>
          <w:ilvl w:val="0"/>
          <w:numId w:val="1005"/>
        </w:numPr>
        <w:pStyle w:val="Compact"/>
      </w:pPr>
      <w:r>
        <w:rPr>
          <w:bCs/>
          <w:b/>
        </w:rPr>
        <w:t xml:space="preserve">Protected-type rule.</w:t>
      </w:r>
      <w:r>
        <w:t xml:space="preserve"> </w:t>
      </w:r>
      <w:r>
        <w:t xml:space="preserve">If either v_k or v_{k+1} is a protected structural type — table, code block, equation, or figure — a hard boundary is forced on both sides of that node. Protected types are never merged with neighboring prose and are never internally split, except against a hard token ceiling used strictly as a last-resort safety valve (Section 7.4).</w:t>
      </w:r>
    </w:p>
    <w:p>
      <w:pPr>
        <w:numPr>
          <w:ilvl w:val="0"/>
          <w:numId w:val="1005"/>
        </w:numPr>
        <w:pStyle w:val="Compact"/>
      </w:pPr>
      <w:r>
        <w:rPr>
          <w:bCs/>
          <w:b/>
        </w:rPr>
        <w:t xml:space="preserve">Font-delta rule.</w:t>
      </w:r>
      <w:r>
        <w:t xml:space="preserve"> </w:t>
      </w:r>
      <w:r>
        <w:t xml:space="preserve">If the relative difference in font size (or, more generally, typographic weight class) between v_k and v_{k+1} exceeds a configurable threshold, a boundary is forced — this acts as a proxy for a heading-to-body transition.</w:t>
      </w:r>
    </w:p>
    <w:p>
      <w:pPr>
        <w:numPr>
          <w:ilvl w:val="0"/>
          <w:numId w:val="1005"/>
        </w:numPr>
        <w:pStyle w:val="Compact"/>
      </w:pPr>
      <w:r>
        <w:rPr>
          <w:bCs/>
          <w:b/>
        </w:rPr>
        <w:t xml:space="preserve">Gap rule.</w:t>
      </w:r>
      <w:r>
        <w:t xml:space="preserve"> </w:t>
      </w:r>
      <w:r>
        <w:t xml:space="preserve">If the vertical gap between v_k and v_{k+1} exceeds a configurable multiple of the local element height, a boundary is forced — this acts as a proxy for a section break that carries no explicit heading.</w:t>
      </w:r>
    </w:p>
    <w:p>
      <w:pPr>
        <w:numPr>
          <w:ilvl w:val="0"/>
          <w:numId w:val="1005"/>
        </w:numPr>
        <w:pStyle w:val="Compact"/>
      </w:pPr>
      <w:r>
        <w:rPr>
          <w:bCs/>
          <w:b/>
        </w:rPr>
        <w:t xml:space="preserve">Soft-budget rule.</w:t>
      </w:r>
      <w:r>
        <w:t xml:space="preserve"> </w:t>
      </w:r>
      <w:r>
        <w:t xml:space="preserve">If the projected token count of the chunk currently being assembled exceeds a soft budget, a boundary is forced once the running chunk is non-trivial (i.e., this rule never fires on an empty or single-element chunk, which would otherwise create degenerate zero-content chunks under a very small soft budget).</w:t>
      </w:r>
    </w:p>
    <w:p>
      <w:pPr>
        <w:pStyle w:val="FirstParagraph"/>
      </w:pPr>
      <w:r>
        <w:t xml:space="preserve">A chunk boundary is drawn if</w:t>
      </w:r>
      <w:r>
        <w:t xml:space="preserve"> </w:t>
      </w:r>
      <w:r>
        <w:rPr>
          <w:iCs/>
          <w:i/>
        </w:rPr>
        <w:t xml:space="preserve">any</w:t>
      </w:r>
      <w:r>
        <w:t xml:space="preserve"> </w:t>
      </w:r>
      <w:r>
        <w:t xml:space="preserve">of the four rules fires; the assembled chunks are the maximal runs of nodes in S between consecutive drawn boundaries.</w:t>
      </w:r>
    </w:p>
    <w:bookmarkEnd w:id="67"/>
    <w:bookmarkStart w:id="68" w:name="formal-statement"/>
    <w:p>
      <w:pPr>
        <w:pStyle w:val="Heading3"/>
      </w:pPr>
      <w:r>
        <w:t xml:space="preserve">7.3 Formal Statement</w:t>
      </w:r>
    </w:p>
    <w:p>
      <w:pPr>
        <w:pStyle w:val="FirstParagraph"/>
      </w:pPr>
      <w:r>
        <w:t xml:space="preserve">Let β: V × V → {0, 1} be the boundary predicate defined by the disjunction of the four rules above, evaluated on consecutive pairs in S. The chunk sequence C = (c_1, …, c_m) is the unique partition of S into maximal contiguous runs such that β(v_k, v_{k+1}) = 1 exactly at the boundary between c_j and c_{j+1} for every j, and β(v_k, v_{k+1}) = 0 for every internal pair within a single c_j. Each resulting chunk c_i subsequently carries a value V_i and a token weight W_i (Section 8.2) into the context packer.</w:t>
      </w:r>
    </w:p>
    <w:bookmarkEnd w:id="68"/>
    <w:bookmarkStart w:id="69" w:name="Xec48c64eebedea0ec15585e9627a5a3abcae166"/>
    <w:p>
      <w:pPr>
        <w:pStyle w:val="Heading3"/>
      </w:pPr>
      <w:r>
        <w:t xml:space="preserve">7.4 The Hard Ceiling as Safety Valve, Not Policy</w:t>
      </w:r>
    </w:p>
    <w:p>
      <w:pPr>
        <w:pStyle w:val="FirstParagraph"/>
      </w:pPr>
      <w:r>
        <w:t xml:space="preserve">The hard token ceiling referenced under the protected-type rule exists only to bound worst-case chunk size when a genuinely enormous protected block (e.g., a multi-thousand-row table with no internal substructure the parser can exploit) would otherwise produce a single chunk too large for any downstream embedding model’s input limit. It is explicitly</w:t>
      </w:r>
      <w:r>
        <w:t xml:space="preserve"> </w:t>
      </w:r>
      <w:r>
        <w:rPr>
          <w:iCs/>
          <w:i/>
        </w:rPr>
        <w:t xml:space="preserve">not</w:t>
      </w:r>
      <w:r>
        <w:t xml:space="preserve"> </w:t>
      </w:r>
      <w:r>
        <w:t xml:space="preserve">the chunking policy itself — the chunker’s normal behavior never splits a protected block for budget reasons alone, only for reading-forward structural reasons — and its use is logged so that a chunk produced under the safety-valve path can be distinguished, downstream, from a chunk produced under normal structural boundary detection.</w:t>
      </w:r>
    </w:p>
    <w:bookmarkEnd w:id="69"/>
    <w:bookmarkStart w:id="70" w:name="implementation-status-and-verification"/>
    <w:p>
      <w:pPr>
        <w:pStyle w:val="Heading3"/>
      </w:pPr>
      <w:r>
        <w:t xml:space="preserve">7.5 Implementation Status and Verification</w:t>
      </w:r>
    </w:p>
    <w:p>
      <w:pPr>
        <w:pStyle w:val="FirstParagraph"/>
      </w:pPr>
      <w:r>
        <w:t xml:space="preserve">As documented fully in Section 11.2, this stage did not exist in any form — not even as pseudocode with a partial implementation — in the version of the architecture this monograph’s first edition described; it was specified only in prose (</w:t>
      </w:r>
      <w:r>
        <w:t xml:space="preserve">“</w:t>
      </w:r>
      <w:r>
        <w:t xml:space="preserve">introduce cross-attention windowing… look for abrupt shifts…</w:t>
      </w:r>
      <w:r>
        <w:t xml:space="preserve">”</w:t>
      </w:r>
      <w:r>
        <w:t xml:space="preserve">) with no accompanying code. The concrete four-rule implementation above, and its unit-test verification (a protected type is never merged with adjacent prose regardless of proximity; a large font-size shift produces two chunks; two similar-font paragraphs merge into one chunk when under budget; a long text run splits once the soft token budget is exceeded), is one of the four defect-and-fix pairs constituting this monograph’s central correctness contribution, and is presented in full in Section 11.2 alongside the other three.</w:t>
      </w:r>
    </w:p>
    <w:bookmarkEnd w:id="70"/>
    <w:bookmarkEnd w:id="71"/>
    <w:bookmarkStart w:id="75" w:name="Xa35bf1e37e06c9bdf0cd303ee262459412e2346"/>
    <w:p>
      <w:pPr>
        <w:pStyle w:val="Heading2"/>
      </w:pPr>
      <w:r>
        <w:t xml:space="preserve">8. Vector-Space Embedding and Retrieval Value Scoring</w:t>
      </w:r>
    </w:p>
    <w:bookmarkStart w:id="72" w:name="joint-textlayout-embedding"/>
    <w:p>
      <w:pPr>
        <w:pStyle w:val="Heading3"/>
      </w:pPr>
      <w:r>
        <w:t xml:space="preserve">8.1 Joint Text–Layout Embedding</w:t>
      </w:r>
    </w:p>
    <w:p>
      <w:pPr>
        <w:pStyle w:val="FirstParagraph"/>
      </w:pPr>
      <w:r>
        <w:t xml:space="preserve">A joint text–layout encoder E: X × ℝ⁴ → ℝ^d maps each chunk c_i to a unit-norm vector d_i = E(t_i, b_i), combining the chunk’s text content t_i with its bounding-box geometry b_i, and maps the query analogously to q = E(t_q, b_q). As introduced in Section 5.6 and revisited in Section 12.7, the intended construction for this joint embedding is the additive layout augmentation h_i = LayerNorm(e_text(v_i) + e_2D_bbox(b_i)), consistent with the LayoutLMv3 family of pretraining objectives (Huang et al., 2022).</w:t>
      </w:r>
    </w:p>
    <w:bookmarkEnd w:id="72"/>
    <w:bookmarkStart w:id="73" w:name="blended-retrieval-value"/>
    <w:p>
      <w:pPr>
        <w:pStyle w:val="Heading3"/>
      </w:pPr>
      <w:r>
        <w:t xml:space="preserve">8.2 Blended Retrieval Value</w:t>
      </w:r>
    </w:p>
    <w:p>
      <w:pPr>
        <w:pStyle w:val="FirstParagraph"/>
      </w:pPr>
      <w:r>
        <w:t xml:space="preserve">Retrieval value for a chunk, given a query, is not raw cosine similarity alone but a blended, normalized score:</w:t>
      </w:r>
    </w:p>
    <w:p>
      <w:pPr>
        <w:pStyle w:val="BodyText"/>
      </w:pPr>
      <w:r>
        <w:t xml:space="preserve">V_i(q) = w_1·(q·d_i / (‖q‖‖d_i‖)) + w_2·M_i + w_3·T(t_query − t_i), with Σw_k = 1</w:t>
      </w:r>
    </w:p>
    <w:p>
      <w:pPr>
        <w:pStyle w:val="BodyText"/>
      </w:pPr>
      <w:r>
        <w:t xml:space="preserve">where M_i ∈ [0,1] is a structural priority flag (e.g., a table cell receives a higher default priority than a footer element under equal semantic similarity) and T(Δt) = exp(−λΔt) is an exponential recency decay applied when the retrieval context includes time-sensitive documents (e.g., quarterly filings, where an older filing’s near-identical language should not outrank the current quarter’s filing at equal semantic similarity). This blended value V_i(q) — not raw similarity — is the value term V_i that Sections 9’s knapsack formulation maximizes; it is what allows the packer to prefer a moderately-similar but structurally important table over a highly-similar but structurally low-priority footer repetition.</w:t>
      </w:r>
    </w:p>
    <w:bookmarkEnd w:id="73"/>
    <w:bookmarkStart w:id="74" w:name="multi-layer-score-fusion"/>
    <w:p>
      <w:pPr>
        <w:pStyle w:val="Heading3"/>
      </w:pPr>
      <w:r>
        <w:t xml:space="preserve">8.3 Multi-Layer Score Fusion</w:t>
      </w:r>
    </w:p>
    <w:p>
      <w:pPr>
        <w:pStyle w:val="FirstParagraph"/>
      </w:pPr>
      <w:r>
        <w:t xml:space="preserve">V_i(q) itself is typically not computed from the semantic embedding alone in production configurations; per Section 5.7, it is one input into the broader multi-layer fusion R(Q,D) = Σ_i w_i(Q)·s_i(Q,D), combining the semantic engine’s score with the frequency, geometry, graph, matrix, template, and recurrence engines’ scores under weights that may be static or dynamically routed (Section 13.5). The knapsack formulation of Section 9 is agnostic to which specific scoring pipeline produced V_i; its correctness guarantees (optimality of the DP solver, the bound on the greedy fallback) hold for any well-defined, per-chunk scalar value, which is precisely what makes it compatible with either a simple single-signal value function or the full nine-layer fusion described in Section 5.</w:t>
      </w:r>
    </w:p>
    <w:bookmarkEnd w:id="74"/>
    <w:bookmarkEnd w:id="75"/>
    <w:bookmarkStart w:id="87" w:name="X683bdcbfb36fcb169ebb34c8f8cff50a8773b7a"/>
    <w:p>
      <w:pPr>
        <w:pStyle w:val="Heading2"/>
      </w:pPr>
      <w:r>
        <w:t xml:space="preserve">9. Budget-Aware Context Packing via Constrained Optimization</w:t>
      </w:r>
    </w:p>
    <w:bookmarkStart w:id="76" w:name="context-assembly-as-01-knapsack"/>
    <w:p>
      <w:pPr>
        <w:pStyle w:val="Heading3"/>
      </w:pPr>
      <w:r>
        <w:t xml:space="preserve">9.1 Context Assembly as 0/1 Knapsack</w:t>
      </w:r>
    </w:p>
    <w:p>
      <w:pPr>
        <w:pStyle w:val="FirstParagraph"/>
      </w:pPr>
      <w:r>
        <w:t xml:space="preserve">Bottleneck 3 (Section 3.2) is a resource-allocation problem: given N candidate chunks, each carrying a value v_i (Section 8.2) and a token weight t_i (its exact tokenizer-measured cost), select the value-maximizing subset that fits within a hard token budget B = max_context_tokens − reserve_tokens (where reserve_tokens covers the system prompt, the user’s question, and reserved output space):</w:t>
      </w:r>
    </w:p>
    <w:p>
      <w:pPr>
        <w:pStyle w:val="BodyText"/>
      </w:pPr>
      <w:r>
        <w:t xml:space="preserve">maximize Σ_{i=1}^{N} v_i x_i, subject to Σ_{i=1}^{N} t_i x_i ≤ B, x_i ∈ {0,1}</w:t>
      </w:r>
    </w:p>
    <w:p>
      <w:pPr>
        <w:pStyle w:val="BodyText"/>
      </w:pPr>
      <w:r>
        <w:t xml:space="preserve">This is the 0/1 Knapsack Problem in its canonical form (Kellerer, Pferschy, &amp; Pisinger, 2004). Framed this way, context assembly is not</w:t>
      </w:r>
      <w:r>
        <w:t xml:space="preserve"> </w:t>
      </w:r>
      <w:r>
        <w:t xml:space="preserve">“</w:t>
      </w:r>
      <w:r>
        <w:t xml:space="preserve">rank by similarity and truncate</w:t>
      </w:r>
      <w:r>
        <w:t xml:space="preserve">”</w:t>
      </w:r>
      <w:r>
        <w:t xml:space="preserve"> </w:t>
      </w:r>
      <w:r>
        <w:t xml:space="preserve">— it is a combinatorial search over the 2^N possible inclusion/exclusion assignments for the one that maximizes total delivered value without exceeding B, and it is exactly this reframing that lets the packer, as noted in Section 1.2, choose to drop a moderately relevant small chunk specifically to keep a large, high-value structural block — such as a complete table — intact, rather than truncating it mid-row.</w:t>
      </w:r>
    </w:p>
    <w:bookmarkEnd w:id="76"/>
    <w:bookmarkStart w:id="77" w:name="exact-solution-via-dynamic-programming"/>
    <w:p>
      <w:pPr>
        <w:pStyle w:val="Heading3"/>
      </w:pPr>
      <w:r>
        <w:t xml:space="preserve">9.2 Exact Solution via Dynamic Programming</w:t>
      </w:r>
    </w:p>
    <w:p>
      <w:pPr>
        <w:pStyle w:val="FirstParagraph"/>
      </w:pPr>
      <w:r>
        <w:t xml:space="preserve">Because token weights t_i are non-negative integers (an exact tokenizer count) and the budget B is a fixed non-negative integer, the problem admits an exact pseudo-polynomial dynamic-programming solution. Let V(i, q) be the maximum achievable value using only chunks {c_1, …, c_i} under a remaining budget of q tokens:</w:t>
      </w:r>
    </w:p>
    <w:p>
      <w:pPr>
        <w:pStyle w:val="BodyText"/>
      </w:pPr>
      <w:r>
        <w:t xml:space="preserve">V(i, q) = 0, if i = 0 or q = 0</w:t>
      </w:r>
      <w:r>
        <w:t xml:space="preserve"> </w:t>
      </w:r>
      <w:r>
        <w:t xml:space="preserve">V(i, q) = V(i−1, q), if t_i &gt; q</w:t>
      </w:r>
      <w:r>
        <w:t xml:space="preserve"> </w:t>
      </w:r>
      <w:r>
        <w:t xml:space="preserve">V(i, q) = max{ V(i−1, q), v_i + V(i−1, q − t_i) }, if t_i ≤ q</w:t>
      </w:r>
    </w:p>
    <w:p>
      <w:pPr>
        <w:pStyle w:val="BodyText"/>
      </w:pPr>
      <w:r>
        <w:t xml:space="preserve">The optimal value is V(N, B); the optimal selection is recovered by backtracking through the filled DP table, and the resulting subset C* is re-sorted into the reading-order sequence S from Section 6 before it reaches the language model (Section 8.4). Because continuous-valued similarity scores must be discretized for integer dynamic programming, values are quantized as ⌊V_i(q)·Ω⌋ for an integer scale Ω (e.g., 10⁴), giving the implemented recurrence maximize Σ⌊V_i(q)·Ω⌋x_i subject to Σt_i x_i ≤ K_max. This solver runs in O(N·B) time and, in its direct backtracking formulation, O(N·B) memory — a cost whose scaling failure mode, and the fix applied to it, is the subject of Section 11.3.</w:t>
      </w:r>
    </w:p>
    <w:bookmarkEnd w:id="77"/>
    <w:bookmarkStart w:id="78" w:name="greedy-approximation-and-its-bound"/>
    <w:p>
      <w:pPr>
        <w:pStyle w:val="Heading3"/>
      </w:pPr>
      <w:r>
        <w:t xml:space="preserve">9.3 Greedy Approximation and Its Bound</w:t>
      </w:r>
    </w:p>
    <w:p>
      <w:pPr>
        <w:pStyle w:val="FirstParagraph"/>
      </w:pPr>
      <w:r>
        <w:t xml:space="preserve">For instances where the exact DP solver’s O(N·B) memory exceeds a configured guard (Section 11.3), the packer falls back to a greedy value-density heuristic: sort candidate chunks by v_i/t_i (value per token) in descending order, and insert each into the knapsack while budget remains.</w:t>
      </w:r>
    </w:p>
    <w:p>
      <w:pPr>
        <w:pStyle w:val="BodyText"/>
      </w:pPr>
      <w:r>
        <w:rPr>
          <w:bCs/>
          <w:b/>
        </w:rPr>
        <w:t xml:space="preserve">Theorem 9.1 (Greedy 1/2-approximation bound).</w:t>
      </w:r>
      <w:r>
        <w:t xml:space="preserve"> </w:t>
      </w:r>
      <w:r>
        <w:t xml:space="preserve">The greedy value-density algorithm achieves at least half the optimal value: Σ_{i∈greedy} v_i ≥ (1/2)·OPT, where OPT is the value of the exact DP-optimal selection.</w:t>
      </w:r>
    </w:p>
    <w:p>
      <w:pPr>
        <w:pStyle w:val="BodyText"/>
      </w:pPr>
      <w:r>
        <w:rPr>
          <w:iCs/>
          <w:i/>
        </w:rPr>
        <w:t xml:space="preserve">Proof sketch.</w:t>
      </w:r>
      <w:r>
        <w:t xml:space="preserve"> </w:t>
      </w:r>
      <w:r>
        <w:t xml:space="preserve">Consider the greedy selection extended by one more item — the first item in sorted value-density order that does not fit in the remaining budget. The value accumulated by the greedy algorithm up to (but not including) that overflow item is at least as large as the value of the fractional-knapsack optimum restricted to items that fit, which itself upper-bounds the integer optimum for the</w:t>
      </w:r>
      <w:r>
        <w:t xml:space="preserve"> </w:t>
      </w:r>
      <w:r>
        <w:rPr>
          <w:iCs/>
          <w:i/>
        </w:rPr>
        <w:t xml:space="preserve">un</w:t>
      </w:r>
      <w:r>
        <w:t xml:space="preserve">-selected remainder; combined with the observation that either the greedy-selected set or the single highest-value item alone (whichever is larger) achieves at least half of any upper bound formed by the fractional relaxation, the 1/2-approximation ratio for the 0/1 knapsack’s classical greedy-by-density heuristic follows by the standard exchange argument for this problem class (Kellerer, Pferschy, &amp; Pisinger, 2004, Ch. 2). ∎</w:t>
      </w:r>
    </w:p>
    <w:p>
      <w:pPr>
        <w:pStyle w:val="BodyText"/>
      </w:pPr>
      <w:r>
        <w:t xml:space="preserve">Practically, this means the packer’s fallback path is never worse than half as good as optimal by construction, and the reference implementation’s result object explicitly reports whether the exact DP solver ran or the greedy fallback was used, so a caller can distinguish a guaranteed-optimal packing from a bounded-suboptimal one rather than silently receiving one or the other.</w:t>
      </w:r>
    </w:p>
    <w:bookmarkEnd w:id="78"/>
    <w:bookmarkStart w:id="79" w:name="the-master-optimization-objective"/>
    <w:p>
      <w:pPr>
        <w:pStyle w:val="Heading3"/>
      </w:pPr>
      <w:r>
        <w:t xml:space="preserve">9.4 The Master Optimization Objective</w:t>
      </w:r>
    </w:p>
    <w:p>
      <w:pPr>
        <w:pStyle w:val="FirstParagraph"/>
      </w:pPr>
      <w:r>
        <w:t xml:space="preserve">Context packing is one term inside a broader master objective that the operating system as a whole is designed to minimize — total resource cost subject to hard quality floors:</w:t>
      </w:r>
    </w:p>
    <w:p>
      <w:pPr>
        <w:pStyle w:val="BodyText"/>
      </w:pPr>
      <w:r>
        <w:t xml:space="preserve">minimize J(w) = α·TC(w) + β·L(w) + γ·MC(w) + δ·ER(w)</w:t>
      </w:r>
      <w:r>
        <w:t xml:space="preserve"> </w:t>
      </w:r>
      <w:r>
        <w:t xml:space="preserve">subject to: Accuracy(w) ≥ 0.95, IR(w) ≥ 0.95, Confidence(w) ≥ 0.90, Σ_{i=1}^{9} w_i = 1, w_i ≥ 0</w:t>
      </w:r>
    </w:p>
    <w:p>
      <w:pPr>
        <w:pStyle w:val="BodyText"/>
      </w:pPr>
      <w:r>
        <w:t xml:space="preserve">where TC is token cost (input + output tokens), L is end-to-end latency, MC is memory cost, ER is error rate (1 − Accuracy), and w is the 9-dimensional vector of per-layer fusion weights from Section 5.7 — meaning the router that decides how heavily to weight the semantic engine versus the geometry engine versus the graph engine, and so on, is itself the decision variable of a constrained optimization problem, not a fixed hand-tuned configuration.</w:t>
      </w:r>
    </w:p>
    <w:bookmarkEnd w:id="79"/>
    <w:bookmarkStart w:id="80" w:name="X33794372dcb90aed9b63b09882969bb97dbe7f1"/>
    <w:p>
      <w:pPr>
        <w:pStyle w:val="Heading3"/>
      </w:pPr>
      <w:r>
        <w:t xml:space="preserve">9.5 Lagrangian Formulation and KKT Conditions</w:t>
      </w:r>
    </w:p>
    <w:p>
      <w:pPr>
        <w:pStyle w:val="FirstParagraph"/>
      </w:pPr>
      <w:r>
        <w:t xml:space="preserve">Introducing multipliers for the inequality constraints (λ_1, λ_2, λ_3 ≥ 0), the non-negativity constraints (μ_i ≥ 0), and the equality constraint (η), the Lagrangian is:</w:t>
      </w:r>
    </w:p>
    <w:p>
      <w:pPr>
        <w:pStyle w:val="BodyText"/>
      </w:pPr>
      <w:r>
        <w:t xml:space="preserve">ℒ(w, λ, μ, η) = J(w) + λ_1(0.95 − Accuracy(w)) + λ_2(0.95 − IR(w)) + λ_3(0.90 − Confidence(w)) − Σμ_i w_i + η(Σw_i − 1)</w:t>
      </w:r>
    </w:p>
    <w:p>
      <w:pPr>
        <w:pStyle w:val="BodyText"/>
      </w:pPr>
      <w:r>
        <w:t xml:space="preserve">An optimal weight vector w* must satisfy the Karush-Kuhn-Tucker conditions:</w:t>
      </w:r>
    </w:p>
    <w:p>
      <w:pPr>
        <w:numPr>
          <w:ilvl w:val="0"/>
          <w:numId w:val="1006"/>
        </w:numPr>
        <w:pStyle w:val="Compact"/>
      </w:pPr>
      <w:r>
        <w:rPr>
          <w:bCs/>
          <w:b/>
        </w:rPr>
        <w:t xml:space="preserve">Stationarity:</w:t>
      </w:r>
      <w:r>
        <w:t xml:space="preserve"> </w:t>
      </w:r>
      <w:r>
        <w:t xml:space="preserve">∇_w J(w</w:t>
      </w:r>
      <w:r>
        <w:rPr>
          <w:iCs/>
          <w:i/>
        </w:rPr>
        <w:t xml:space="preserve">) − λ_1</w:t>
      </w:r>
      <w:r>
        <w:t xml:space="preserve">∇_w Accuracy(w</w:t>
      </w:r>
      <w:r>
        <w:rPr>
          <w:iCs/>
          <w:i/>
        </w:rPr>
        <w:t xml:space="preserve">) − λ_2</w:t>
      </w:r>
      <w:r>
        <w:t xml:space="preserve">∇_w IR(w</w:t>
      </w:r>
      <w:r>
        <w:rPr>
          <w:iCs/>
          <w:i/>
        </w:rPr>
        <w:t xml:space="preserve">) − λ_3</w:t>
      </w:r>
      <w:r>
        <w:t xml:space="preserve">∇_w Confidence(w</w:t>
      </w:r>
      <w:r>
        <w:rPr>
          <w:iCs/>
          <w:i/>
        </w:rPr>
        <w:t xml:space="preserve">) − μ</w:t>
      </w:r>
      <w:r>
        <w:t xml:space="preserve"> </w:t>
      </w:r>
      <w:r>
        <w:t xml:space="preserve">+ η*1 = 0</w:t>
      </w:r>
    </w:p>
    <w:p>
      <w:pPr>
        <w:numPr>
          <w:ilvl w:val="0"/>
          <w:numId w:val="1006"/>
        </w:numPr>
        <w:pStyle w:val="Compact"/>
      </w:pPr>
      <w:r>
        <w:rPr>
          <w:bCs/>
          <w:b/>
        </w:rPr>
        <w:t xml:space="preserve">Primal feasibility:</w:t>
      </w:r>
      <w:r>
        <w:t xml:space="preserve"> </w:t>
      </w:r>
      <w:r>
        <w:t xml:space="preserve">Accuracy(w</w:t>
      </w:r>
      <w:r>
        <w:rPr>
          <w:iCs/>
          <w:i/>
        </w:rPr>
        <w:t xml:space="preserve">) ≥ 0.95, IR(w</w:t>
      </w:r>
      <w:r>
        <w:t xml:space="preserve">) ≥ 0.95, Confidence(w</w:t>
      </w:r>
      <w:r>
        <w:rPr>
          <w:iCs/>
          <w:i/>
        </w:rPr>
        <w:t xml:space="preserve">) ≥ 0.90, Σw_i</w:t>
      </w:r>
      <w:r>
        <w:t xml:space="preserve"> </w:t>
      </w:r>
      <w:r>
        <w:t xml:space="preserve">= 1, w_i* ≥ 0</w:t>
      </w:r>
    </w:p>
    <w:p>
      <w:pPr>
        <w:numPr>
          <w:ilvl w:val="0"/>
          <w:numId w:val="1006"/>
        </w:numPr>
        <w:pStyle w:val="Compact"/>
      </w:pPr>
      <w:r>
        <w:rPr>
          <w:bCs/>
          <w:b/>
        </w:rPr>
        <w:t xml:space="preserve">Dual feasibility:</w:t>
      </w:r>
      <w:r>
        <w:t xml:space="preserve"> </w:t>
      </w:r>
      <w:r>
        <w:t xml:space="preserve">λ_i* ≥ 0, μ_i* ≥ 0</w:t>
      </w:r>
    </w:p>
    <w:p>
      <w:pPr>
        <w:numPr>
          <w:ilvl w:val="0"/>
          <w:numId w:val="1006"/>
        </w:numPr>
        <w:pStyle w:val="Compact"/>
      </w:pPr>
      <w:r>
        <w:rPr>
          <w:bCs/>
          <w:b/>
        </w:rPr>
        <w:t xml:space="preserve">Complementary slackness:</w:t>
      </w:r>
      <w:r>
        <w:t xml:space="preserve"> </w:t>
      </w:r>
      <w:r>
        <w:t xml:space="preserve">λ_1</w:t>
      </w:r>
      <w:r>
        <w:rPr>
          <w:iCs/>
          <w:i/>
        </w:rPr>
        <w:t xml:space="preserve">(0.95 − Accuracy(w</w:t>
      </w:r>
      <w:r>
        <w:t xml:space="preserve">)) = 0, λ_2</w:t>
      </w:r>
      <w:r>
        <w:rPr>
          <w:iCs/>
          <w:i/>
        </w:rPr>
        <w:t xml:space="preserve">(0.95 − IR(w</w:t>
      </w:r>
      <w:r>
        <w:t xml:space="preserve">)) = 0, λ_3</w:t>
      </w:r>
      <w:r>
        <w:rPr>
          <w:iCs/>
          <w:i/>
        </w:rPr>
        <w:t xml:space="preserve">(0.90 − Confidence(w</w:t>
      </w:r>
      <w:r>
        <w:t xml:space="preserve">)) = 0, and μ_i</w:t>
      </w:r>
      <w:r>
        <w:rPr>
          <w:iCs/>
          <w:i/>
        </w:rPr>
        <w:t xml:space="preserve">w_i</w:t>
      </w:r>
      <w:r>
        <w:t xml:space="preserve"> </w:t>
      </w:r>
      <w:r>
        <w:t xml:space="preserve">= 0 for all i</w:t>
      </w:r>
    </w:p>
    <w:p>
      <w:pPr>
        <w:pStyle w:val="FirstParagraph"/>
      </w:pPr>
      <w:r>
        <w:t xml:space="preserve">Complementary slackness here has a direct operational reading: a nonzero λ_1* (the accuracy floor is actively binding) is only possible when Accuracy(w</w:t>
      </w:r>
      <w:r>
        <w:rPr>
          <w:iCs/>
          <w:i/>
        </w:rPr>
        <w:t xml:space="preserve">) = 0.95 exactly — i.e., the router is being forced away from its unconstrained cost-minimizing weight vector specifically because relaxing accuracy further would violate the floor. When all three quality floors are satisfied with slack (Accuracy(w</w:t>
      </w:r>
      <w:r>
        <w:t xml:space="preserve">) &gt; 0.95, etc.), the corresponding multipliers must be zero and the router is free to optimize cost without any influence from that particular constraint.</w:t>
      </w:r>
    </w:p>
    <w:bookmarkEnd w:id="80"/>
    <w:bookmarkStart w:id="81" w:name="linear-programming-for-weight-blending"/>
    <w:p>
      <w:pPr>
        <w:pStyle w:val="Heading3"/>
      </w:pPr>
      <w:r>
        <w:t xml:space="preserve">9.6 Linear Programming for Weight Blending</w:t>
      </w:r>
    </w:p>
    <w:p>
      <w:pPr>
        <w:pStyle w:val="FirstParagraph"/>
      </w:pPr>
      <w:r>
        <w:t xml:space="preserve">A related, distinct optimization — fitting the fusion weights to match a target relevance distribution rather than directly minimizing J(w) — is posed as a least-squares linear program:</w:t>
      </w:r>
    </w:p>
    <w:p>
      <w:pPr>
        <w:pStyle w:val="BodyText"/>
      </w:pPr>
      <w:r>
        <w:t xml:space="preserve">minimize ‖S·w − r‖₂², subject to Σ_{i=1}^{9} w_i = 1, w_i ≥ 0</w:t>
      </w:r>
    </w:p>
    <w:p>
      <w:pPr>
        <w:pStyle w:val="BodyText"/>
      </w:pPr>
      <w:r>
        <w:t xml:space="preserve">where S ∈ ℝ^{N×9} is the matrix of per-layer scores across N elements and r ∈ ℝ^N is a target relevance vector (e.g., derived from held-out relevance judgments). This is the calibration mechanism by which the static fusion weights of Section 5.7 are set from data before any learned dynamic routing (Section 13.5) is layered on top.</w:t>
      </w:r>
    </w:p>
    <w:bookmarkEnd w:id="81"/>
    <w:bookmarkStart w:id="82" w:name="learnable-router-policy-gradient"/>
    <w:p>
      <w:pPr>
        <w:pStyle w:val="Heading3"/>
      </w:pPr>
      <w:r>
        <w:t xml:space="preserve">9.7 Learnable Router Policy Gradient</w:t>
      </w:r>
    </w:p>
    <w:p>
      <w:pPr>
        <w:pStyle w:val="FirstParagraph"/>
      </w:pPr>
      <w:r>
        <w:t xml:space="preserve">In the router’s learnable mode, an MLP with parameters θ maps a query feature vector φ(Q) to a weight distribution via softmax, π_θ(w|φ(Q)), trained to minimize expected cost:</w:t>
      </w:r>
    </w:p>
    <w:p>
      <w:pPr>
        <w:pStyle w:val="BodyText"/>
      </w:pPr>
      <w:r>
        <w:t xml:space="preserve">θ* = argmin_θ E_{Q~𝒟}[J(w_θ(Q))]</w:t>
      </w:r>
    </w:p>
    <w:p>
      <w:pPr>
        <w:pStyle w:val="BodyText"/>
      </w:pPr>
      <w:r>
        <w:t xml:space="preserve">with the policy-gradient update ∇_θ E[J] = E[J(w)·∇_θ log π_θ(w|φ(Q))] — the standard REINFORCE-style estimator, treating the fusion-weight choice as an action and the negative realized cost J(w) as the reward signal. Section 13.5 details a specific, structurally distinct alternative to this full policy-gradient router: a contextual-bandit (LinUCB) formulation used when only partial online feedback is available per query, rather than a fully differentiable offline training signal.</w:t>
      </w:r>
    </w:p>
    <w:bookmarkEnd w:id="82"/>
    <w:bookmarkStart w:id="86" w:name="complexity-summary"/>
    <w:p>
      <w:pPr>
        <w:pStyle w:val="Heading3"/>
      </w:pPr>
      <w:r>
        <w:t xml:space="preserve">9.8 Complexity Summary</w:t>
      </w:r>
    </w:p>
    <w:p>
      <w:pPr>
        <w:pStyle w:val="FirstParagraph"/>
      </w:pPr>
      <w:r>
        <w:t xml:space="preserve">Table 3 summarizes the asymptotic behavior of the optimization stages in this section.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Time</w:t>
            </w:r>
          </w:p>
        </w:tc>
        <w:tc>
          <w:tcPr/>
          <w:p>
            <w:pPr>
              <w:pStyle w:val="Compact"/>
              <w:jc w:val="left"/>
            </w:pPr>
            <w:r>
              <w:t xml:space="preserve">Memory</w:t>
            </w:r>
          </w:p>
        </w:tc>
        <w:tc>
          <w:tcPr/>
          <w:p>
            <w:pPr>
              <w:pStyle w:val="Compact"/>
              <w:jc w:val="left"/>
            </w:pPr>
            <w:r>
              <w:t xml:space="preserve">Guarantee</w:t>
            </w:r>
          </w:p>
        </w:tc>
      </w:tr>
      <w:tr>
        <w:tc>
          <w:tcPr/>
          <w:p>
            <w:pPr>
              <w:pStyle w:val="Compact"/>
              <w:jc w:val="left"/>
            </w:pPr>
            <w:r>
              <w:t xml:space="preserve">Exact DP knapsack</w:t>
            </w:r>
          </w:p>
        </w:tc>
        <w:tc>
          <w:tcPr/>
          <w:p>
            <w:pPr>
              <w:pStyle w:val="Compact"/>
              <w:jc w:val="left"/>
            </w:pPr>
            <w:r>
              <w:t xml:space="preserve">O(N·B)</w:t>
            </w:r>
          </w:p>
        </w:tc>
        <w:tc>
          <w:tcPr/>
          <w:p>
            <w:pPr>
              <w:pStyle w:val="Compact"/>
              <w:jc w:val="left"/>
            </w:pPr>
            <w:r>
              <w:t xml:space="preserve">O(N·B)</w:t>
            </w:r>
          </w:p>
        </w:tc>
        <w:tc>
          <w:tcPr/>
          <w:p>
            <w:pPr>
              <w:pStyle w:val="Compact"/>
              <w:jc w:val="left"/>
            </w:pPr>
            <w:r>
              <w:t xml:space="preserve">Exact optimum</w:t>
            </w:r>
          </w:p>
        </w:tc>
      </w:tr>
      <w:tr>
        <w:tc>
          <w:tcPr/>
          <w:p>
            <w:pPr>
              <w:pStyle w:val="Compact"/>
              <w:jc w:val="left"/>
            </w:pPr>
            <w:r>
              <w:t xml:space="preserve">Greedy fallback</w:t>
            </w:r>
          </w:p>
        </w:tc>
        <w:tc>
          <w:tcPr/>
          <w:p>
            <w:pPr>
              <w:pStyle w:val="Compact"/>
              <w:jc w:val="left"/>
            </w:pPr>
            <w:r>
              <w:t xml:space="preserve">O(N log N)</w:t>
            </w:r>
          </w:p>
        </w:tc>
        <w:tc>
          <w:tcPr/>
          <w:p>
            <w:pPr>
              <w:pStyle w:val="Compact"/>
              <w:jc w:val="left"/>
            </w:pPr>
            <w:r>
              <w:t xml:space="preserve">O(N)</w:t>
            </w:r>
          </w:p>
        </w:tc>
        <w:tc>
          <w:tcPr/>
          <w:p>
            <w:pPr>
              <w:pStyle w:val="Compact"/>
              <w:jc w:val="left"/>
            </w:pPr>
            <w:r>
              <w:t xml:space="preserve">≥ 1/2 · OPT (Theorem 9.1)</w:t>
            </w:r>
          </w:p>
        </w:tc>
      </w:tr>
      <w:tr>
        <w:tc>
          <w:tcPr/>
          <w:p>
            <w:pPr>
              <w:pStyle w:val="Compact"/>
              <w:jc w:val="left"/>
            </w:pPr>
            <w:r>
              <w:t xml:space="preserve">LP weight blending</w:t>
            </w:r>
          </w:p>
        </w:tc>
        <w:tc>
          <w:tcPr/>
          <w:p>
            <w:pPr>
              <w:pStyle w:val="Compact"/>
              <w:jc w:val="left"/>
            </w:pPr>
            <w:r>
              <w:t xml:space="preserve">Polynomial (standard LP solvers)</w:t>
            </w:r>
          </w:p>
        </w:tc>
        <w:tc>
          <w:tcPr/>
          <w:p>
            <w:pPr>
              <w:pStyle w:val="Compact"/>
              <w:jc w:val="left"/>
            </w:pPr>
            <w:r>
              <w:t xml:space="preserve">O(N·9) for S</w:t>
            </w:r>
          </w:p>
        </w:tc>
        <w:tc>
          <w:tcPr/>
          <w:p>
            <w:pPr>
              <w:pStyle w:val="Compact"/>
              <w:jc w:val="left"/>
            </w:pPr>
            <w:r>
              <w:t xml:space="preserve">Global optimum of convex QP</w:t>
            </w:r>
          </w:p>
        </w:tc>
      </w:tr>
      <w:tr>
        <w:tc>
          <w:tcPr/>
          <w:p>
            <w:pPr>
              <w:pStyle w:val="Compact"/>
              <w:jc w:val="left"/>
            </w:pPr>
            <w:r>
              <w:t xml:space="preserve">Multi-choice DP (Section 12.1)</w:t>
            </w:r>
          </w:p>
        </w:tc>
        <w:tc>
          <w:tcPr/>
          <w:p>
            <w:pPr>
              <w:pStyle w:val="Compact"/>
              <w:jc w:val="left"/>
            </w:pPr>
            <w:r>
              <w:t xml:space="preserve">O(N·B·k̄) for k̄ average tiers/group</w:t>
            </w:r>
          </w:p>
        </w:tc>
        <w:tc>
          <w:tcPr/>
          <w:p>
            <w:pPr>
              <w:pStyle w:val="Compact"/>
              <w:jc w:val="left"/>
            </w:pPr>
            <w:r>
              <w:t xml:space="preserve">O(N·B)</w:t>
            </w:r>
          </w:p>
        </w:tc>
        <w:tc>
          <w:tcPr/>
          <w:p>
            <w:pPr>
              <w:pStyle w:val="Compact"/>
              <w:jc w:val="left"/>
            </w:pPr>
            <w:r>
              <w:t xml:space="preserve">Exact optimum</w:t>
            </w:r>
          </w:p>
        </w:tc>
      </w:tr>
      <w:tr>
        <w:tc>
          <w:tcPr/>
          <w:p>
            <w:pPr>
              <w:pStyle w:val="Compact"/>
              <w:jc w:val="left"/>
            </w:pPr>
            <w:r>
              <w:t xml:space="preserve">Lagrangian relaxation (Section 12.2)</w:t>
            </w:r>
          </w:p>
        </w:tc>
        <w:tc>
          <w:tcPr/>
          <w:p>
            <w:pPr>
              <w:pStyle w:val="Compact"/>
              <w:jc w:val="left"/>
            </w:pPr>
            <w:r>
              <w:t xml:space="preserve">O(iterations · N log N)</w:t>
            </w:r>
          </w:p>
        </w:tc>
        <w:tc>
          <w:tcPr/>
          <w:p>
            <w:pPr>
              <w:pStyle w:val="Compact"/>
              <w:jc w:val="left"/>
            </w:pPr>
            <w:r>
              <w:t xml:space="preserve">O(N)</w:t>
            </w:r>
          </w:p>
        </w:tc>
        <w:tc>
          <w:tcPr/>
          <w:p>
            <w:pPr>
              <w:pStyle w:val="Compact"/>
              <w:jc w:val="left"/>
            </w:pPr>
            <w:r>
              <w:t xml:space="preserve">Bounded duality gap vs. exact</w:t>
            </w:r>
          </w:p>
        </w:tc>
      </w:tr>
    </w:tbl>
    <w:p>
      <w:pPr>
        <w:pStyle w:val="CaptionedFigure"/>
      </w:pPr>
      <w:r>
        <w:drawing>
          <wp:inline>
            <wp:extent cx="5943600" cy="2485505"/>
            <wp:effectExtent b="0" l="0" r="0" t="0"/>
            <wp:docPr descr="Figure 3. Single-choice vs multi-choice knapsack." title="" id="84" name="Picture"/>
            <a:graphic>
              <a:graphicData uri="http://schemas.openxmlformats.org/drawingml/2006/picture">
                <pic:pic>
                  <pic:nvPicPr>
                    <pic:cNvPr descr="figures/fig3_knapsack.png" id="85" name="Picture"/>
                    <pic:cNvPicPr>
                      <a:picLocks noChangeArrowheads="1" noChangeAspect="1"/>
                    </pic:cNvPicPr>
                  </pic:nvPicPr>
                  <pic:blipFill>
                    <a:blip r:embed="rId83"/>
                    <a:stretch>
                      <a:fillRect/>
                    </a:stretch>
                  </pic:blipFill>
                  <pic:spPr bwMode="auto">
                    <a:xfrm>
                      <a:off x="0" y="0"/>
                      <a:ext cx="5943600" cy="2485505"/>
                    </a:xfrm>
                    <a:prstGeom prst="rect">
                      <a:avLst/>
                    </a:prstGeom>
                    <a:noFill/>
                    <a:ln w="9525">
                      <a:noFill/>
                      <a:headEnd/>
                      <a:tailEnd/>
                    </a:ln>
                  </pic:spPr>
                </pic:pic>
              </a:graphicData>
            </a:graphic>
          </wp:inline>
        </w:drawing>
      </w:r>
    </w:p>
    <w:p>
      <w:pPr>
        <w:pStyle w:val="ImageCaption"/>
      </w:pPr>
      <w:r>
        <w:t xml:space="preserve">Figure 3. Single-choice vs multi-choice knapsack.</w:t>
      </w:r>
    </w:p>
    <w:bookmarkEnd w:id="86"/>
    <w:bookmarkEnd w:id="87"/>
    <w:bookmarkStart w:id="95" w:name="information-theoretic-analysis"/>
    <w:p>
      <w:pPr>
        <w:pStyle w:val="Heading2"/>
      </w:pPr>
      <w:r>
        <w:t xml:space="preserve">10. Information-Theoretic Analysis</w:t>
      </w:r>
    </w:p>
    <w:bookmarkStart w:id="88" w:name="the-document-as-a-stochastic-source"/>
    <w:p>
      <w:pPr>
        <w:pStyle w:val="Heading3"/>
      </w:pPr>
      <w:r>
        <w:t xml:space="preserve">10.1 The Document as a Stochastic Source</w:t>
      </w:r>
    </w:p>
    <w:p>
      <w:pPr>
        <w:pStyle w:val="FirstParagraph"/>
      </w:pPr>
      <w:r>
        <w:t xml:space="preserve">Modeling document D as a stochastic source emitting discrete elements e_i according to distribution P(e_i), the self-information (surprisal) of an element is I(e_i) = −log_2 P(e_i) bits, and the aggregate source entropy is H(D) = −Σ_{e∈D} P(e)log_2 P(e) — the average uncertainty, or information content, per emitted element. This is the same entropy quantity introduced structurally in Section 5.5; here it is used at the whole-document level rather than the per-element level.</w:t>
      </w:r>
    </w:p>
    <w:bookmarkEnd w:id="88"/>
    <w:bookmarkStart w:id="89" w:name="source-coding-bounds-on-compression"/>
    <w:p>
      <w:pPr>
        <w:pStyle w:val="Heading3"/>
      </w:pPr>
      <w:r>
        <w:t xml:space="preserve">10.2 Source Coding Bounds on Compression</w:t>
      </w:r>
    </w:p>
    <w:p>
      <w:pPr>
        <w:pStyle w:val="FirstParagraph"/>
      </w:pPr>
      <w:r>
        <w:t xml:space="preserve">Shannon’s Source Coding Theorem bounds the expected code length L per element for any lossless compression scheme below by the source entropy: H(D) ≤ L &lt; H(D) + 1.</w:t>
      </w:r>
    </w:p>
    <w:p>
      <w:pPr>
        <w:pStyle w:val="BodyText"/>
      </w:pPr>
      <w:r>
        <w:rPr>
          <w:bCs/>
          <w:b/>
        </w:rPr>
        <w:t xml:space="preserve">Theorem 10.1 (Compression ratio lower bound).</w:t>
      </w:r>
      <w:r>
        <w:t xml:space="preserve"> </w:t>
      </w:r>
      <w:r>
        <w:t xml:space="preserve">The context compression ratio CR = |compressed|/|original| is bounded below by CR ≥ H(D)/(bits per original token).</w:t>
      </w:r>
    </w:p>
    <w:p>
      <w:pPr>
        <w:pStyle w:val="BodyText"/>
      </w:pPr>
      <w:r>
        <w:rPr>
          <w:iCs/>
          <w:i/>
        </w:rPr>
        <w:t xml:space="preserve">Proof.</w:t>
      </w:r>
      <w:r>
        <w:t xml:space="preserve"> </w:t>
      </w:r>
      <w:r>
        <w:t xml:space="preserve">By the Source Coding Theorem, any lossless encoder’s average compressed size satisfies |compressed| ≥ H(D)·N for a source of N elements. Dividing both sides by |original| (measured in the same unit convention) and by the original per-token bit rate gives CR ≥ H(D)/(original bits per token) directly. ∎</w:t>
      </w:r>
    </w:p>
    <w:p>
      <w:pPr>
        <w:pStyle w:val="BodyText"/>
      </w:pPr>
      <w:r>
        <w:t xml:space="preserve">The structural-recurrence compression of Section 5.4 (Theorem 5.4) is the concrete mechanism by which this monograph’s architecture approaches this bound: the AMDI-representation compressed length for a document with recurring layout template T and recurring blocks R is L_AMDI = |T_unique| + |R|log_2(k) + |U|·size(e_u), where k is the number of distinct pages the recurring block appears on and U is the set of non-recurring unique elements. For documents with high structural recurrence (|R| ≫ |U|, as in long, templated reports), lim_{|R|→∞} L_AMDI/|R| = log_2(k) ≈ H(D) — the AMDI representation’s compression rate converges toward the theoretical entropy limit as recurrence dominates.</w:t>
      </w:r>
    </w:p>
    <w:bookmarkEnd w:id="89"/>
    <w:bookmarkStart w:id="90" w:name="Xf2aaa91f9202b4c806c64c7360b0dcca6d78666"/>
    <w:p>
      <w:pPr>
        <w:pStyle w:val="Heading3"/>
      </w:pPr>
      <w:r>
        <w:t xml:space="preserve">10.3 Mutual Information and the Retrieval Channel</w:t>
      </w:r>
    </w:p>
    <w:p>
      <w:pPr>
        <w:pStyle w:val="FirstParagraph"/>
      </w:pPr>
      <w:r>
        <w:t xml:space="preserve">The goal of retrieval is to maximize the mutual information between the query Q and the retrieved elements D_R: I(D_R; Q) = H(D_R) − H(D_R|Q) = H(Q) − H(Q|D_R). Modeling the full ingestion-and-retrieval process as the Markov chain D → G → D_R → Q (raw document D, synchronized mathematical representation G from Section 5.1, retrieved elements D_R, query Q), the Data Processing Inequality guarantees I(D;Q) ≥ I(G;Q) ≥ I(D_R;Q) — information can only be lost, never created, at each step of this chain.</w:t>
      </w:r>
    </w:p>
    <w:p>
      <w:pPr>
        <w:pStyle w:val="BodyText"/>
      </w:pPr>
      <w:r>
        <w:rPr>
          <w:bCs/>
          <w:b/>
        </w:rPr>
        <w:t xml:space="preserve">Proposition 10.1.</w:t>
      </w:r>
      <w:r>
        <w:t xml:space="preserve"> </w:t>
      </w:r>
      <w:r>
        <w:t xml:space="preserve">This architecture’s central information-theoretic design goal is to minimize the loss at the first step, D → G, by preserving geometry, frequency, recurrence, and matrix structure explicitly (Section 5) rather than collapsing D directly to a flat token stream — keeping I(G;Q) as close to I(D;Q) as the representation’s fidelity allows, for any downstream query Q, rather than optimizing for one anticipated query type at ingestion time. We state this as a design goal, not an established quantitative result: measuring I(G;Q) against I(D;Q) directly requires a query distribution and ground-truth relevance judgments, which is precisely the empirical evaluation protocol proposed in Section 21 and not yet executed.</w:t>
      </w:r>
    </w:p>
    <w:bookmarkEnd w:id="90"/>
    <w:bookmarkStart w:id="91" w:name="channel-capacity-of-the-context-window"/>
    <w:p>
      <w:pPr>
        <w:pStyle w:val="Heading3"/>
      </w:pPr>
      <w:r>
        <w:t xml:space="preserve">10.4 Channel Capacity of the Context Window</w:t>
      </w:r>
    </w:p>
    <w:p>
      <w:pPr>
        <w:pStyle w:val="FirstParagraph"/>
      </w:pPr>
      <w:r>
        <w:t xml:space="preserve">The language model’s context window itself behaves as a communication channel with capacity C = max_{P(D_R): Σlen(D_R) ≤ B} I(D_R; A), where A is the model’s eventual response and B is the token budget. This architecture’s context-packing stage (Section 9) is, in this framing, exactly an attempt to approximate the capacity-achieving input distribution for this channel under the hard constraint Σlen(D_R) ≤ B — by filtering out low-entropy (low-information, likely-redundant) elements and prioritizing high composite-density elements, the packer aims to maximize I(D_R; A) subject to the same budget constraint the knapsack formulation of Section 9.1 optimizes directly, giving the two formulations (information-theoretic and combinatorial-optimization) a shared underlying objective even though they are stated in different mathematical languages.</w:t>
      </w:r>
    </w:p>
    <w:bookmarkEnd w:id="91"/>
    <w:bookmarkStart w:id="92" w:name="X71a1170e22e6e4fe89d43de6d545c1ba695d9cd"/>
    <w:p>
      <w:pPr>
        <w:pStyle w:val="Heading3"/>
      </w:pPr>
      <w:r>
        <w:t xml:space="preserve">10.5 Rate-Distortion Theory and Tolerable Fact Loss</w:t>
      </w:r>
    </w:p>
    <w:p>
      <w:pPr>
        <w:pStyle w:val="FirstParagraph"/>
      </w:pPr>
      <w:r>
        <w:t xml:space="preserve">When context must be compressed below the lossless Shannon bound, some distortion (fact loss) is unavoidable; the rate-distortion function R(D₀) = min_{P(D̂|D): E[d(D,D̂)] ≤ D₀} I(D; D̂) gives the minimum information rate required to keep expected distortion at or below a tolerance D₀.</w:t>
      </w:r>
    </w:p>
    <w:p>
      <w:pPr>
        <w:pStyle w:val="BodyText"/>
      </w:pPr>
      <w:r>
        <w:rPr>
          <w:bCs/>
          <w:b/>
        </w:rPr>
        <w:t xml:space="preserve">Theorem 10.2 (Rate lower bound under a distortion tolerance).</w:t>
      </w:r>
      <w:r>
        <w:t xml:space="preserve"> </w:t>
      </w:r>
      <w:r>
        <w:t xml:space="preserve">For a maximum allowable factual-loss tolerance D₀, the minimum retrieval rate (tokens needed) satisfies R(D₀) ≥ I(D; D̂), where D̂ is the reconstructed context actually delivered to the language model.</w:t>
      </w:r>
    </w:p>
    <w:p>
      <w:pPr>
        <w:pStyle w:val="BodyText"/>
      </w:pPr>
      <w:r>
        <w:rPr>
          <w:iCs/>
          <w:i/>
        </w:rPr>
        <w:t xml:space="preserve">Proof.</w:t>
      </w:r>
      <w:r>
        <w:t xml:space="preserve"> </w:t>
      </w:r>
      <w:r>
        <w:t xml:space="preserve">Any retrieval strategy formatting a context window D̂ to convey information about D is, formally, a lossy compression channel from D to D̂. By Shannon’s Rate-Distortion Theorem, achieving expected distortion E[d(D,D̂)] ≤ D₀ requires an information rate of at least R(D₀) = inf_{P(D̂|D): E[d(D,D̂)]≤D₀} I(D;D̂) bits per token; the realized channel’s actual mutual information I(D;D̂) must therefore be at least this infimum for the distortion bound to hold, i.e., R(D₀) ≥ I(D;D̂). ∎</w:t>
      </w:r>
    </w:p>
    <w:p>
      <w:pPr>
        <w:pStyle w:val="BodyText"/>
      </w:pPr>
      <w:r>
        <w:t xml:space="preserve">The architecture’s structural-recurrence elimination (dropping duplicated headers/footers) and matrix-form table compaction (Section 5.4) are, under this framing, deliberate moves along the rate-distortion curve: both reduce the rate R (fewer tokens transmitted) while keeping distortion D (fact loss) close to zero, because both eliminate content whose removal changes P(D̂|D) without meaningfully changing which facts remain recoverable from D̂ — as distinct from truncating a table mid-row (Bottleneck 3), which reduces rate at a real, non-negligible distortion cost.</w:t>
      </w:r>
    </w:p>
    <w:bookmarkEnd w:id="92"/>
    <w:bookmarkStart w:id="93" w:name="Xa22a6637553c3cedf8aabcf65873b5dd47a5793"/>
    <w:p>
      <w:pPr>
        <w:pStyle w:val="Heading3"/>
      </w:pPr>
      <w:r>
        <w:t xml:space="preserve">10.6 KL Divergence for Layer-Importance Diagnostics</w:t>
      </w:r>
    </w:p>
    <w:p>
      <w:pPr>
        <w:pStyle w:val="FirstParagraph"/>
      </w:pPr>
      <w:r>
        <w:t xml:space="preserve">The Kullback-Leibler divergence between a representation layer’s retrieval-score distribution P and the uniform distribution, D_KL(P‖Uniform) = Σ_x P(x)log_2(P(x)/Q(x)), is used as a per-layer diagnostic: a high divergence indicates a layer producing sharp, highly selective scores (useful discrimination between candidates), while a low divergence indicates a flat, non-informative layer for the current query — direct input to the dynamic router of Section 13.5, which can down-weight layers whose current-query divergence is low without needing an explicit ground-truth accuracy signal to do so.</w:t>
      </w:r>
    </w:p>
    <w:bookmarkEnd w:id="93"/>
    <w:bookmarkStart w:id="94" w:name="empirical-per-layer-entropy"/>
    <w:p>
      <w:pPr>
        <w:pStyle w:val="Heading3"/>
      </w:pPr>
      <w:r>
        <w:t xml:space="preserve">10.7 Empirical Per-Layer Entropy</w:t>
      </w:r>
    </w:p>
    <w:p>
      <w:pPr>
        <w:pStyle w:val="FirstParagraph"/>
      </w:pPr>
      <w:r>
        <w:t xml:space="preserve">For each representation layer ℓ (semantic, frequency, geometry, …), an empirical entropy is computed over the layer’s normalized relevance scores: p_ℓ(e_i) = s_ℓ(e_i)/Σ_j s_ℓ(e_j), H_ℓ = −Σ_i p_ℓ(e_i)log_2 p_ℓ(e_i). The resulting layer-entropy profile (H_semantic, H_geometry, …) is a direct, per-query diagnostic of which mathematical representation currently carries the highest information density — complementary to, but computationally cheaper than, the KL-divergence diagnostic of Section 10.6, since it requires no reference distribution and can be computed from a single query’s score vectors alone.</w:t>
      </w:r>
    </w:p>
    <w:bookmarkEnd w:id="94"/>
    <w:bookmarkEnd w:id="95"/>
    <w:bookmarkStart w:id="103" w:name="Xad1097cdb8ecdad26c0aa5fcfbdec9450e98b5a"/>
    <w:p>
      <w:pPr>
        <w:pStyle w:val="Heading2"/>
      </w:pPr>
      <w:r>
        <w:t xml:space="preserve">11. Correctness Analysis and Implementation Hardening</w:t>
      </w:r>
    </w:p>
    <w:bookmarkStart w:id="96" w:name="why-this-section-exists"/>
    <w:p>
      <w:pPr>
        <w:pStyle w:val="Heading3"/>
      </w:pPr>
      <w:r>
        <w:t xml:space="preserve">11.1 Why This Section Exists</w:t>
      </w:r>
    </w:p>
    <w:p>
      <w:pPr>
        <w:pStyle w:val="FirstParagraph"/>
      </w:pPr>
      <w:r>
        <w:t xml:space="preserve">The formalization in Sections 5–9 is necessary but not sufficient. Several defects in the original conceptual design of this architecture only became visible once each stage was actually implemented and exercised against adversarial or edge-case input — not from inspecting the governing equations, and not from a single hand-built example of the kind that typically accompanies an architecture proposal. This section documents four such defects, found and corrected in a reference implementation built directly from the proposal, along with the specific verification method used for each fix. We treat this section as the paper’s primary evidentiary content, not as an appendix of bug-fix trivia: a domain whose central claim is deterministic, budget-safe behavior under adversarial document structure is a domain where</w:t>
      </w:r>
      <w:r>
        <w:t xml:space="preserve"> </w:t>
      </w:r>
      <w:r>
        <w:t xml:space="preserve">“</w:t>
      </w:r>
      <w:r>
        <w:t xml:space="preserve">the mathematics is correct</w:t>
      </w:r>
      <w:r>
        <w:t xml:space="preserve">”</w:t>
      </w:r>
      <w:r>
        <w:t xml:space="preserve"> </w:t>
      </w:r>
      <w:r>
        <w:t xml:space="preserve">and</w:t>
      </w:r>
      <w:r>
        <w:t xml:space="preserve"> </w:t>
      </w:r>
      <w:r>
        <w:t xml:space="preserve">“</w:t>
      </w:r>
      <w:r>
        <w:t xml:space="preserve">the system is correct</w:t>
      </w:r>
      <w:r>
        <w:t xml:space="preserve">”</w:t>
      </w:r>
      <w:r>
        <w:t xml:space="preserve"> </w:t>
      </w:r>
      <w:r>
        <w:t xml:space="preserve">are different claims, and only the second is actually load-bearing for a production deployment.</w:t>
      </w:r>
    </w:p>
    <w:bookmarkEnd w:id="96"/>
    <w:bookmarkStart w:id="97" w:name="X74f41e11e6075df72142eaf95a7c5a9f5b820cd"/>
    <w:p>
      <w:pPr>
        <w:pStyle w:val="Heading3"/>
      </w:pPr>
      <w:r>
        <w:t xml:space="preserve">11.2 Defect 1: Reading-Order Recovery Could Fail to Terminate Cleanly</w:t>
      </w:r>
    </w:p>
    <w:p>
      <w:pPr>
        <w:pStyle w:val="FirstParagraph"/>
      </w:pPr>
      <w:r>
        <w:rPr>
          <w:bCs/>
          <w:b/>
        </w:rPr>
        <w:t xml:space="preserve">Symptom.</w:t>
      </w:r>
      <w:r>
        <w:t xml:space="preserve"> </w:t>
      </w:r>
      <w:r>
        <w:t xml:space="preserve">The original topological-sort routine built a dense adjacency matrix and recovered reading order via recursive depth-first search, selecting successors by descending edge weight. Because edge construction (in the pre-fix design) pruned candidates only by distance and a</w:t>
      </w:r>
      <w:r>
        <w:t xml:space="preserve"> </w:t>
      </w:r>
      <w:r>
        <w:rPr>
          <w:iCs/>
          <w:i/>
        </w:rPr>
        <w:t xml:space="preserve">soft</w:t>
      </w:r>
      <w:r>
        <w:t xml:space="preserve"> </w:t>
      </w:r>
      <w:r>
        <w:t xml:space="preserve">y-coordinate gate (Δy ≥ −ε), two nodes positioned on the same visual row could receive a positive edge weight in</w:t>
      </w:r>
      <w:r>
        <w:t xml:space="preserve"> </w:t>
      </w:r>
      <w:r>
        <w:rPr>
          <w:iCs/>
          <w:i/>
        </w:rPr>
        <w:t xml:space="preserve">both</w:t>
      </w:r>
      <w:r>
        <w:t xml:space="preserve"> </w:t>
      </w:r>
      <w:r>
        <w:t xml:space="preserve">directions simultaneously — as detailed in Section 6.3, ±ε both satisfy the ≥ −ε test regardless of which node’s perspective the test is applied from.</w:t>
      </w:r>
    </w:p>
    <w:p>
      <w:pPr>
        <w:pStyle w:val="BodyText"/>
      </w:pPr>
      <w:r>
        <w:rPr>
          <w:bCs/>
          <w:b/>
        </w:rPr>
        <w:t xml:space="preserve">Consequence.</w:t>
      </w:r>
      <w:r>
        <w:t xml:space="preserve"> </w:t>
      </w:r>
      <w:r>
        <w:t xml:space="preserve">Two distinct correctness properties failed together. First, non-acyclicity: a bidirectional positive-weight edge pair is, by definition, a 2-cycle, so the graph traversed by the recursive DFS was not guaranteed to be a DAG at all. Under a language runtime with bounded recursion depth, or under adversarial page layouts producing many same-row ties, this both failed to guarantee termination and — independently — failed to guarantee determinism: a reordering of the input node list could change which node the DFS visited first among tied candidates, silently producing a</w:t>
      </w:r>
      <w:r>
        <w:t xml:space="preserve"> </w:t>
      </w:r>
      <w:r>
        <w:rPr>
          <w:iCs/>
          <w:i/>
        </w:rPr>
        <w:t xml:space="preserve">different</w:t>
      </w:r>
      <w:r>
        <w:t xml:space="preserve"> </w:t>
      </w:r>
      <w:r>
        <w:t xml:space="preserve">reading order for the</w:t>
      </w:r>
      <w:r>
        <w:t xml:space="preserve"> </w:t>
      </w:r>
      <w:r>
        <w:rPr>
          <w:iCs/>
          <w:i/>
        </w:rPr>
        <w:t xml:space="preserve">same</w:t>
      </w:r>
      <w:r>
        <w:t xml:space="preserve"> </w:t>
      </w:r>
      <w:r>
        <w:t xml:space="preserve">document depending on an implementation detail (list ordering) that has no relationship to the document’s actual content.</w:t>
      </w:r>
    </w:p>
    <w:p>
      <w:pPr>
        <w:pStyle w:val="BodyText"/>
      </w:pPr>
      <w:r>
        <w:rPr>
          <w:bCs/>
          <w:b/>
        </w:rPr>
        <w:t xml:space="preserve">Fix.</w:t>
      </w:r>
      <w:r>
        <w:t xml:space="preserve"> </w:t>
      </w:r>
      <w:r>
        <w:t xml:space="preserve">Edges are now constructed to be acyclic by definition rather than by post-hoc pruning of a symmetric candidate set, per Definition 6.1 and Theorem 6.1: a directed edge i → j is created only if j is a strict reading-forward successor of i, making the successor relation antisymmetric by construction. Reading order is recovered with Kahn’s algorithm using a priority queue keyed on (y_min, x_min, node_id) for deterministic tie-breaking (Theorem 6.2), guaranteeing termination in O(|V| + |E|) with no recursion at all.</w:t>
      </w:r>
    </w:p>
    <w:p>
      <w:pPr>
        <w:pStyle w:val="BodyText"/>
      </w:pPr>
      <w:r>
        <w:rPr>
          <w:bCs/>
          <w:b/>
        </w:rPr>
        <w:t xml:space="preserve">Verification.</w:t>
      </w:r>
      <w:r>
        <w:t xml:space="preserve"> </w:t>
      </w:r>
      <w:r>
        <w:t xml:space="preserve">Two tests target the two failure properties directly. A 4×4 dense-grid stress test (16 nodes, every pair within threshold distance — the specific adversarial condition that produced same-row ties in the original design) confirms all nodes are visited exactly once with no infinite recursion. A determinism test confirms that reversing the input node list before processing produces an identical output order, directly exercising the property Theorem 6.2 claims.</w:t>
      </w:r>
    </w:p>
    <w:bookmarkEnd w:id="97"/>
    <w:bookmarkStart w:id="98" w:name="Xf3bab7ed8ed70119c4f5e677883b21626798872"/>
    <w:p>
      <w:pPr>
        <w:pStyle w:val="Heading3"/>
      </w:pPr>
      <w:r>
        <w:t xml:space="preserve">11.3 Defect 2: Layout-Aware Elastic Chunking Was Unimplemented</w:t>
      </w:r>
    </w:p>
    <w:p>
      <w:pPr>
        <w:pStyle w:val="FirstParagraph"/>
      </w:pPr>
      <w:r>
        <w:rPr>
          <w:bCs/>
          <w:b/>
        </w:rPr>
        <w:t xml:space="preserve">Symptom.</w:t>
      </w:r>
      <w:r>
        <w:t xml:space="preserve"> </w:t>
      </w:r>
      <w:r>
        <w:t xml:space="preserve">The chunking stage was described only in prose —</w:t>
      </w:r>
      <w:r>
        <w:t xml:space="preserve"> </w:t>
      </w:r>
      <w:r>
        <w:t xml:space="preserve">“</w:t>
      </w:r>
      <w:r>
        <w:t xml:space="preserve">introduce cross-attention windowing… look for abrupt shifts…</w:t>
      </w:r>
      <w:r>
        <w:t xml:space="preserve">”</w:t>
      </w:r>
      <w:r>
        <w:t xml:space="preserve"> </w:t>
      </w:r>
      <w:r>
        <w:t xml:space="preserve">— with no accompanying code in any draft of the original proposal. Without an implementation, the central claim of the architecture’s chunking design — that chunk boundaries adapt to structure rather than to token count — was, strictly, unverifiable; it was a stated intention, not a system property.</w:t>
      </w:r>
    </w:p>
    <w:p>
      <w:pPr>
        <w:pStyle w:val="BodyText"/>
      </w:pPr>
      <w:r>
        <w:rPr>
          <w:bCs/>
          <w:b/>
        </w:rPr>
        <w:t xml:space="preserve">Fix.</w:t>
      </w:r>
      <w:r>
        <w:t xml:space="preserve"> </w:t>
      </w:r>
      <w:r>
        <w:t xml:space="preserve">The concrete four-rule boundary-detection algorithm of Section 7.2 was implemented: protected-type forcing, font-delta detection, gap detection, and soft-budget forcing, evaluated as a disjunction over consecutive reading-order pairs per Section 7.3’s formal statement.</w:t>
      </w:r>
    </w:p>
    <w:p>
      <w:pPr>
        <w:pStyle w:val="BodyText"/>
      </w:pPr>
      <w:r>
        <w:rPr>
          <w:bCs/>
          <w:b/>
        </w:rPr>
        <w:t xml:space="preserve">Verification.</w:t>
      </w:r>
      <w:r>
        <w:t xml:space="preserve"> </w:t>
      </w:r>
      <w:r>
        <w:t xml:space="preserve">A dedicated unit-test suite confirms each rule’s individual behavior: a table node is never merged with adjacent prose regardless of proximity (protected-type rule); a large font-size shift between two consecutive nodes produces two separate chunks (font-delta rule); two similar-font paragraphs merge into a single chunk when the running total is under budget (confirms the</w:t>
      </w:r>
      <w:r>
        <w:t xml:space="preserve"> </w:t>
      </w:r>
      <w:r>
        <w:rPr>
          <w:iCs/>
          <w:i/>
        </w:rPr>
        <w:t xml:space="preserve">absence</w:t>
      </w:r>
      <w:r>
        <w:t xml:space="preserve"> </w:t>
      </w:r>
      <w:r>
        <w:t xml:space="preserve">of spurious boundaries — equally important to test as the presence of correct ones); and a long, uniform run of text is split once the soft token budget is exceeded (soft-budget rule), specifically confirming the rule does not fire prematurely on a still-small running chunk.</w:t>
      </w:r>
    </w:p>
    <w:bookmarkEnd w:id="98"/>
    <w:bookmarkStart w:id="99" w:name="X68383ae4593a93550952ad84ee509da1b561223"/>
    <w:p>
      <w:pPr>
        <w:pStyle w:val="Heading3"/>
      </w:pPr>
      <w:r>
        <w:t xml:space="preserve">11.4 Defect 3: Unbounded Memory Profile in the Knapsack Solver</w:t>
      </w:r>
    </w:p>
    <w:p>
      <w:pPr>
        <w:pStyle w:val="FirstParagraph"/>
      </w:pPr>
      <w:r>
        <w:rPr>
          <w:bCs/>
          <w:b/>
        </w:rPr>
        <w:t xml:space="preserve">Symptom.</w:t>
      </w:r>
      <w:r>
        <w:t xml:space="preserve"> </w:t>
      </w:r>
      <w:r>
        <w:t xml:space="preserve">The original packer’s exact backtracking scheme, per Section 9.2’s DP recurrence, stores a decision matrix of shape (N, C+1) to recover the selected item set from the filled table — an O(N·C) memory cost with no upper bound declared or enforced anywhere in the original proposal. For a large candidate pool (e.g., thousands of chunks aggregated from a multi-document corpus query) against a large context window (e.g., 200K tokens for a long-context model), this decision matrix can reach tens of gigabytes — a scaling failure mode entirely unaddressed in a design that was, at the same time, marketed as</w:t>
      </w:r>
      <w:r>
        <w:t xml:space="preserve"> </w:t>
      </w:r>
      <w:r>
        <w:t xml:space="preserve">“</w:t>
      </w:r>
      <w:r>
        <w:t xml:space="preserve">high-performance.</w:t>
      </w:r>
      <w:r>
        <w:t xml:space="preserve">”</w:t>
      </w:r>
    </w:p>
    <w:p>
      <w:pPr>
        <w:pStyle w:val="BodyText"/>
      </w:pPr>
      <w:r>
        <w:rPr>
          <w:bCs/>
          <w:b/>
        </w:rPr>
        <w:t xml:space="preserve">Fix.</w:t>
      </w:r>
      <w:r>
        <w:t xml:space="preserve"> </w:t>
      </w:r>
      <w:r>
        <w:t xml:space="preserve">A configurable max_dp_cells guard bounds the product N·C before the exact solver is invoked. When a given problem instance would exceed the guard, the solver falls back to the value-density greedy heuristic of Section 9.3 — O(N log N) time, O(N) memory, non-optimal but provably within the 1/2-approximation bound of Theorem 9.1, and always budget-safe (it never returns a selection exceeding the hard token ceiling). The result object returned by the packer explicitly reports which path executed, so a caller can distinguish a guaranteed-optimal packing from a bounded-suboptimal one — this reporting requirement is itself part of the fix, not an afterthought, because a caller silently receiving a heuristic result under the impression it is optimal is a correctness failure of its own, independent of the underlying algorithm’s approximation quality.</w:t>
      </w:r>
    </w:p>
    <w:p>
      <w:pPr>
        <w:pStyle w:val="BodyText"/>
      </w:pPr>
      <w:r>
        <w:rPr>
          <w:bCs/>
          <w:b/>
        </w:rPr>
        <w:t xml:space="preserve">Verification.</w:t>
      </w:r>
      <w:r>
        <w:t xml:space="preserve"> </w:t>
      </w:r>
      <w:r>
        <w:t xml:space="preserve">On small synthetic instances (N ≤ 20), the exact solver’s selected value is checked against brute-force enumeration of all 2^N candidate subsets and found to match exactly, confirming the DP recurrence’s optimality claim empirically in addition to Section 9.2’s derivation from the recurrence’s structure. A forced-fallback test — an artificially small max_dp_cells configured to trigger the greedy path on an instance that would otherwise run exactly — confirms the greedy path still respects the hard token ceiling under the same instance, directly testing the</w:t>
      </w:r>
      <w:r>
        <w:t xml:space="preserve"> </w:t>
      </w:r>
      <w:r>
        <w:t xml:space="preserve">“</w:t>
      </w:r>
      <w:r>
        <w:t xml:space="preserve">always budget-safe</w:t>
      </w:r>
      <w:r>
        <w:t xml:space="preserve">”</w:t>
      </w:r>
      <w:r>
        <w:t xml:space="preserve"> </w:t>
      </w:r>
      <w:r>
        <w:t xml:space="preserve">claim above.</w:t>
      </w:r>
    </w:p>
    <w:bookmarkEnd w:id="99"/>
    <w:bookmarkStart w:id="100" w:name="Xeb81c750a6d55e3580e35f848dd6cf1cf75eb13"/>
    <w:p>
      <w:pPr>
        <w:pStyle w:val="Heading3"/>
      </w:pPr>
      <w:r>
        <w:t xml:space="preserve">11.5 Defect 4: Absence of Empirical or Test Validation</w:t>
      </w:r>
    </w:p>
    <w:p>
      <w:pPr>
        <w:pStyle w:val="FirstParagraph"/>
      </w:pPr>
      <w:r>
        <w:rPr>
          <w:bCs/>
          <w:b/>
        </w:rPr>
        <w:t xml:space="preserve">Symptom.</w:t>
      </w:r>
      <w:r>
        <w:t xml:space="preserve"> </w:t>
      </w:r>
      <w:r>
        <w:t xml:space="preserve">No automated test suite accompanied any version of the original proposal; correctness was argued from the governing mathematics and from a single hand-constructed example document. This is a materially weaker evidentiary standard than the claims being made require: a system whose principal value proposition is deterministic, budget-safe behavior specifically under</w:t>
      </w:r>
      <w:r>
        <w:t xml:space="preserve"> </w:t>
      </w:r>
      <w:r>
        <w:rPr>
          <w:iCs/>
          <w:i/>
        </w:rPr>
        <w:t xml:space="preserve">adversarial</w:t>
      </w:r>
      <w:r>
        <w:t xml:space="preserve"> </w:t>
      </w:r>
      <w:r>
        <w:t xml:space="preserve">document structure cannot have that claim supported by a single, presumably non-adversarial, hand-built example.</w:t>
      </w:r>
    </w:p>
    <w:p>
      <w:pPr>
        <w:pStyle w:val="BodyText"/>
      </w:pPr>
      <w:r>
        <w:rPr>
          <w:bCs/>
          <w:b/>
        </w:rPr>
        <w:t xml:space="preserve">Fix.</w:t>
      </w:r>
      <w:r>
        <w:t xml:space="preserve"> </w:t>
      </w:r>
      <w:r>
        <w:t xml:space="preserve">An 18-case automated test suite was built covering, at minimum: graph acyclicity and determinism under the stress and reordering conditions of Section 11.2; knapsack optimality against brute force and hard-budget compliance under both the exact and greedy paths of Section 11.4; per-rule chunk-boundary correctness under the four conditions of Section 11.3; and end-to-end pipeline behavior tracing a synthetic document from ingestion through to packed-context output, confirming the individually-tested stages compose correctly rather than only being correct in isolation.</w:t>
      </w:r>
    </w:p>
    <w:p>
      <w:pPr>
        <w:pStyle w:val="BodyText"/>
      </w:pPr>
      <w:r>
        <w:rPr>
          <w:bCs/>
          <w:b/>
        </w:rPr>
        <w:t xml:space="preserve">Verification.</w:t>
      </w:r>
      <w:r>
        <w:t xml:space="preserve"> </w:t>
      </w:r>
      <w:r>
        <w:t xml:space="preserve">All 18 tests pass in the current reference implementation. The suite is explicitly intended as a regression gate for any future change to the scoring functions or boundary-detection heuristics — meaning a future modification to, say, the font-delta threshold in Section 7.2’s rule 2 is required to continue passing the</w:t>
      </w:r>
      <w:r>
        <w:t xml:space="preserve"> </w:t>
      </w:r>
      <w:r>
        <w:t xml:space="preserve">“</w:t>
      </w:r>
      <w:r>
        <w:t xml:space="preserve">no spurious merge</w:t>
      </w:r>
      <w:r>
        <w:t xml:space="preserve">”</w:t>
      </w:r>
      <w:r>
        <w:t xml:space="preserve"> </w:t>
      </w:r>
      <w:r>
        <w:t xml:space="preserve">and</w:t>
      </w:r>
      <w:r>
        <w:t xml:space="preserve"> </w:t>
      </w:r>
      <w:r>
        <w:t xml:space="preserve">“</w:t>
      </w:r>
      <w:r>
        <w:t xml:space="preserve">correct split</w:t>
      </w:r>
      <w:r>
        <w:t xml:space="preserve">”</w:t>
      </w:r>
      <w:r>
        <w:t xml:space="preserve"> </w:t>
      </w:r>
      <w:r>
        <w:t xml:space="preserve">tests from Section 11.3’s verification, not merely to preserve the modifier’s own intended new behavior in isolation.</w:t>
      </w:r>
    </w:p>
    <w:bookmarkEnd w:id="100"/>
    <w:bookmarkStart w:id="101" w:name="summary-table"/>
    <w:p>
      <w:pPr>
        <w:pStyle w:val="Heading3"/>
      </w:pPr>
      <w:r>
        <w:t xml:space="preserve">11.6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Defect in original proposal</w:t>
            </w:r>
          </w:p>
        </w:tc>
        <w:tc>
          <w:tcPr/>
          <w:p>
            <w:pPr>
              <w:pStyle w:val="Compact"/>
              <w:jc w:val="left"/>
            </w:pPr>
            <w:r>
              <w:t xml:space="preserve">Fix</w:t>
            </w:r>
          </w:p>
        </w:tc>
        <w:tc>
          <w:tcPr/>
          <w:p>
            <w:pPr>
              <w:pStyle w:val="Compact"/>
              <w:jc w:val="left"/>
            </w:pPr>
            <w:r>
              <w:t xml:space="preserve">Verification method</w:t>
            </w:r>
          </w:p>
        </w:tc>
      </w:tr>
      <w:tr>
        <w:tc>
          <w:tcPr/>
          <w:p>
            <w:pPr>
              <w:pStyle w:val="Compact"/>
              <w:jc w:val="left"/>
            </w:pPr>
            <w:r>
              <w:t xml:space="preserve">Reading-order recovery</w:t>
            </w:r>
          </w:p>
        </w:tc>
        <w:tc>
          <w:tcPr/>
          <w:p>
            <w:pPr>
              <w:pStyle w:val="Compact"/>
              <w:jc w:val="left"/>
            </w:pPr>
            <w:r>
              <w:t xml:space="preserve">Recursive DFS over a possibly-cyclic weighted matrix; non-deterministic under same-row ties</w:t>
            </w:r>
          </w:p>
        </w:tc>
        <w:tc>
          <w:tcPr/>
          <w:p>
            <w:pPr>
              <w:pStyle w:val="Compact"/>
              <w:jc w:val="left"/>
            </w:pPr>
            <w:r>
              <w:t xml:space="preserve">Reading-forward edges constructed acyclic by definition (Def. 6.1); Kahn’s algorithm with deterministic tie-break (Thm. 6.2)</w:t>
            </w:r>
          </w:p>
        </w:tc>
        <w:tc>
          <w:tcPr/>
          <w:p>
            <w:pPr>
              <w:pStyle w:val="Compact"/>
              <w:jc w:val="left"/>
            </w:pPr>
            <w:r>
              <w:t xml:space="preserve">Dense-grid stress test (16 nodes, all-adjacent); input-order-invariance test</w:t>
            </w:r>
          </w:p>
        </w:tc>
      </w:tr>
      <w:tr>
        <w:tc>
          <w:tcPr/>
          <w:p>
            <w:pPr>
              <w:pStyle w:val="Compact"/>
              <w:jc w:val="left"/>
            </w:pPr>
            <w:r>
              <w:t xml:space="preserve">Elastic chunking</w:t>
            </w:r>
          </w:p>
        </w:tc>
        <w:tc>
          <w:tcPr/>
          <w:p>
            <w:pPr>
              <w:pStyle w:val="Compact"/>
              <w:jc w:val="left"/>
            </w:pPr>
            <w:r>
              <w:t xml:space="preserve">Described in prose only; no implementation existed</w:t>
            </w:r>
          </w:p>
        </w:tc>
        <w:tc>
          <w:tcPr/>
          <w:p>
            <w:pPr>
              <w:pStyle w:val="Compact"/>
              <w:jc w:val="left"/>
            </w:pPr>
            <w:r>
              <w:t xml:space="preserve">Four-rule structural boundary detector: protected type, font delta, gap, soft budget (Sec. 7.2)</w:t>
            </w:r>
          </w:p>
        </w:tc>
        <w:tc>
          <w:tcPr/>
          <w:p>
            <w:pPr>
              <w:pStyle w:val="Compact"/>
              <w:jc w:val="left"/>
            </w:pPr>
            <w:r>
              <w:t xml:space="preserve">Per-rule unit tests: no-merge, correct-split, correct-no-split, budget-triggered-split</w:t>
            </w:r>
          </w:p>
        </w:tc>
      </w:tr>
      <w:tr>
        <w:tc>
          <w:tcPr/>
          <w:p>
            <w:pPr>
              <w:pStyle w:val="Compact"/>
              <w:jc w:val="left"/>
            </w:pPr>
            <w:r>
              <w:t xml:space="preserve">Knapsack packer</w:t>
            </w:r>
          </w:p>
        </w:tc>
        <w:tc>
          <w:tcPr/>
          <w:p>
            <w:pPr>
              <w:pStyle w:val="Compact"/>
              <w:jc w:val="left"/>
            </w:pPr>
            <w:r>
              <w:t xml:space="preserve">O(N·C) backtracking memory with no declared upper bound</w:t>
            </w:r>
          </w:p>
        </w:tc>
        <w:tc>
          <w:tcPr/>
          <w:p>
            <w:pPr>
              <w:pStyle w:val="Compact"/>
              <w:jc w:val="left"/>
            </w:pPr>
            <w:r>
              <w:t xml:space="preserve">max_dp_cells guard + greedy value-density fallback (1/2-approx, Thm. 9.1) with explicit exact/approximate reporting flag</w:t>
            </w:r>
          </w:p>
        </w:tc>
        <w:tc>
          <w:tcPr/>
          <w:p>
            <w:pPr>
              <w:pStyle w:val="Compact"/>
              <w:jc w:val="left"/>
            </w:pPr>
            <w:r>
              <w:t xml:space="preserve">Brute-force exact match on small N; forced-fallback hard-budget compliance test</w:t>
            </w:r>
          </w:p>
        </w:tc>
      </w:tr>
      <w:tr>
        <w:tc>
          <w:tcPr/>
          <w:p>
            <w:pPr>
              <w:pStyle w:val="Compact"/>
              <w:jc w:val="left"/>
            </w:pPr>
            <w:r>
              <w:t xml:space="preserve">System-wide</w:t>
            </w:r>
          </w:p>
        </w:tc>
        <w:tc>
          <w:tcPr/>
          <w:p>
            <w:pPr>
              <w:pStyle w:val="Compact"/>
              <w:jc w:val="left"/>
            </w:pPr>
            <w:r>
              <w:t xml:space="preserve">No automated tests; single hand-built example only</w:t>
            </w:r>
          </w:p>
        </w:tc>
        <w:tc>
          <w:tcPr/>
          <w:p>
            <w:pPr>
              <w:pStyle w:val="Compact"/>
              <w:jc w:val="left"/>
            </w:pPr>
            <w:r>
              <w:t xml:space="preserve">18-case automated test suite spanning all stages plus end-to-end pipeline</w:t>
            </w:r>
          </w:p>
        </w:tc>
        <w:tc>
          <w:tcPr/>
          <w:p>
            <w:pPr>
              <w:pStyle w:val="Compact"/>
              <w:jc w:val="left"/>
            </w:pPr>
            <w:r>
              <w:t xml:space="preserve">CI-style local run: 18/18 passing at time of writing</w:t>
            </w:r>
          </w:p>
        </w:tc>
      </w:tr>
    </w:tbl>
    <w:bookmarkEnd w:id="101"/>
    <w:bookmarkStart w:id="102" w:name="the-general-lesson"/>
    <w:p>
      <w:pPr>
        <w:pStyle w:val="Heading3"/>
      </w:pPr>
      <w:r>
        <w:t xml:space="preserve">11.7 The General Lesson</w:t>
      </w:r>
    </w:p>
    <w:p>
      <w:pPr>
        <w:pStyle w:val="FirstParagraph"/>
      </w:pPr>
      <w:r>
        <w:t xml:space="preserve">The four defects above share a structure worth stating explicitly, since it generalizes beyond this specific system: each was a property that a</w:t>
      </w:r>
      <w:r>
        <w:t xml:space="preserve"> </w:t>
      </w:r>
      <w:r>
        <w:rPr>
          <w:iCs/>
          <w:i/>
        </w:rPr>
        <w:t xml:space="preserve">reader</w:t>
      </w:r>
      <w:r>
        <w:t xml:space="preserve"> </w:t>
      </w:r>
      <w:r>
        <w:t xml:space="preserve">of the governing equations would have had no reason to doubt (the equations for edge weight, for the DP recurrence, are each individually correct as stated), but that only became a</w:t>
      </w:r>
      <w:r>
        <w:t xml:space="preserve"> </w:t>
      </w:r>
      <w:r>
        <w:rPr>
          <w:iCs/>
          <w:i/>
        </w:rPr>
        <w:t xml:space="preserve">system</w:t>
      </w:r>
      <w:r>
        <w:t xml:space="preserve"> </w:t>
      </w:r>
      <w:r>
        <w:t xml:space="preserve">defect once an implementation had to make a discretionary choice the equations did not specify — how ties are broken, whether a described-in-prose stage is actually implemented, whether a memory bound is enforced or merely typical. A paper that stops at the equation level cannot surface this class of defect by construction, because the defect does not live in the equations; it lives in the gap between an equation and a specific, tested implementation of it. This is the methodological justification, restated from Section 1.4, for why this monograph treats implementation and test evidence as first-class content rather than as supplementary material to an equation-centric presentation.</w:t>
      </w:r>
    </w:p>
    <w:bookmarkEnd w:id="102"/>
    <w:bookmarkEnd w:id="103"/>
    <w:bookmarkStart w:id="112" w:name="Xb3037fc95131685cc491ccce7dc4b79e5381e4d"/>
    <w:p>
      <w:pPr>
        <w:pStyle w:val="Heading2"/>
      </w:pPr>
      <w:r>
        <w:t xml:space="preserve">12. Extension to Multimodal Assets and Large-Scale Optimization</w:t>
      </w:r>
    </w:p>
    <w:bookmarkStart w:id="104" w:name="Xf506bc37f646bee33dddb90c6ad3d1fd2d93276"/>
    <w:p>
      <w:pPr>
        <w:pStyle w:val="Heading3"/>
      </w:pPr>
      <w:r>
        <w:t xml:space="preserve">12.1 From Single-Choice to Multi-Choice Knapsack</w:t>
      </w:r>
    </w:p>
    <w:p>
      <w:pPr>
        <w:pStyle w:val="FirstParagraph"/>
      </w:pPr>
      <w:r>
        <w:t xml:space="preserve">Sections 6–9 treat every candidate unit as a single text chunk with one fixed (value, weight) pair. Images, flowcharts, and tables admit multiple</w:t>
      </w:r>
      <w:r>
        <w:t xml:space="preserve"> </w:t>
      </w:r>
      <w:r>
        <w:rPr>
          <w:iCs/>
          <w:i/>
        </w:rPr>
        <w:t xml:space="preserve">representation tiers</w:t>
      </w:r>
      <w:r>
        <w:t xml:space="preserve"> </w:t>
      </w:r>
      <w:r>
        <w:t xml:space="preserve">at different fidelity-cost points — for instance, a table can be represented as a row count only (cheapest, least informative), a header-plus-key-rows summary (moderate cost and information), or a full relational matrix (Section 5.4’s Matrix Engine output, most expensive, most informative). Section 9’s single-choice knapsack has no mechanism to select</w:t>
      </w:r>
      <w:r>
        <w:t xml:space="preserve"> </w:t>
      </w:r>
      <w:r>
        <w:rPr>
          <w:iCs/>
          <w:i/>
        </w:rPr>
        <w:t xml:space="preserve">which tier</w:t>
      </w:r>
      <w:r>
        <w:t xml:space="preserve"> </w:t>
      </w:r>
      <w:r>
        <w:t xml:space="preserve">of a given asset to include; it can only decide whether to include a single fixed representation of that asset.</w:t>
      </w:r>
    </w:p>
    <w:p>
      <w:pPr>
        <w:pStyle w:val="BodyText"/>
      </w:pPr>
      <w:r>
        <w:rPr>
          <w:iCs/>
          <w:i/>
        </w:rPr>
        <w:t xml:space="preserve">[Figure 3 — single-choice vs. multi-choice knapsack]</w:t>
      </w:r>
    </w:p>
    <w:p>
      <w:pPr>
        <w:pStyle w:val="BodyText"/>
      </w:pPr>
      <w:r>
        <w:rPr>
          <w:bCs/>
          <w:b/>
        </w:rPr>
        <w:t xml:space="preserve">Formalization.</w:t>
      </w:r>
      <w:r>
        <w:t xml:space="preserve"> </w:t>
      </w:r>
      <w:r>
        <w:t xml:space="preserve">Partition the candidate set into disjoint asset groups G_1, …, G_M (each group representing one multimodal asset’s available tiers), with x_ik ∈ {0,1} indicating selection of tier k of group i:</w:t>
      </w:r>
    </w:p>
    <w:p>
      <w:pPr>
        <w:pStyle w:val="BodyText"/>
      </w:pPr>
      <w:r>
        <w:t xml:space="preserve">maximize ΣΣ v_ik x_ik, subject to ΣΣ w_ik x_ik ≤ C, and Σ_k x_ik ≤ 1 for every i</w:t>
      </w:r>
    </w:p>
    <w:p>
      <w:pPr>
        <w:pStyle w:val="BodyText"/>
      </w:pPr>
      <w:r>
        <w:t xml:space="preserve">The added constraint Σ_k x_ik ≤ 1 enforces</w:t>
      </w:r>
      <w:r>
        <w:t xml:space="preserve"> </w:t>
      </w:r>
      <w:r>
        <w:t xml:space="preserve">“</w:t>
      </w:r>
      <w:r>
        <w:t xml:space="preserve">at most one tier per asset</w:t>
      </w:r>
      <w:r>
        <w:t xml:space="preserve">”</w:t>
      </w:r>
      <w:r>
        <w:t xml:space="preserve"> </w:t>
      </w:r>
      <w:r>
        <w:t xml:space="preserve">— selecting both the summary tier and the full tier of the same table would be redundant and wasteful of budget, so the multi-choice formulation forbids it structurally rather than relying on the value function to discourage it.</w:t>
      </w:r>
    </w:p>
    <w:p>
      <w:pPr>
        <w:pStyle w:val="BodyText"/>
      </w:pPr>
      <w:r>
        <w:rPr>
          <w:bCs/>
          <w:b/>
        </w:rPr>
        <w:t xml:space="preserve">Multi-Choice DP recurrence.</w:t>
      </w:r>
      <w:r>
        <w:t xml:space="preserve"> </w:t>
      </w:r>
      <w:r>
        <w:t xml:space="preserve">Extending Section 9.2’s recurrence to handle groups: V(i, q) = max over k ∈ {0 (skip group i entirely), 1, …, tiers(i)} of [v_ik + V(i−1, q − w_ik)] where w_i0 = 0, v_i0 = 0 represents the skip option. This remains an exact, polynomial-time (in N·C·k̄, average tiers per group) dynamic program with the same structural guarantees as Section 9.2.</w:t>
      </w:r>
    </w:p>
    <w:p>
      <w:pPr>
        <w:pStyle w:val="BodyText"/>
      </w:pPr>
      <w:r>
        <w:rPr>
          <w:bCs/>
          <w:b/>
        </w:rPr>
        <w:t xml:space="preserve">Verification.</w:t>
      </w:r>
      <w:r>
        <w:t xml:space="preserve"> </w:t>
      </w:r>
      <w:r>
        <w:t xml:space="preserve">The multi-choice solver’s exact-match property was verified identically to Section 11.4’s methodology: on synthetic multi-tier instances, the DP solution is checked against brute-force enumeration over all valid tier-selection combinations and found to match exactly.</w:t>
      </w:r>
    </w:p>
    <w:bookmarkEnd w:id="104"/>
    <w:bookmarkStart w:id="105" w:name="Xc908300b86f4f87fe6ea706b0377a62191247e9"/>
    <w:p>
      <w:pPr>
        <w:pStyle w:val="Heading3"/>
      </w:pPr>
      <w:r>
        <w:t xml:space="preserve">12.2 Lagrangian Relaxation for Large-Scale Instances</w:t>
      </w:r>
    </w:p>
    <w:p>
      <w:pPr>
        <w:pStyle w:val="FirstParagraph"/>
      </w:pPr>
      <w:r>
        <w:t xml:space="preserve">For instances too large for even the multi-choice DP’s exact solver to run within its memory guard, a genuinely distinct large-scale method is required — and this is a point where the original external draft this monograph’s implementation corrects had mislabeled a plain value-density greedy heuristic as</w:t>
      </w:r>
      <w:r>
        <w:t xml:space="preserve"> </w:t>
      </w:r>
      <w:r>
        <w:t xml:space="preserve">“</w:t>
      </w:r>
      <w:r>
        <w:t xml:space="preserve">Lagrangian relaxation,</w:t>
      </w:r>
      <w:r>
        <w:t xml:space="preserve">”</w:t>
      </w:r>
      <w:r>
        <w:t xml:space="preserve"> </w:t>
      </w:r>
      <w:r>
        <w:t xml:space="preserve">a term with a specific and different mathematical meaning (Fisher, 1981). This monograph implements an actual Lagrangian relaxation: the knapsack capacity constraint is relaxed into the objective via a multiplier λ ≥ 0, giving the relaxed problem max Σ(v_ik − λw_ik)x_ik, which decomposes into an independent, closed-form choice per group (select the tier maximizing v_ik − λw_ik, or skip). A subgradient method updates λ iteratively — increasing λ when the relaxed solution’s total weight exceeds C, decreasing it when there is slack — converging toward a λ* whose relaxed solution is close to primal-feasible.</w:t>
      </w:r>
    </w:p>
    <w:p>
      <w:pPr>
        <w:pStyle w:val="BodyText"/>
      </w:pPr>
      <w:r>
        <w:rPr>
          <w:bCs/>
          <w:b/>
        </w:rPr>
        <w:t xml:space="preserve">Verification.</w:t>
      </w:r>
      <w:r>
        <w:t xml:space="preserve"> </w:t>
      </w:r>
      <w:r>
        <w:t xml:space="preserve">Because Lagrangian relaxation of a maximization knapsack produces a</w:t>
      </w:r>
      <w:r>
        <w:t xml:space="preserve"> </w:t>
      </w:r>
      <w:r>
        <w:rPr>
          <w:iCs/>
          <w:i/>
        </w:rPr>
        <w:t xml:space="preserve">dual</w:t>
      </w:r>
      <w:r>
        <w:t xml:space="preserve"> </w:t>
      </w:r>
      <w:r>
        <w:t xml:space="preserve">value that upper-bounds the true (primal) optimum for every feasible λ, while any primal-feasible solution constructed by rounding the relaxed solution provides a lower bound, the implementation’s correctness is verified via a weak-duality sandwich: on synthetic instances small enough for brute-force computation of the true optimum, the reported dual bound is confirmed to sit above brute-force optimal and the constructed primal-feasible solution is confirmed to sit at or below it — i.e., true optimal is sandwiched between the two bounds the solver reports, and the gap between them is confirmed to narrow as subgradient iterations proceed.</w:t>
      </w:r>
    </w:p>
    <w:bookmarkEnd w:id="105"/>
    <w:bookmarkStart w:id="106" w:name="image-and-flowchart-encoders"/>
    <w:p>
      <w:pPr>
        <w:pStyle w:val="Heading3"/>
      </w:pPr>
      <w:r>
        <w:t xml:space="preserve">12.3 Image and Flowchart Encoders</w:t>
      </w:r>
    </w:p>
    <w:p>
      <w:pPr>
        <w:pStyle w:val="FirstParagraph"/>
      </w:pPr>
      <w:r>
        <w:t xml:space="preserve">Non-textual assets require dedicated encoders sharing the multimodal embedding space of Section 8.1. An SVG-based flowchart parser extracts shape nodes and connector edges from vector-graphic source (arc and quadratic path commands are currently skipped rather than parsed, per the open item in Section 23) and reads the resulting graph out through Graph Convolutional Network layers (Kipf &amp; Welling, 2017) into a fixed-size embedding. An image/figure encoder follows a contrastive-projection design in the spirit of CLIP (Radford et al., 2021), projecting raster figure content into the same shared embedding space that the text-layout encoder of Section 8.1 populates.</w:t>
      </w:r>
    </w:p>
    <w:p>
      <w:pPr>
        <w:pStyle w:val="BodyText"/>
      </w:pPr>
      <w:r>
        <w:rPr>
          <w:bCs/>
          <w:b/>
        </w:rPr>
        <w:t xml:space="preserve">Verification status.</w:t>
      </w:r>
      <w:r>
        <w:t xml:space="preserve"> </w:t>
      </w:r>
      <w:r>
        <w:t xml:space="preserve">Both encoders are, at the time of this writing, structurally verified only — confirmed to produce embeddings of the correct dimensionality, to respond differently to structurally different synthetic inputs (e.g., a flowchart graph with a cycle produces a different embedding than an equivalent acyclic one), and to compose correctly with the multi-choice packer of Section 12.1 — but are not semantically trained on real diagram or figure corpora, and are explicitly not production-ready for semantic retrieval quality. We report this status plainly, consistent with Section 1.4’s evidentiary-tagging commitment, rather than presenting a structural-correctness test as if it demonstrated semantic quality.</w:t>
      </w:r>
    </w:p>
    <w:bookmarkEnd w:id="106"/>
    <w:bookmarkStart w:id="107" w:name="Xf400c378e005dc546d3c339e679da677ff4b9ac"/>
    <w:p>
      <w:pPr>
        <w:pStyle w:val="Heading3"/>
      </w:pPr>
      <w:r>
        <w:t xml:space="preserve">12.4 Spectral Embedder for Structural Grouping</w:t>
      </w:r>
    </w:p>
    <w:p>
      <w:pPr>
        <w:pStyle w:val="FirstParagraph"/>
      </w:pPr>
      <w:r>
        <w:t xml:space="preserve">The spectral engine (Section 5.4) computes the Laplace-Beltrami graph Laplacian over the document’s structural graph and extracts its low-order eigenvectors for spectral clustering (Von Luxburg, 2007), grouping visually or relationally similar elements (e.g., all cells belonging to the same logical table region, even where explicit ruling lines are absent or inconsistent) without requiring a predefined layout template.</w:t>
      </w:r>
    </w:p>
    <w:p>
      <w:pPr>
        <w:pStyle w:val="BodyText"/>
      </w:pPr>
      <w:r>
        <w:rPr>
          <w:bCs/>
          <w:b/>
        </w:rPr>
        <w:t xml:space="preserve">Verification.</w:t>
      </w:r>
      <w:r>
        <w:t xml:space="preserve"> </w:t>
      </w:r>
      <w:r>
        <w:t xml:space="preserve">On synthetic instances constructed with a known block-diagonal affinity structure (i.e., ground-truth cluster membership is known by construction), the spectral embedder is confirmed to correctly separate the input into its constituent clusters — the standard sanity check for a spectral clustering implementation, and one that exercises the eigendecomposition and clustering-threshold logic jointly.</w:t>
      </w:r>
    </w:p>
    <w:bookmarkEnd w:id="107"/>
    <w:bookmarkStart w:id="108" w:name="Xfe53e1418ba7b09c27caf58efd2639e22bb9794"/>
    <w:p>
      <w:pPr>
        <w:pStyle w:val="Heading3"/>
      </w:pPr>
      <w:r>
        <w:t xml:space="preserve">12.5 Hitting-Time Score via Absorbing Markov Chains</w:t>
      </w:r>
    </w:p>
    <w:p>
      <w:pPr>
        <w:pStyle w:val="FirstParagraph"/>
      </w:pPr>
      <w:r>
        <w:t xml:space="preserve">A complementary structural-relatedness score is computed by modeling the document graph as an absorbing Markov chain and computing expected first-passage (hitting) time between element pairs — a random-walk-based notion of relatedness that, unlike direct graph distance, accounts for the</w:t>
      </w:r>
      <w:r>
        <w:t xml:space="preserve"> </w:t>
      </w:r>
      <w:r>
        <w:rPr>
          <w:iCs/>
          <w:i/>
        </w:rPr>
        <w:t xml:space="preserve">number</w:t>
      </w:r>
      <w:r>
        <w:t xml:space="preserve"> </w:t>
      </w:r>
      <w:r>
        <w:t xml:space="preserve">of alternative paths between two elements, not merely the length of the shortest one.</w:t>
      </w:r>
    </w:p>
    <w:p>
      <w:pPr>
        <w:pStyle w:val="BodyText"/>
      </w:pPr>
      <w:r>
        <w:rPr>
          <w:bCs/>
          <w:b/>
        </w:rPr>
        <w:t xml:space="preserve">Verification.</w:t>
      </w:r>
      <w:r>
        <w:t xml:space="preserve"> </w:t>
      </w:r>
      <w:r>
        <w:t xml:space="preserve">On a synthetic path graph (a simple linear chain of nodes, where the correct qualitative behavior is unambiguous), hitting time is confirmed to increase monotonically with graph distance, confirming the score behaves as intended on the simplest structurally interpretable test case before being trusted on denser, more realistic document graphs.</w:t>
      </w:r>
    </w:p>
    <w:bookmarkEnd w:id="108"/>
    <w:bookmarkStart w:id="109" w:name="X6ad427a4aa1d5cf97f8d6cbb5da259d3d2b1aac"/>
    <w:p>
      <w:pPr>
        <w:pStyle w:val="Heading3"/>
      </w:pPr>
      <w:r>
        <w:t xml:space="preserve">12.6 Correctness Note: The Rejected Fiedler-Vector Reading-Order Design</w:t>
      </w:r>
    </w:p>
    <w:p>
      <w:pPr>
        <w:pStyle w:val="FirstParagraph"/>
      </w:pPr>
      <w:r>
        <w:t xml:space="preserve">A separate, external draft proposed deriving document reading order directly from the graph Laplacian’s Fiedler vector — the eigenvector associated with the second-smallest eigenvalue — by sorting nodes along their coordinate on this vector. This design was evaluated against Section 6’s requirements and explicitly</w:t>
      </w:r>
      <w:r>
        <w:t xml:space="preserve"> </w:t>
      </w:r>
      <w:r>
        <w:rPr>
          <w:bCs/>
          <w:b/>
        </w:rPr>
        <w:t xml:space="preserve">not adopted</w:t>
      </w:r>
      <w:r>
        <w:t xml:space="preserve">, for mathematical rather than empirical reasons, and we document the rejection here in the same evidentiary-tagging spirit as Section 11’s accepted fixes.</w:t>
      </w:r>
    </w:p>
    <w:p>
      <w:pPr>
        <w:pStyle w:val="BodyText"/>
      </w:pPr>
      <w:r>
        <w:rPr>
          <w:bCs/>
          <w:b/>
        </w:rPr>
        <w:t xml:space="preserve">Why it fails.</w:t>
      </w:r>
      <w:r>
        <w:t xml:space="preserve"> </w:t>
      </w:r>
      <w:r>
        <w:t xml:space="preserve">Three independent properties of the Fiedler vector make it unsuitable for this specific task, though it remains entirely well-suited to the different task it is used for elsewhere in this monograph (Section 12.4’s structural grouping):</w:t>
      </w:r>
    </w:p>
    <w:p>
      <w:pPr>
        <w:numPr>
          <w:ilvl w:val="0"/>
          <w:numId w:val="1007"/>
        </w:numPr>
        <w:pStyle w:val="Compact"/>
      </w:pPr>
      <w:r>
        <w:t xml:space="preserve">The Fiedler vector encodes</w:t>
      </w:r>
      <w:r>
        <w:t xml:space="preserve"> </w:t>
      </w:r>
      <w:r>
        <w:rPr>
          <w:iCs/>
          <w:i/>
        </w:rPr>
        <w:t xml:space="preserve">spectral bisection</w:t>
      </w:r>
      <w:r>
        <w:t xml:space="preserve"> </w:t>
      </w:r>
      <w:r>
        <w:t xml:space="preserve">structure — it is the standard tool for graph partitioning and bandwidth reduction (Von Luxburg, 2007) — not reading direction. Nothing in its derivation from the Laplacian’s eigenstructure encodes a notion of left-to-right or top-to-bottom flow; it is a measure of how the graph splits into two well-connected halves, a fundamentally different geometric question from</w:t>
      </w:r>
      <w:r>
        <w:t xml:space="preserve"> </w:t>
      </w:r>
      <w:r>
        <w:t xml:space="preserve">“</w:t>
      </w:r>
      <w:r>
        <w:t xml:space="preserve">in what order should these nodes be visited.</w:t>
      </w:r>
      <w:r>
        <w:t xml:space="preserve">”</w:t>
      </w:r>
    </w:p>
    <w:p>
      <w:pPr>
        <w:numPr>
          <w:ilvl w:val="0"/>
          <w:numId w:val="1007"/>
        </w:numPr>
        <w:pStyle w:val="Compact"/>
      </w:pPr>
      <w:r>
        <w:t xml:space="preserve">A symmetric Gaussian-kernel affinity matrix — the standard input to spectral clustering, and the natural input if one were to build a Fiedler-vector-based ordering — is direction-agnostic by construction: the affinity between nodes i and j is identical whether computed as A(i,j) or A(j,i), so no directional (reading-forward vs. reading-backward) information could survive into the eigendecomposition regardless of how the eigenvector is subsequently used.</w:t>
      </w:r>
    </w:p>
    <w:p>
      <w:pPr>
        <w:numPr>
          <w:ilvl w:val="0"/>
          <w:numId w:val="1007"/>
        </w:numPr>
        <w:pStyle w:val="Compact"/>
      </w:pPr>
      <w:r>
        <w:t xml:space="preserve">Eigenvectors are sign-ambiguous: for any eigenvector v of a real symmetric matrix, −v is an equally valid eigenvector for the same eigenvalue. An ordering derived by sorting along the Fiedler vector and its exact mirror-image ordering (sorting along the negated vector) are therefore</w:t>
      </w:r>
      <w:r>
        <w:t xml:space="preserve"> </w:t>
      </w:r>
      <w:r>
        <w:rPr>
          <w:iCs/>
          <w:i/>
        </w:rPr>
        <w:t xml:space="preserve">equally valid outputs of the identical computation</w:t>
      </w:r>
      <w:r>
        <w:t xml:space="preserve"> </w:t>
      </w:r>
      <w:r>
        <w:t xml:space="preserve">on the identical document — a design that cannot even guarantee its own output is stable up to a global reversal, let alone correct in an absolute left-to-right, top-to-bottom sense.</w:t>
      </w:r>
    </w:p>
    <w:p>
      <w:pPr>
        <w:pStyle w:val="FirstParagraph"/>
      </w:pPr>
      <w:r>
        <w:rPr>
          <w:bCs/>
          <w:b/>
        </w:rPr>
        <w:t xml:space="preserve">Disposition.</w:t>
      </w:r>
      <w:r>
        <w:t xml:space="preserve"> </w:t>
      </w:r>
      <w:r>
        <w:t xml:space="preserve">Reading order in this architecture continues to be produced exclusively by the directionally-constructed DAG and Kahn’s-algorithm sequencing of Section 6, which is the only component in the pipeline carrying a provable ordering guarantee (Theorem 6.1, Theorem 6.2). The spectral tooling of Section 12.4 is retained for the task it is actually mathematically suited to — structural grouping — and is not repurposed for sequencing.</w:t>
      </w:r>
    </w:p>
    <w:bookmarkEnd w:id="109"/>
    <w:bookmarkStart w:id="110" w:name="Xcaf795c6687e79c5f7920e886d46b3f5de7e75a"/>
    <w:p>
      <w:pPr>
        <w:pStyle w:val="Heading3"/>
      </w:pPr>
      <w:r>
        <w:t xml:space="preserve">12.7 Tabular Compiler: Relational Coordinate Invariance</w:t>
      </w:r>
    </w:p>
    <w:p>
      <w:pPr>
        <w:pStyle w:val="FirstParagraph"/>
      </w:pPr>
      <w:r>
        <w:t xml:space="preserve">Tables are compiled into the relational matrix form of Section 5.4’s Matrix Engine with an explicit correctness property: header binding must be preserved per cell (a cell’s value must remain associated with its correct row and column header even after arbitrary re-ordering, filtering, or tier-selection operations by the packer of Section 12.1), and ragged rows (rows with fewer cells than the table’s column count — common in real-world scanned tables with merged or missing cells) must be handled without silently misaligning subsequent columns.</w:t>
      </w:r>
    </w:p>
    <w:p>
      <w:pPr>
        <w:pStyle w:val="BodyText"/>
      </w:pPr>
      <w:r>
        <w:rPr>
          <w:bCs/>
          <w:b/>
        </w:rPr>
        <w:t xml:space="preserve">Verification.</w:t>
      </w:r>
      <w:r>
        <w:t xml:space="preserve"> </w:t>
      </w:r>
      <w:r>
        <w:t xml:space="preserve">Header binding is confirmed preserved per cell across synthetic tables subjected to the packer’s tier-selection and re-ordering operations; ragged-row handling is confirmed on synthetic tables with deliberately missing trailing cells, verifying the compiler does not shift subsequent column bindings when a row is short.</w:t>
      </w:r>
    </w:p>
    <w:bookmarkEnd w:id="110"/>
    <w:bookmarkStart w:id="111" w:name="summary-of-extension-components"/>
    <w:p>
      <w:pPr>
        <w:pStyle w:val="Heading3"/>
      </w:pPr>
      <w:r>
        <w:t xml:space="preserve">12.8 Summary of Extension Components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Concept</w:t>
            </w:r>
          </w:p>
        </w:tc>
        <w:tc>
          <w:tcPr/>
          <w:p>
            <w:pPr>
              <w:pStyle w:val="Compact"/>
              <w:jc w:val="left"/>
            </w:pPr>
            <w:r>
              <w:t xml:space="preserve">Verification</w:t>
            </w:r>
          </w:p>
        </w:tc>
      </w:tr>
      <w:tr>
        <w:tc>
          <w:tcPr/>
          <w:p>
            <w:pPr>
              <w:pStyle w:val="Compact"/>
              <w:jc w:val="left"/>
            </w:pPr>
            <w:r>
              <w:t xml:space="preserve">Multi-choice packer</w:t>
            </w:r>
          </w:p>
        </w:tc>
        <w:tc>
          <w:tcPr/>
          <w:p>
            <w:pPr>
              <w:pStyle w:val="Compact"/>
              <w:jc w:val="left"/>
            </w:pPr>
            <w:r>
              <w:t xml:space="preserve">0/1 Multi-Choice Knapsack DP</w:t>
            </w:r>
          </w:p>
        </w:tc>
        <w:tc>
          <w:tcPr/>
          <w:p>
            <w:pPr>
              <w:pStyle w:val="Compact"/>
              <w:jc w:val="left"/>
            </w:pPr>
            <w:r>
              <w:t xml:space="preserve">Exact match vs. brute force on synthetic multi-tier instances</w:t>
            </w:r>
          </w:p>
        </w:tc>
      </w:tr>
      <w:tr>
        <w:tc>
          <w:tcPr/>
          <w:p>
            <w:pPr>
              <w:pStyle w:val="Compact"/>
              <w:jc w:val="left"/>
            </w:pPr>
            <w:r>
              <w:t xml:space="preserve">Lagrangian solver</w:t>
            </w:r>
          </w:p>
        </w:tc>
        <w:tc>
          <w:tcPr/>
          <w:p>
            <w:pPr>
              <w:pStyle w:val="Compact"/>
              <w:jc w:val="left"/>
            </w:pPr>
            <w:r>
              <w:t xml:space="preserve">Subgradient relaxation, dual/primal bound</w:t>
            </w:r>
          </w:p>
        </w:tc>
        <w:tc>
          <w:tcPr/>
          <w:p>
            <w:pPr>
              <w:pStyle w:val="Compact"/>
              <w:jc w:val="left"/>
            </w:pPr>
            <w:r>
              <w:t xml:space="preserve">Weak-duality sandwich confirmed vs. brute-force optimum</w:t>
            </w:r>
          </w:p>
        </w:tc>
      </w:tr>
      <w:tr>
        <w:tc>
          <w:tcPr/>
          <w:p>
            <w:pPr>
              <w:pStyle w:val="Compact"/>
              <w:jc w:val="left"/>
            </w:pPr>
            <w:r>
              <w:t xml:space="preserve">Spectral embedder</w:t>
            </w:r>
          </w:p>
        </w:tc>
        <w:tc>
          <w:tcPr/>
          <w:p>
            <w:pPr>
              <w:pStyle w:val="Compact"/>
              <w:jc w:val="left"/>
            </w:pPr>
            <w:r>
              <w:t xml:space="preserve">Laplace-Beltrami graph Laplacian</w:t>
            </w:r>
          </w:p>
        </w:tc>
        <w:tc>
          <w:tcPr/>
          <w:p>
            <w:pPr>
              <w:pStyle w:val="Compact"/>
              <w:jc w:val="left"/>
            </w:pPr>
            <w:r>
              <w:t xml:space="preserve">Block-diagonal affinity correctly separates into clusters</w:t>
            </w:r>
          </w:p>
        </w:tc>
      </w:tr>
      <w:tr>
        <w:tc>
          <w:tcPr/>
          <w:p>
            <w:pPr>
              <w:pStyle w:val="Compact"/>
              <w:jc w:val="left"/>
            </w:pPr>
            <w:r>
              <w:t xml:space="preserve">Hitting-time score</w:t>
            </w:r>
          </w:p>
        </w:tc>
        <w:tc>
          <w:tcPr/>
          <w:p>
            <w:pPr>
              <w:pStyle w:val="Compact"/>
              <w:jc w:val="left"/>
            </w:pPr>
            <w:r>
              <w:t xml:space="preserve">Absorbing Markov chain first-passage time</w:t>
            </w:r>
          </w:p>
        </w:tc>
        <w:tc>
          <w:tcPr/>
          <w:p>
            <w:pPr>
              <w:pStyle w:val="Compact"/>
              <w:jc w:val="left"/>
            </w:pPr>
            <w:r>
              <w:t xml:space="preserve">Monotonic increase with graph distance on a path graph</w:t>
            </w:r>
          </w:p>
        </w:tc>
      </w:tr>
      <w:tr>
        <w:tc>
          <w:tcPr/>
          <w:p>
            <w:pPr>
              <w:pStyle w:val="Compact"/>
              <w:jc w:val="left"/>
            </w:pPr>
            <w:r>
              <w:t xml:space="preserve">Image / flowchart encoders</w:t>
            </w:r>
          </w:p>
        </w:tc>
        <w:tc>
          <w:tcPr/>
          <w:p>
            <w:pPr>
              <w:pStyle w:val="Compact"/>
              <w:jc w:val="left"/>
            </w:pPr>
            <w:r>
              <w:t xml:space="preserve">Contrastive projection / GCN readout</w:t>
            </w:r>
          </w:p>
        </w:tc>
        <w:tc>
          <w:tcPr/>
          <w:p>
            <w:pPr>
              <w:pStyle w:val="Compact"/>
              <w:jc w:val="left"/>
            </w:pPr>
            <w:r>
              <w:t xml:space="preserve">Structurally verified only — semantically untrained, not production-ready</w:t>
            </w:r>
          </w:p>
        </w:tc>
      </w:tr>
      <w:tr>
        <w:tc>
          <w:tcPr/>
          <w:p>
            <w:pPr>
              <w:pStyle w:val="Compact"/>
              <w:jc w:val="left"/>
            </w:pPr>
            <w:r>
              <w:t xml:space="preserve">Tabular compiler</w:t>
            </w:r>
          </w:p>
        </w:tc>
        <w:tc>
          <w:tcPr/>
          <w:p>
            <w:pPr>
              <w:pStyle w:val="Compact"/>
              <w:jc w:val="left"/>
            </w:pPr>
            <w:r>
              <w:t xml:space="preserve">Relational coordinate invariance</w:t>
            </w:r>
          </w:p>
        </w:tc>
        <w:tc>
          <w:tcPr/>
          <w:p>
            <w:pPr>
              <w:pStyle w:val="Compact"/>
              <w:jc w:val="left"/>
            </w:pPr>
            <w:r>
              <w:t xml:space="preserve">Header binding preserved per cell; ragged rows handled</w:t>
            </w:r>
          </w:p>
        </w:tc>
      </w:tr>
      <w:tr>
        <w:tc>
          <w:tcPr/>
          <w:p>
            <w:pPr>
              <w:pStyle w:val="Compact"/>
              <w:jc w:val="left"/>
            </w:pPr>
            <w:r>
              <w:t xml:space="preserve">Fiedler-vector reading order</w:t>
            </w:r>
          </w:p>
        </w:tc>
        <w:tc>
          <w:tcPr/>
          <w:p>
            <w:pPr>
              <w:pStyle w:val="Compact"/>
              <w:jc w:val="left"/>
            </w:pPr>
            <w:r>
              <w:t xml:space="preserve">Spectral bisection repurposed for sequencing</w:t>
            </w:r>
          </w:p>
        </w:tc>
        <w:tc>
          <w:tcPr/>
          <w:p>
            <w:pPr>
              <w:pStyle w:val="Compact"/>
              <w:jc w:val="left"/>
            </w:pPr>
            <w:r>
              <w:t xml:space="preserve">Evaluated and rejected — see Section 12.6</w:t>
            </w:r>
          </w:p>
        </w:tc>
      </w:tr>
    </w:tbl>
    <w:bookmarkEnd w:id="111"/>
    <w:bookmarkEnd w:id="112"/>
    <w:bookmarkStart w:id="118" w:name="adaptive-routing-via-contextual-bandits"/>
    <w:p>
      <w:pPr>
        <w:pStyle w:val="Heading2"/>
      </w:pPr>
      <w:r>
        <w:t xml:space="preserve">13. Adaptive Routing via Contextual Bandits</w:t>
      </w:r>
    </w:p>
    <w:bookmarkStart w:id="113" w:name="Xab76c7940a9d2eaf25da0993b26ba9b3a2a1e52"/>
    <w:p>
      <w:pPr>
        <w:pStyle w:val="Heading3"/>
      </w:pPr>
      <w:r>
        <w:t xml:space="preserve">13.1 Motivation: Partial Feedback vs. Full Supervision</w:t>
      </w:r>
    </w:p>
    <w:p>
      <w:pPr>
        <w:pStyle w:val="FirstParagraph"/>
      </w:pPr>
      <w:r>
        <w:t xml:space="preserve">Section 9.7’s policy-gradient router assumes a differentiable, offline-computable cost signal J(w) is available for training. In an online production setting, this assumption often fails: the true downstream utility of a given fusion-weight choice — whether the resulting answer was actually accurate, whether the retrieved context was actually sufficient — may only be observable through weak, partial, and delayed feedback (a user’s follow-up question implying the first answer was insufficient; an explicit thumbs-down; a citation-verification failure from Section 19). This is precisely the setting the contextual multi-armed bandit framework is designed for.</w:t>
      </w:r>
    </w:p>
    <w:bookmarkEnd w:id="113"/>
    <w:bookmarkStart w:id="114" w:name="linucb-formulation"/>
    <w:p>
      <w:pPr>
        <w:pStyle w:val="Heading3"/>
      </w:pPr>
      <w:r>
        <w:t xml:space="preserve">13.2 LinUCB Formulation</w:t>
      </w:r>
    </w:p>
    <w:p>
      <w:pPr>
        <w:pStyle w:val="FirstParagraph"/>
      </w:pPr>
      <w:r>
        <w:t xml:space="preserve">Framing each candidate fusion-weight configuration (or, more granularly, each candidate retrieval method) as an</w:t>
      </w:r>
      <w:r>
        <w:t xml:space="preserve"> </w:t>
      </w:r>
      <w:r>
        <w:t xml:space="preserve">“</w:t>
      </w:r>
      <w:r>
        <w:t xml:space="preserve">arm,</w:t>
      </w:r>
      <w:r>
        <w:t xml:space="preserve">”</w:t>
      </w:r>
      <w:r>
        <w:t xml:space="preserve"> </w:t>
      </w:r>
      <w:r>
        <w:t xml:space="preserve">the LinUCB algorithm (Li, Chu, Langford, &amp; Schapire, 2010) maintains a linear estimate of each arm’s expected reward as a function of a context feature vector, and selects the arm maximizing an upper-confidence bound on that estimate — balancing exploitation (favoring arms with high estimated reward) against exploration (favoring arms whose estimate remains uncertain, and thus informative to test).</w:t>
      </w:r>
    </w:p>
    <w:p>
      <w:pPr>
        <w:pStyle w:val="BodyText"/>
      </w:pPr>
      <w:r>
        <w:t xml:space="preserve">Concretely, for arm a with observed context-reward history, LinUCB maintains a ridge-regression estimate θ̂_a of the reward-generating linear model, and selects the arm maximizing x_t^T θ̂_a + α√(x_t^T A_a^{-1} x_t), where x_t is the current query’s context feature vector, A_a is the arm’s running design-matrix, and α controls the exploration-exploitation trade-off explicitly (larger α biases toward exploring less-tested arms).</w:t>
      </w:r>
    </w:p>
    <w:bookmarkEnd w:id="114"/>
    <w:bookmarkStart w:id="115" w:name="reward-signal"/>
    <w:p>
      <w:pPr>
        <w:pStyle w:val="Heading3"/>
      </w:pPr>
      <w:r>
        <w:t xml:space="preserve">13.3 Reward Signal</w:t>
      </w:r>
    </w:p>
    <w:p>
      <w:pPr>
        <w:pStyle w:val="FirstParagraph"/>
      </w:pPr>
      <w:r>
        <w:t xml:space="preserve">The reward driving each arm’s online update is composite: a realized downstream answer-accuracy signal (from Section 19’s verification stage, where available) minus a token-cost penalty proportional to the realized TC(w) term from Section 9.4’s master objective — directly connecting the bandit’s reward to the same cost-quality trade-off the master optimization problem formalizes, rather than treating online routing and offline cost minimization as two disconnected objectives.</w:t>
      </w:r>
    </w:p>
    <w:bookmarkEnd w:id="115"/>
    <w:bookmarkStart w:id="116" w:name="X70abc89b425486e2dfc2a30d580c63c2772ec07"/>
    <w:p>
      <w:pPr>
        <w:pStyle w:val="Heading3"/>
      </w:pPr>
      <w:r>
        <w:t xml:space="preserve">13.4 Relationship to the Policy-Gradient Router</w:t>
      </w:r>
    </w:p>
    <w:p>
      <w:pPr>
        <w:pStyle w:val="FirstParagraph"/>
      </w:pPr>
      <w:r>
        <w:t xml:space="preserve">The LinUCB router and the Section 9.7 policy-gradient router are not competing designs so much as appropriate to different feedback regimes: the policy-gradient router is preferable when a differentiable, densely-labeled offline training signal is available (e.g., a held-out evaluation set with ground-truth relevance judgments, as proposed for Section 21’s evaluation protocol); the bandit router is preferable in exactly the online, partial-feedback regime described in Section 13.1, where waiting to accumulate an offline-trainable dataset would forgo the ability to adapt within the current deployment. A production configuration may reasonably use the policy-gradient router’s output as the bandit’s initial θ̂_a estimate, warm-starting online adaptation from an offline-trained prior rather than from an uninformative one.</w:t>
      </w:r>
    </w:p>
    <w:bookmarkEnd w:id="116"/>
    <w:bookmarkStart w:id="117" w:name="verification"/>
    <w:p>
      <w:pPr>
        <w:pStyle w:val="Heading3"/>
      </w:pPr>
      <w:r>
        <w:t xml:space="preserve">13.5 Verification</w:t>
      </w:r>
    </w:p>
    <w:p>
      <w:pPr>
        <w:pStyle w:val="FirstParagraph"/>
      </w:pPr>
      <w:r>
        <w:t xml:space="preserve">The bandit’s convergence property was verified under a controlled simulated-feedback setup: with a fixed context vector and a synthetic reward function favoring one arm over the others by a known margin, the router was confirmed to converge toward selecting the higher-reward arm with increasing frequency under repeated simulated feedback — the standard sanity check for a contextual bandit implementation, confirming the exploration-exploitation mechanism does eventually exploit the better arm rather than continuing to explore indefinitely or converging to a suboptimal one. This is a convergence-behavior test, not a claim that the specific reward weighting (accuracy minus token-cost penalty) is itself correctly calibrated against real user-satisfaction data — that calibration remains part of the open empirical evaluation of Section 21.</w:t>
      </w:r>
    </w:p>
    <w:bookmarkEnd w:id="117"/>
    <w:bookmarkEnd w:id="118"/>
    <w:bookmarkStart w:id="127" w:name="memory-architecture"/>
    <w:p>
      <w:pPr>
        <w:pStyle w:val="Heading2"/>
      </w:pPr>
      <w:r>
        <w:t xml:space="preserve">14. Memory Architecture</w:t>
      </w:r>
    </w:p>
    <w:bookmarkStart w:id="119" w:name="two-orthogonal-notions-of-memory"/>
    <w:p>
      <w:pPr>
        <w:pStyle w:val="Heading3"/>
      </w:pPr>
      <w:r>
        <w:t xml:space="preserve">14.1 Two Orthogonal Notions of</w:t>
      </w:r>
      <w:r>
        <w:t xml:space="preserve"> </w:t>
      </w:r>
      <w:r>
        <w:t xml:space="preserve">“</w:t>
      </w:r>
      <w:r>
        <w:t xml:space="preserve">Memory</w:t>
      </w:r>
      <w:r>
        <w:t xml:space="preserve">”</w:t>
      </w:r>
    </w:p>
    <w:p>
      <w:pPr>
        <w:pStyle w:val="FirstParagraph"/>
      </w:pPr>
      <w:r>
        <w:t xml:space="preserve">The term</w:t>
      </w:r>
      <w:r>
        <w:t xml:space="preserve"> </w:t>
      </w:r>
      <w:r>
        <w:t xml:space="preserve">“</w:t>
      </w:r>
      <w:r>
        <w:t xml:space="preserve">memory</w:t>
      </w:r>
      <w:r>
        <w:t xml:space="preserve">”</w:t>
      </w:r>
      <w:r>
        <w:t xml:space="preserve"> </w:t>
      </w:r>
      <w:r>
        <w:t xml:space="preserve">is used in this architecture for two genuinely distinct subsystems that happen to share a name: a</w:t>
      </w:r>
      <w:r>
        <w:t xml:space="preserve"> </w:t>
      </w:r>
      <w:r>
        <w:rPr>
          <w:bCs/>
          <w:b/>
        </w:rPr>
        <w:t xml:space="preserve">content-abstraction hierarchy</w:t>
      </w:r>
      <w:r>
        <w:t xml:space="preserve"> </w:t>
      </w:r>
      <w:r>
        <w:t xml:space="preserve">(how much a document has been summarized) and an</w:t>
      </w:r>
      <w:r>
        <w:t xml:space="preserve"> </w:t>
      </w:r>
      <w:r>
        <w:rPr>
          <w:bCs/>
          <w:b/>
        </w:rPr>
        <w:t xml:space="preserve">operational cache hierarchy</w:t>
      </w:r>
      <w:r>
        <w:t xml:space="preserve"> </w:t>
      </w:r>
      <w:r>
        <w:t xml:space="preserve">(how recently and how broadly a piece of computed state can be reused across requests). Conflating the two is a common source of confusion in RAG system descriptions generally, so we treat them as separate axes throughout this section, illustrated jointly in Figure 4.</w:t>
      </w:r>
    </w:p>
    <w:p>
      <w:pPr>
        <w:pStyle w:val="BodyText"/>
      </w:pPr>
      <w:r>
        <w:rPr>
          <w:iCs/>
          <w:i/>
        </w:rPr>
        <w:t xml:space="preserve">[Figure 4 — two-axis memory architecture]</w:t>
      </w:r>
    </w:p>
    <w:bookmarkEnd w:id="119"/>
    <w:bookmarkStart w:id="120" w:name="X628032a14f5795bb21692d6d48ad3d615283b91"/>
    <w:p>
      <w:pPr>
        <w:pStyle w:val="Heading3"/>
      </w:pPr>
      <w:r>
        <w:t xml:space="preserve">14.2 Content Axis: The L0–L5 Summarization Hierarchy</w:t>
      </w:r>
    </w:p>
    <w:p>
      <w:pPr>
        <w:pStyle w:val="FirstParagraph"/>
      </w:pPr>
      <w:r>
        <w:t xml:space="preserve">Documents are represented simultaneously at six levels of abstraction, each derived from the level below it:</w:t>
      </w:r>
    </w:p>
    <w:p>
      <w:pPr>
        <w:numPr>
          <w:ilvl w:val="0"/>
          <w:numId w:val="1008"/>
        </w:numPr>
        <w:pStyle w:val="Compact"/>
      </w:pPr>
      <w:r>
        <w:rPr>
          <w:bCs/>
          <w:b/>
        </w:rPr>
        <w:t xml:space="preserve">L0 — Raw extracted elements.</w:t>
      </w:r>
      <w:r>
        <w:t xml:space="preserve"> </w:t>
      </w:r>
      <w:r>
        <w:t xml:space="preserve">Full-fidelity output of the ingestion stage (Section 4.2): every element tuple from Section 5.2, with no information loss relative to what parsing recovered.</w:t>
      </w:r>
    </w:p>
    <w:p>
      <w:pPr>
        <w:numPr>
          <w:ilvl w:val="0"/>
          <w:numId w:val="1008"/>
        </w:numPr>
        <w:pStyle w:val="Compact"/>
      </w:pPr>
      <w:r>
        <w:rPr>
          <w:bCs/>
          <w:b/>
        </w:rPr>
        <w:t xml:space="preserve">L1 — Cleaned / normalized text units.</w:t>
      </w:r>
      <w:r>
        <w:t xml:space="preserve"> </w:t>
      </w:r>
      <w:r>
        <w:t xml:space="preserve">OCR-error correction, whitespace normalization, and coordinate normalization (Section 5.3) applied, but still at full granularity.</w:t>
      </w:r>
    </w:p>
    <w:p>
      <w:pPr>
        <w:numPr>
          <w:ilvl w:val="0"/>
          <w:numId w:val="1008"/>
        </w:numPr>
        <w:pStyle w:val="Compact"/>
      </w:pPr>
      <w:r>
        <w:rPr>
          <w:bCs/>
          <w:b/>
        </w:rPr>
        <w:t xml:space="preserve">L2 — Structural chunks.</w:t>
      </w:r>
      <w:r>
        <w:t xml:space="preserve"> </w:t>
      </w:r>
      <w:r>
        <w:t xml:space="preserve">The output of Section 7’s elastic chunker — L0/L1 elements grouped into structurally coherent units.</w:t>
      </w:r>
    </w:p>
    <w:p>
      <w:pPr>
        <w:numPr>
          <w:ilvl w:val="0"/>
          <w:numId w:val="1008"/>
        </w:numPr>
        <w:pStyle w:val="Compact"/>
      </w:pPr>
      <w:r>
        <w:rPr>
          <w:bCs/>
          <w:b/>
        </w:rPr>
        <w:t xml:space="preserve">L3 — Paragraph / section summaries.</w:t>
      </w:r>
      <w:r>
        <w:t xml:space="preserve"> </w:t>
      </w:r>
      <w:r>
        <w:t xml:space="preserve">Abstractive or extractive summaries generated per structural section, trading token cost for reduced fidelity.</w:t>
      </w:r>
    </w:p>
    <w:p>
      <w:pPr>
        <w:numPr>
          <w:ilvl w:val="0"/>
          <w:numId w:val="1008"/>
        </w:numPr>
        <w:pStyle w:val="Compact"/>
      </w:pPr>
      <w:r>
        <w:rPr>
          <w:bCs/>
          <w:b/>
        </w:rPr>
        <w:t xml:space="preserve">L4 — Document-level abstracts.</w:t>
      </w:r>
      <w:r>
        <w:t xml:space="preserve"> </w:t>
      </w:r>
      <w:r>
        <w:t xml:space="preserve">A single summary representing the entire document, used when a query’s scope is coarse enough that section-level detail is unnecessary overhead.</w:t>
      </w:r>
    </w:p>
    <w:p>
      <w:pPr>
        <w:numPr>
          <w:ilvl w:val="0"/>
          <w:numId w:val="1008"/>
        </w:numPr>
        <w:pStyle w:val="Compact"/>
      </w:pPr>
      <w:r>
        <w:rPr>
          <w:bCs/>
          <w:b/>
        </w:rPr>
        <w:t xml:space="preserve">L5 — Corpus / cross-document summaries.</w:t>
      </w:r>
      <w:r>
        <w:t xml:space="preserve"> </w:t>
      </w:r>
      <w:r>
        <w:t xml:space="preserve">Summaries spanning multiple documents, used for corpus-level queries (</w:t>
      </w:r>
      <w:r>
        <w:t xml:space="preserve">“</w:t>
      </w:r>
      <w:r>
        <w:t xml:space="preserve">summarize what changed across all Q3 filings</w:t>
      </w:r>
      <w:r>
        <w:t xml:space="preserve">”</w:t>
      </w:r>
      <w:r>
        <w:t xml:space="preserve">) where even document-level granularity would exceed a reasonable token budget.</w:t>
      </w:r>
    </w:p>
    <w:p>
      <w:pPr>
        <w:pStyle w:val="FirstParagraph"/>
      </w:pPr>
      <w:r>
        <w:t xml:space="preserve">Retrieval and context packing (Sections 8–9) can draw candidate chunks from any level of this hierarchy depending on query scope — a narrow, fact-specific query is typically served from L0–L2, while a broad summarization query is typically served from L3–L5 — with the level-selection decision itself informed by the query-complexity decomposition QC = a + b + c + d (semantic, table, geometry, and graph complexity dimensions) referenced in Section 5’s fusion diagnostics.</w:t>
      </w:r>
    </w:p>
    <w:bookmarkEnd w:id="120"/>
    <w:bookmarkStart w:id="121" w:name="X047002efbbddb577f893bc174e28951ba8ab619"/>
    <w:p>
      <w:pPr>
        <w:pStyle w:val="Heading3"/>
      </w:pPr>
      <w:r>
        <w:t xml:space="preserve">14.3 Operational Axis: Four-Tier Request-Scoped Cache</w:t>
      </w:r>
    </w:p>
    <w:p>
      <w:pPr>
        <w:pStyle w:val="FirstParagraph"/>
      </w:pPr>
      <w:r>
        <w:t xml:space="preserve">Orthogonally, a four-tier operational cache reduces redundant computation across requests:</w:t>
      </w:r>
    </w:p>
    <w:p>
      <w:pPr>
        <w:numPr>
          <w:ilvl w:val="0"/>
          <w:numId w:val="1009"/>
        </w:numPr>
        <w:pStyle w:val="Compact"/>
      </w:pPr>
      <w:r>
        <w:rPr>
          <w:bCs/>
          <w:b/>
        </w:rPr>
        <w:t xml:space="preserve">Tier 1 — KV Cache (Redis).</w:t>
      </w:r>
      <w:r>
        <w:t xml:space="preserve"> </w:t>
      </w:r>
      <w:r>
        <w:t xml:space="preserve">Caches the language model’s key-value attention states for the system-prompt prefix, letting identical system prompts skip recomputation. Scope: single request. TTL: 1 hour. Observed hit rate in the reference deployment configuration: approximately 80%.</w:t>
      </w:r>
    </w:p>
    <w:p>
      <w:pPr>
        <w:numPr>
          <w:ilvl w:val="0"/>
          <w:numId w:val="1009"/>
        </w:numPr>
        <w:pStyle w:val="Compact"/>
      </w:pPr>
      <w:r>
        <w:rPr>
          <w:bCs/>
          <w:b/>
        </w:rPr>
        <w:t xml:space="preserve">Tier 2 — Semantic Cache (Redis + FAISS).</w:t>
      </w:r>
      <w:r>
        <w:t xml:space="preserve"> </w:t>
      </w:r>
      <w:r>
        <w:t xml:space="preserve">Caches full (query, response) pairs keyed by query embedding; a new query is served from cache when its cosine similarity to a previously cached query exceeds a high threshold (0.95 in the reference configuration — see Section 15.2). Scope: global (across all sessions/tenants subject to isolation constraints, Section 17.3). TTL: 1 hour. Observed hit rate: approximately 40%.</w:t>
      </w:r>
    </w:p>
    <w:p>
      <w:pPr>
        <w:numPr>
          <w:ilvl w:val="0"/>
          <w:numId w:val="1009"/>
        </w:numPr>
        <w:pStyle w:val="Compact"/>
      </w:pPr>
      <w:r>
        <w:rPr>
          <w:bCs/>
          <w:b/>
        </w:rPr>
        <w:t xml:space="preserve">Tier 3 — Episodic Memory (Postgres + Redis).</w:t>
      </w:r>
      <w:r>
        <w:t xml:space="preserve"> </w:t>
      </w:r>
      <w:r>
        <w:t xml:space="preserve">Caches conversation history within a session, compressed via a summarizer once history exceeds a configured token threshold. Scope: session. TTL: 7 days. Recall within an active session: 100% (nothing within the TTL window is dropped, only compressed).</w:t>
      </w:r>
    </w:p>
    <w:p>
      <w:pPr>
        <w:numPr>
          <w:ilvl w:val="0"/>
          <w:numId w:val="1009"/>
        </w:numPr>
        <w:pStyle w:val="Compact"/>
      </w:pPr>
      <w:r>
        <w:rPr>
          <w:bCs/>
          <w:b/>
        </w:rPr>
        <w:t xml:space="preserve">Tier 4 — Document-Level Context Cache (Redis + S3).</w:t>
      </w:r>
      <w:r>
        <w:t xml:space="preserve"> </w:t>
      </w:r>
      <w:r>
        <w:t xml:space="preserve">Caches previously-assembled context payloads for a given document, avoiding re-running retrieval and packing for repeated queries against the same document. Scope: document. TTL: configurable per deployment. Observed hit rate: approximately 90%.</w:t>
      </w:r>
    </w:p>
    <w:bookmarkEnd w:id="121"/>
    <w:bookmarkStart w:id="122" w:name="Xf6db7ede122b666d8e8fb01b46749c6e7b0af6a"/>
    <w:p>
      <w:pPr>
        <w:pStyle w:val="Heading3"/>
      </w:pPr>
      <w:r>
        <w:t xml:space="preserve">14.4 Why the Axes Are Orthogonal, Not Redundant</w:t>
      </w:r>
    </w:p>
    <w:p>
      <w:pPr>
        <w:pStyle w:val="FirstParagraph"/>
      </w:pPr>
      <w:r>
        <w:t xml:space="preserve">A single request can hit multiple tiers of the operational cache while operating at multiple levels of the content hierarchy: for example, a follow-up question in an ongoing session might hit the Tier 1 KV cache for the unchanged system prompt, read episodic history from Tier 3, and still require a fresh retrieval pass against L0–L2 content because the follow-up references a specific figure the earlier summary-level (L3+) context did not preserve at sufficient fidelity. The two axes are designed to be queried and invalidated independently: an L0 correction to a single element (e.g., a re-OCR of a low-confidence page, per Section 18.5) invalidates the L1–L5 summaries derived from it and the document-level Tier 4 cache, but does not necessarily invalidate the session-scoped Tier 3 episodic memory of an unrelated conversation about a different document.</w:t>
      </w:r>
    </w:p>
    <w:bookmarkEnd w:id="122"/>
    <w:bookmarkStart w:id="126" w:name="memory-lifecycle"/>
    <w:p>
      <w:pPr>
        <w:pStyle w:val="Heading3"/>
      </w:pPr>
      <w:r>
        <w:t xml:space="preserve">14.5 Memory Lifecycle</w:t>
      </w:r>
    </w:p>
    <w:p>
      <w:pPr>
        <w:pStyle w:val="FirstParagraph"/>
      </w:pPr>
      <w:r>
        <w:t xml:space="preserve">Session memory follows an explicit lifecycle: on session creation, an episodic buffer is initialized (empty, capped at a maximum turn count) and associated with the relevant document IDs and tenant ID; per turn, episodic history is loaded, compressed if it exceeds a token threshold (a T5-class summarizer in the reference configuration), combined with the current question to build the turn’s context, and the completed turn is appended back to the episodic buffer after the response is generated; on session end or TTL expiry, a compressed summary is persisted to the relational store and the corresponding Redis keys are allowed to expire under a sliding TTL window. This lifecycle is detailed further as Workflow 3 in Section 18.3.</w:t>
      </w:r>
    </w:p>
    <w:p>
      <w:pPr>
        <w:pStyle w:val="CaptionedFigure"/>
      </w:pPr>
      <w:r>
        <w:drawing>
          <wp:inline>
            <wp:extent cx="5943600" cy="2593570"/>
            <wp:effectExtent b="0" l="0" r="0" t="0"/>
            <wp:docPr descr="Figure 4. Two-axis memory architecture." title="" id="124" name="Picture"/>
            <a:graphic>
              <a:graphicData uri="http://schemas.openxmlformats.org/drawingml/2006/picture">
                <pic:pic>
                  <pic:nvPicPr>
                    <pic:cNvPr descr="figures/fig4_memory.png" id="125" name="Picture"/>
                    <pic:cNvPicPr>
                      <a:picLocks noChangeArrowheads="1" noChangeAspect="1"/>
                    </pic:cNvPicPr>
                  </pic:nvPicPr>
                  <pic:blipFill>
                    <a:blip r:embed="rId123"/>
                    <a:stretch>
                      <a:fillRect/>
                    </a:stretch>
                  </pic:blipFill>
                  <pic:spPr bwMode="auto">
                    <a:xfrm>
                      <a:off x="0" y="0"/>
                      <a:ext cx="5943600" cy="2593570"/>
                    </a:xfrm>
                    <a:prstGeom prst="rect">
                      <a:avLst/>
                    </a:prstGeom>
                    <a:noFill/>
                    <a:ln w="9525">
                      <a:noFill/>
                      <a:headEnd/>
                      <a:tailEnd/>
                    </a:ln>
                  </pic:spPr>
                </pic:pic>
              </a:graphicData>
            </a:graphic>
          </wp:inline>
        </w:drawing>
      </w:r>
    </w:p>
    <w:p>
      <w:pPr>
        <w:pStyle w:val="ImageCaption"/>
      </w:pPr>
      <w:r>
        <w:t xml:space="preserve">Figure 4. Two-axis memory architecture.</w:t>
      </w:r>
    </w:p>
    <w:bookmarkEnd w:id="126"/>
    <w:bookmarkEnd w:id="127"/>
    <w:bookmarkStart w:id="137" w:name="hybrid-retrieval-system"/>
    <w:p>
      <w:pPr>
        <w:pStyle w:val="Heading2"/>
      </w:pPr>
      <w:r>
        <w:t xml:space="preserve">15. Hybrid Retrieval System</w:t>
      </w:r>
    </w:p>
    <w:bookmarkStart w:id="128" w:name="seven-method-fusion"/>
    <w:p>
      <w:pPr>
        <w:pStyle w:val="Heading3"/>
      </w:pPr>
      <w:r>
        <w:t xml:space="preserve">15.1 Seven-Method Fusion</w:t>
      </w:r>
    </w:p>
    <w:p>
      <w:pPr>
        <w:pStyle w:val="FirstParagraph"/>
      </w:pPr>
      <w:r>
        <w:t xml:space="preserve">Retrieval combines seven independently-scored signals — semantic (dense embedding similarity), frequency (BM25 lexical matching), graph (PageRank-weighted structural centrality), geometry (spatial-proximity relevance), matrix (tabular-content matching), template (layout-fingerprint matching), and recurrence (structural-duplicate awareness) — corresponding directly to the twelve engines of Section 5.4 (several engines contribute jointly to a single retrieval method, and the topology and tensor engines are not currently wired into a dedicated retrieval method, consistent with their status as less-hardened components per Section 5.4’s per-engine notes).</w:t>
      </w:r>
    </w:p>
    <w:p>
      <w:pPr>
        <w:pStyle w:val="BodyText"/>
      </w:pPr>
      <w:r>
        <w:rPr>
          <w:iCs/>
          <w:i/>
        </w:rPr>
        <w:t xml:space="preserve">[Figure 5 — hybrid retrieval fusion pipeline]</w:t>
      </w:r>
    </w:p>
    <w:bookmarkEnd w:id="128"/>
    <w:bookmarkStart w:id="129" w:name="query-processing-pipeline"/>
    <w:p>
      <w:pPr>
        <w:pStyle w:val="Heading3"/>
      </w:pPr>
      <w:r>
        <w:t xml:space="preserve">15.2 Query Processing Pipeline</w:t>
      </w:r>
    </w:p>
    <w:p>
      <w:pPr>
        <w:pStyle w:val="FirstParagraph"/>
      </w:pPr>
      <w:r>
        <w:t xml:space="preserve">A query is processed through the following stages before candidate scoring begins: (1) authentication and access-control resolution, mapping the caller’s tenant ID to the set of document IDs it is authorized to query (Section 17.3); (2) a semantic-cache lookup (Section 14.3, Tier 2) against previously-answered queries at cosine similarity ≥ 0.95, returning immediately on a hit; and (3) query transformation — generating a hypothetical answer document to embed instead of (or alongside) the raw query (HyDE-style), abstracting the query to a concept level (step-back prompting), and generating several paraphrased variants whose retrieval results are unioned, collectively intended to improve recall against queries whose surface wording differs from the source document’s.</w:t>
      </w:r>
    </w:p>
    <w:bookmarkEnd w:id="129"/>
    <w:bookmarkStart w:id="130" w:name="reciprocal-rank-fusion"/>
    <w:p>
      <w:pPr>
        <w:pStyle w:val="Heading3"/>
      </w:pPr>
      <w:r>
        <w:t xml:space="preserve">15.3 Reciprocal Rank Fusion</w:t>
      </w:r>
    </w:p>
    <w:p>
      <w:pPr>
        <w:pStyle w:val="FirstParagraph"/>
      </w:pPr>
      <w:r>
        <w:t xml:space="preserve">The seven per-method scores (realized in production primarily as three parallel searches — BM25/lexical, dense/semantic, and, where the query references visual content, a visual/page-level search — each independently returning a ranked candidate list) are combined via Reciprocal Rank Fusion:</w:t>
      </w:r>
    </w:p>
    <w:p>
      <w:pPr>
        <w:pStyle w:val="BodyText"/>
      </w:pPr>
      <w:r>
        <w:t xml:space="preserve">RRF(d) = Σ_method 1/(k + rank_method(d))</w:t>
      </w:r>
    </w:p>
    <w:p>
      <w:pPr>
        <w:pStyle w:val="BodyText"/>
      </w:pPr>
      <w:r>
        <w:t xml:space="preserve">with the standard parameter k = 60. RRF’s key property for this use case is that it operates purely on rank position, not on the individual methods’ raw scores — which are not directly comparable across methods with different scales and distributions (a BM25 score and a cosine similarity do not live on the same numeric scale) — sidestepping the need to calibrate cross-method score normalization before fusion.</w:t>
      </w:r>
    </w:p>
    <w:bookmarkEnd w:id="130"/>
    <w:bookmarkStart w:id="131" w:name="X925d4997749755b3170c7b7fee4be29b4f0d527"/>
    <w:p>
      <w:pPr>
        <w:pStyle w:val="Heading3"/>
      </w:pPr>
      <w:r>
        <w:t xml:space="preserve">15.4 Cross-Encoder Reranking and Diversity Filtering</w:t>
      </w:r>
    </w:p>
    <w:p>
      <w:pPr>
        <w:pStyle w:val="FirstParagraph"/>
      </w:pPr>
      <w:r>
        <w:t xml:space="preserve">The fused candidate list is narrowed via a cross-encoder reranker (a BGE-reranker-class or FlashRank-class model, scoring (question, chunk_text) pairs jointly rather than via independently-computed embeddings) to a final candidate count sized to the available context budget. A Maximal Marginal Relevance (MMR) diversity filter, with relevance-diversity balance parameter λ = 0.7, is then applied to prevent redundant near-duplicate chunk selection and to encourage page/section coverage diversity across the final candidate set — addressing, at the retrieval-candidate stage, part of the same redundancy problem that Section 9’s value-maximizing knapsack formulation addresses again, more formally, at the final packing stage: MMR reduces the</w:t>
      </w:r>
      <w:r>
        <w:t xml:space="preserve"> </w:t>
      </w:r>
      <w:r>
        <w:rPr>
          <w:iCs/>
          <w:i/>
        </w:rPr>
        <w:t xml:space="preserve">pool</w:t>
      </w:r>
      <w:r>
        <w:t xml:space="preserve"> </w:t>
      </w:r>
      <w:r>
        <w:t xml:space="preserve">of candidates the packer sees, while the packer’s value function (Section 8.2) still independently penalizes near-duplicate value among whatever candidates MMR passes through.</w:t>
      </w:r>
    </w:p>
    <w:bookmarkEnd w:id="131"/>
    <w:bookmarkStart w:id="132" w:name="retrieval-service-level-objectives"/>
    <w:p>
      <w:pPr>
        <w:pStyle w:val="Heading3"/>
      </w:pPr>
      <w:r>
        <w:t xml:space="preserve">15.5 Retrieval Service-Level Objectives</w:t>
      </w:r>
    </w:p>
    <w:p>
      <w:pPr>
        <w:pStyle w:val="FirstParagraph"/>
      </w:pPr>
      <w:r>
        <w:t xml:space="preserve">Table 4 reports the target latency service-level objectives for each retrieval stage, distinguishing cache-hit from cache-miss paths.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P50</w:t>
            </w:r>
          </w:p>
        </w:tc>
        <w:tc>
          <w:tcPr/>
          <w:p>
            <w:pPr>
              <w:pStyle w:val="Compact"/>
              <w:jc w:val="left"/>
            </w:pPr>
            <w:r>
              <w:t xml:space="preserve">P99</w:t>
            </w:r>
          </w:p>
        </w:tc>
      </w:tr>
      <w:tr>
        <w:tc>
          <w:tcPr/>
          <w:p>
            <w:pPr>
              <w:pStyle w:val="Compact"/>
              <w:jc w:val="left"/>
            </w:pPr>
            <w:r>
              <w:t xml:space="preserve">Semantic cache lookup</w:t>
            </w:r>
          </w:p>
        </w:tc>
        <w:tc>
          <w:tcPr/>
          <w:p>
            <w:pPr>
              <w:pStyle w:val="Compact"/>
              <w:jc w:val="left"/>
            </w:pPr>
            <w:r>
              <w:t xml:space="preserve">5 ms</w:t>
            </w:r>
          </w:p>
        </w:tc>
        <w:tc>
          <w:tcPr/>
          <w:p>
            <w:pPr>
              <w:pStyle w:val="Compact"/>
              <w:jc w:val="left"/>
            </w:pPr>
            <w:r>
              <w:t xml:space="preserve">20 ms</w:t>
            </w:r>
          </w:p>
        </w:tc>
      </w:tr>
      <w:tr>
        <w:tc>
          <w:tcPr/>
          <w:p>
            <w:pPr>
              <w:pStyle w:val="Compact"/>
              <w:jc w:val="left"/>
            </w:pPr>
            <w:r>
              <w:t xml:space="preserve">BM25 retrieval</w:t>
            </w:r>
          </w:p>
        </w:tc>
        <w:tc>
          <w:tcPr/>
          <w:p>
            <w:pPr>
              <w:pStyle w:val="Compact"/>
              <w:jc w:val="left"/>
            </w:pPr>
            <w:r>
              <w:t xml:space="preserve">20 ms</w:t>
            </w:r>
          </w:p>
        </w:tc>
        <w:tc>
          <w:tcPr/>
          <w:p>
            <w:pPr>
              <w:pStyle w:val="Compact"/>
              <w:jc w:val="left"/>
            </w:pPr>
            <w:r>
              <w:t xml:space="preserve">100 ms</w:t>
            </w:r>
          </w:p>
        </w:tc>
      </w:tr>
      <w:tr>
        <w:tc>
          <w:tcPr/>
          <w:p>
            <w:pPr>
              <w:pStyle w:val="Compact"/>
              <w:jc w:val="left"/>
            </w:pPr>
            <w:r>
              <w:t xml:space="preserve">Dense retrieval</w:t>
            </w:r>
          </w:p>
        </w:tc>
        <w:tc>
          <w:tcPr/>
          <w:p>
            <w:pPr>
              <w:pStyle w:val="Compact"/>
              <w:jc w:val="left"/>
            </w:pPr>
            <w:r>
              <w:t xml:space="preserve">30 ms</w:t>
            </w:r>
          </w:p>
        </w:tc>
        <w:tc>
          <w:tcPr/>
          <w:p>
            <w:pPr>
              <w:pStyle w:val="Compact"/>
              <w:jc w:val="left"/>
            </w:pPr>
            <w:r>
              <w:t xml:space="preserve">150 ms</w:t>
            </w:r>
          </w:p>
        </w:tc>
      </w:tr>
      <w:tr>
        <w:tc>
          <w:tcPr/>
          <w:p>
            <w:pPr>
              <w:pStyle w:val="Compact"/>
              <w:jc w:val="left"/>
            </w:pPr>
            <w:r>
              <w:t xml:space="preserve">Cross-encoder reranking</w:t>
            </w:r>
          </w:p>
        </w:tc>
        <w:tc>
          <w:tcPr/>
          <w:p>
            <w:pPr>
              <w:pStyle w:val="Compact"/>
              <w:jc w:val="left"/>
            </w:pPr>
            <w:r>
              <w:t xml:space="preserve">50 ms</w:t>
            </w:r>
          </w:p>
        </w:tc>
        <w:tc>
          <w:tcPr/>
          <w:p>
            <w:pPr>
              <w:pStyle w:val="Compact"/>
              <w:jc w:val="left"/>
            </w:pPr>
            <w:r>
              <w:t xml:space="preserve">300 ms</w:t>
            </w:r>
          </w:p>
        </w:tc>
      </w:tr>
      <w:tr>
        <w:tc>
          <w:tcPr/>
          <w:p>
            <w:pPr>
              <w:pStyle w:val="Compact"/>
              <w:jc w:val="left"/>
            </w:pPr>
            <w:r>
              <w:t xml:space="preserve">LLM time-to-first-token</w:t>
            </w:r>
          </w:p>
        </w:tc>
        <w:tc>
          <w:tcPr/>
          <w:p>
            <w:pPr>
              <w:pStyle w:val="Compact"/>
              <w:jc w:val="left"/>
            </w:pPr>
            <w:r>
              <w:t xml:space="preserve">200 ms</w:t>
            </w:r>
          </w:p>
        </w:tc>
        <w:tc>
          <w:tcPr/>
          <w:p>
            <w:pPr>
              <w:pStyle w:val="Compact"/>
              <w:jc w:val="left"/>
            </w:pPr>
            <w:r>
              <w:t xml:space="preserve">800 ms</w:t>
            </w:r>
          </w:p>
        </w:tc>
      </w:tr>
      <w:tr>
        <w:tc>
          <w:tcPr/>
          <w:p>
            <w:pPr>
              <w:pStyle w:val="Compact"/>
              <w:jc w:val="left"/>
            </w:pPr>
            <w:r>
              <w:t xml:space="preserve">LLM full response</w:t>
            </w:r>
          </w:p>
        </w:tc>
        <w:tc>
          <w:tcPr/>
          <w:p>
            <w:pPr>
              <w:pStyle w:val="Compact"/>
              <w:jc w:val="left"/>
            </w:pPr>
            <w:r>
              <w:t xml:space="preserve">500 ms</w:t>
            </w:r>
          </w:p>
        </w:tc>
        <w:tc>
          <w:tcPr/>
          <w:p>
            <w:pPr>
              <w:pStyle w:val="Compact"/>
              <w:jc w:val="left"/>
            </w:pPr>
            <w:r>
              <w:t xml:space="preserve">1,500 ms</w:t>
            </w:r>
          </w:p>
        </w:tc>
      </w:tr>
      <w:tr>
        <w:tc>
          <w:tcPr/>
          <w:p>
            <w:pPr>
              <w:pStyle w:val="Compact"/>
              <w:jc w:val="left"/>
            </w:pPr>
            <w:r>
              <w:rPr>
                <w:bCs/>
                <w:b/>
              </w:rPr>
              <w:t xml:space="preserve">Total, cache hit</w:t>
            </w:r>
          </w:p>
        </w:tc>
        <w:tc>
          <w:tcPr/>
          <w:p>
            <w:pPr>
              <w:pStyle w:val="Compact"/>
              <w:jc w:val="left"/>
            </w:pPr>
            <w:r>
              <w:rPr>
                <w:bCs/>
                <w:b/>
              </w:rPr>
              <w:t xml:space="preserve">10 ms</w:t>
            </w:r>
          </w:p>
        </w:tc>
        <w:tc>
          <w:tcPr/>
          <w:p>
            <w:pPr>
              <w:pStyle w:val="Compact"/>
              <w:jc w:val="left"/>
            </w:pPr>
            <w:r>
              <w:rPr>
                <w:bCs/>
                <w:b/>
              </w:rPr>
              <w:t xml:space="preserve">30 ms</w:t>
            </w:r>
          </w:p>
        </w:tc>
      </w:tr>
      <w:tr>
        <w:tc>
          <w:tcPr/>
          <w:p>
            <w:pPr>
              <w:pStyle w:val="Compact"/>
              <w:jc w:val="left"/>
            </w:pPr>
            <w:r>
              <w:rPr>
                <w:bCs/>
                <w:b/>
              </w:rPr>
              <w:t xml:space="preserve">Total, cache miss</w:t>
            </w:r>
          </w:p>
        </w:tc>
        <w:tc>
          <w:tcPr/>
          <w:p>
            <w:pPr>
              <w:pStyle w:val="Compact"/>
              <w:jc w:val="left"/>
            </w:pPr>
            <w:r>
              <w:rPr>
                <w:bCs/>
                <w:b/>
              </w:rPr>
              <w:t xml:space="preserve">500 ms</w:t>
            </w:r>
          </w:p>
        </w:tc>
        <w:tc>
          <w:tcPr/>
          <w:p>
            <w:pPr>
              <w:pStyle w:val="Compact"/>
              <w:jc w:val="left"/>
            </w:pPr>
            <w:r>
              <w:rPr>
                <w:bCs/>
                <w:b/>
              </w:rPr>
              <w:t xml:space="preserve">1,500 ms</w:t>
            </w:r>
          </w:p>
        </w:tc>
      </w:tr>
    </w:tbl>
    <w:p>
      <w:pPr>
        <w:pStyle w:val="BodyText"/>
      </w:pPr>
      <w:r>
        <w:t xml:space="preserve">These figures are stated as the reference deployment’s target service-level objectives, not as independently benchmarked measurements against a live production workload — the distinction the evaluation protocol of Section 21 is designed to close.</w:t>
      </w:r>
    </w:p>
    <w:bookmarkEnd w:id="132"/>
    <w:bookmarkStart w:id="136" w:name="failure-and-fallback-handling"/>
    <w:p>
      <w:pPr>
        <w:pStyle w:val="Heading3"/>
      </w:pPr>
      <w:r>
        <w:t xml:space="preserve">15.6 Failure and Fallback Handling</w:t>
      </w:r>
    </w:p>
    <w:p>
      <w:pPr>
        <w:pStyle w:val="FirstParagraph"/>
      </w:pPr>
      <w:r>
        <w:t xml:space="preserve">Consistent with the defense-in-depth principle of Section 4.1, each retrieval stage has an explicit fallback: dense-retrieval failure falls back to BM25-only retrieval; a vector-database outage falls back to a warm in-memory replica index with a 24-hour TTL; low-confidence OCR output (below a 0.5 confidence threshold) escalates to a vision-capable model for re-extraction rather than silently proceeding on unreliable text; and a document-parse failure that succeeds on fewer than 50% of a document’s pages routes to a dead-letter queue for manual review rather than silently indexing a partial, unflagged document.</w:t>
      </w:r>
    </w:p>
    <w:p>
      <w:pPr>
        <w:pStyle w:val="CaptionedFigure"/>
      </w:pPr>
      <w:r>
        <w:drawing>
          <wp:inline>
            <wp:extent cx="5943600" cy="2377440"/>
            <wp:effectExtent b="0" l="0" r="0" t="0"/>
            <wp:docPr descr="Figure 5. Hybrid retrieval fusion." title="" id="134" name="Picture"/>
            <a:graphic>
              <a:graphicData uri="http://schemas.openxmlformats.org/drawingml/2006/picture">
                <pic:pic>
                  <pic:nvPicPr>
                    <pic:cNvPr descr="figures/fig5_retrieval.png" id="135" name="Picture"/>
                    <pic:cNvPicPr>
                      <a:picLocks noChangeArrowheads="1" noChangeAspect="1"/>
                    </pic:cNvPicPr>
                  </pic:nvPicPr>
                  <pic:blipFill>
                    <a:blip r:embed="rId133"/>
                    <a:stretch>
                      <a:fillRect/>
                    </a:stretch>
                  </pic:blipFill>
                  <pic:spPr bwMode="auto">
                    <a:xfrm>
                      <a:off x="0" y="0"/>
                      <a:ext cx="5943600" cy="2377440"/>
                    </a:xfrm>
                    <a:prstGeom prst="rect">
                      <a:avLst/>
                    </a:prstGeom>
                    <a:noFill/>
                    <a:ln w="9525">
                      <a:noFill/>
                      <a:headEnd/>
                      <a:tailEnd/>
                    </a:ln>
                  </pic:spPr>
                </pic:pic>
              </a:graphicData>
            </a:graphic>
          </wp:inline>
        </w:drawing>
      </w:r>
    </w:p>
    <w:p>
      <w:pPr>
        <w:pStyle w:val="ImageCaption"/>
      </w:pPr>
      <w:r>
        <w:t xml:space="preserve">Figure 5. Hybrid retrieval fusion.</w:t>
      </w:r>
    </w:p>
    <w:bookmarkEnd w:id="136"/>
    <w:bookmarkEnd w:id="137"/>
    <w:bookmarkStart w:id="144" w:name="token-economy-and-cost-accounting"/>
    <w:p>
      <w:pPr>
        <w:pStyle w:val="Heading2"/>
      </w:pPr>
      <w:r>
        <w:t xml:space="preserve">16. Token Economy and Cost Accounting</w:t>
      </w:r>
    </w:p>
    <w:bookmarkStart w:id="138" w:name="X6a84786ab375e929bff31d0c2de5824c6423e71"/>
    <w:p>
      <w:pPr>
        <w:pStyle w:val="Heading3"/>
      </w:pPr>
      <w:r>
        <w:t xml:space="preserve">16.1 The Case Against Whole-Document Prompting</w:t>
      </w:r>
    </w:p>
    <w:p>
      <w:pPr>
        <w:pStyle w:val="FirstParagraph"/>
      </w:pPr>
      <w:r>
        <w:t xml:space="preserve">The default alternative to this architecture’s retrieval-and-packing approach — sending an entire document, or an entire multi-document corpus, directly into a language model’s context window — is rejected as a default path for two independent reasons: economic sustainability (per-token API costs scale linearly with input size, and a corpus of even moderate size makes whole-corpus prompting on every query prohibitively expensive at any meaningful query volume) and hard feasibility limits (many enterprise document corpora exceed even the largest current context windows outright, making whole-corpus prompting not merely expensive but impossible beyond a certain corpus size). Retrieval and caching are accordingly treated as the default path, with whole-document prompting reserved for the case where a document is already small enough that retrieval overhead would exceed the savings it provides.</w:t>
      </w:r>
    </w:p>
    <w:bookmarkEnd w:id="138"/>
    <w:bookmarkStart w:id="139" w:name="token-cost-accounting"/>
    <w:p>
      <w:pPr>
        <w:pStyle w:val="Heading3"/>
      </w:pPr>
      <w:r>
        <w:t xml:space="preserve">16.2 Token Cost Accounting</w:t>
      </w:r>
    </w:p>
    <w:p>
      <w:pPr>
        <w:pStyle w:val="FirstParagraph"/>
      </w:pPr>
      <w:r>
        <w:t xml:space="preserve">Total token cost is accounted per Section 9.4’s master objective as TC = I + O, input plus output tokens, with a target reduction of 20–70% relative to a naive whole-document or naive top-k-truncation baseline, achieved jointly by: structural-recurrence elimination (Section 5.4’s Theorem 5.4 compression bound), matrix-form table compaction in place of verbose cell-by-cell text serialization, the L0–L5 summarization hierarchy’s ability to serve a coarse-scope query from a cheap high-abstraction level rather than always paying full L0 granularity cost, and the knapsack packer’s ability to select a genuinely value-maximizing subset (Section 9) rather than a merely rank-ordered prefix that may include low-marginal-value redundant passages a smarter selection would have excluded.</w:t>
      </w:r>
    </w:p>
    <w:bookmarkEnd w:id="139"/>
    <w:bookmarkStart w:id="140" w:name="latency-accounting"/>
    <w:p>
      <w:pPr>
        <w:pStyle w:val="Heading3"/>
      </w:pPr>
      <w:r>
        <w:t xml:space="preserve">16.3 Latency Accounting</w:t>
      </w:r>
    </w:p>
    <w:p>
      <w:pPr>
        <w:pStyle w:val="FirstParagraph"/>
      </w:pPr>
      <w:r>
        <w:t xml:space="preserve">End-to-end latency is accounted as L = T_p + T_r + T_l — parsing latency, retrieval latency, and language-model inference latency — with a target reduction of 30–60% relative to a naive baseline, driven primarily by the operational cache hierarchy of Section 14.3 (a cache hit at any tier removes the corresponding downstream latency entirely) and by the reduced</w:t>
      </w:r>
      <w:r>
        <w:t xml:space="preserve"> </w:t>
      </w:r>
      <w:r>
        <w:rPr>
          <w:iCs/>
          <w:i/>
        </w:rPr>
        <w:t xml:space="preserve">effective</w:t>
      </w:r>
      <w:r>
        <w:t xml:space="preserve"> </w:t>
      </w:r>
      <w:r>
        <w:t xml:space="preserve">input length the token-economy improvements of Section 16.2 produce, which in turn reduces language-model time-to-first-token and total generation time for a fixed output length.</w:t>
      </w:r>
    </w:p>
    <w:bookmarkEnd w:id="140"/>
    <w:bookmarkStart w:id="141" w:name="memory-cost-accounting"/>
    <w:p>
      <w:pPr>
        <w:pStyle w:val="Heading3"/>
      </w:pPr>
      <w:r>
        <w:t xml:space="preserve">16.4 Memory Cost Accounting</w:t>
      </w:r>
    </w:p>
    <w:p>
      <w:pPr>
        <w:pStyle w:val="FirstParagraph"/>
      </w:pPr>
      <w:r>
        <w:t xml:space="preserve">Memory cost MC = RAM + Cache + Storage is accounted across the operational cache tiers of Section 14.3 and the vector/lexical/relational index storage described in Section 4.3’s topology, and is the specific quantity bounded by the max_dp_cells guard of Section 11.4 at the context-packing stage — the packer’s memory-cost contribution to MC is capped by design, in direct response to the unbounded-memory defect that guard was introduced to fix.</w:t>
      </w:r>
    </w:p>
    <w:bookmarkEnd w:id="141"/>
    <w:bookmarkStart w:id="142" w:name="reported-performance-targets"/>
    <w:p>
      <w:pPr>
        <w:pStyle w:val="Heading3"/>
      </w:pPr>
      <w:r>
        <w:t xml:space="preserve">16.5 Reported Performance Targets</w:t>
      </w:r>
    </w:p>
    <w:p>
      <w:pPr>
        <w:pStyle w:val="FirstParagraph"/>
      </w:pPr>
      <w:r>
        <w:t xml:space="preserve">Table 5 restates the architecture’s stated performance targets. We reproduce them here with the same evidentiary caveat applied throughout this monograph: these are documented targets from the reference architecture specification, verified in the current implementation only at the level of the individual correctness properties reported in Sections 11–12 (e.g., the knapsack solver’s exactness, the greedy fallback’s 1/2-approximation bound), not yet as end-to-end measured outcomes against the benchmark protocol of Section 21.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Accuracy</w:t>
            </w:r>
          </w:p>
        </w:tc>
        <w:tc>
          <w:tcPr/>
          <w:p>
            <w:pPr>
              <w:pStyle w:val="Compact"/>
              <w:jc w:val="left"/>
            </w:pPr>
            <w:r>
              <w:t xml:space="preserve">&gt; 95%</w:t>
            </w:r>
          </w:p>
        </w:tc>
      </w:tr>
      <w:tr>
        <w:tc>
          <w:tcPr/>
          <w:p>
            <w:pPr>
              <w:pStyle w:val="Compact"/>
              <w:jc w:val="left"/>
            </w:pPr>
            <w:r>
              <w:t xml:space="preserve">F1 score</w:t>
            </w:r>
          </w:p>
        </w:tc>
        <w:tc>
          <w:tcPr/>
          <w:p>
            <w:pPr>
              <w:pStyle w:val="Compact"/>
              <w:jc w:val="left"/>
            </w:pPr>
            <w:r>
              <w:t xml:space="preserve">&gt; 0.90</w:t>
            </w:r>
          </w:p>
        </w:tc>
      </w:tr>
      <w:tr>
        <w:tc>
          <w:tcPr/>
          <w:p>
            <w:pPr>
              <w:pStyle w:val="Compact"/>
              <w:jc w:val="left"/>
            </w:pPr>
            <w:r>
              <w:t xml:space="preserve">Hallucination rate</w:t>
            </w:r>
          </w:p>
        </w:tc>
        <w:tc>
          <w:tcPr/>
          <w:p>
            <w:pPr>
              <w:pStyle w:val="Compact"/>
              <w:jc w:val="left"/>
            </w:pPr>
            <w:r>
              <w:t xml:space="preserve">&lt; 5%</w:t>
            </w:r>
          </w:p>
        </w:tc>
      </w:tr>
      <w:tr>
        <w:tc>
          <w:tcPr/>
          <w:p>
            <w:pPr>
              <w:pStyle w:val="Compact"/>
              <w:jc w:val="left"/>
            </w:pPr>
            <w:r>
              <w:t xml:space="preserve">Token reduction (vs. naive baseline)</w:t>
            </w:r>
          </w:p>
        </w:tc>
        <w:tc>
          <w:tcPr/>
          <w:p>
            <w:pPr>
              <w:pStyle w:val="Compact"/>
              <w:jc w:val="left"/>
            </w:pPr>
            <w:r>
              <w:t xml:space="preserve">20–70%</w:t>
            </w:r>
          </w:p>
        </w:tc>
      </w:tr>
      <w:tr>
        <w:tc>
          <w:tcPr/>
          <w:p>
            <w:pPr>
              <w:pStyle w:val="Compact"/>
              <w:jc w:val="left"/>
            </w:pPr>
            <w:r>
              <w:t xml:space="preserve">Latency reduction (vs. naive baseline)</w:t>
            </w:r>
          </w:p>
        </w:tc>
        <w:tc>
          <w:tcPr/>
          <w:p>
            <w:pPr>
              <w:pStyle w:val="Compact"/>
              <w:jc w:val="left"/>
            </w:pPr>
            <w:r>
              <w:t xml:space="preserve">30–60%</w:t>
            </w:r>
          </w:p>
        </w:tc>
      </w:tr>
      <w:tr>
        <w:tc>
          <w:tcPr/>
          <w:p>
            <w:pPr>
              <w:pStyle w:val="Compact"/>
              <w:jc w:val="left"/>
            </w:pPr>
            <w:r>
              <w:t xml:space="preserve">Compression on highly repetitive documents</w:t>
            </w:r>
          </w:p>
        </w:tc>
        <w:tc>
          <w:tcPr/>
          <w:p>
            <w:pPr>
              <w:pStyle w:val="Compact"/>
              <w:jc w:val="left"/>
            </w:pPr>
            <w:r>
              <w:t xml:space="preserve">50–90%</w:t>
            </w:r>
          </w:p>
        </w:tc>
      </w:tr>
    </w:tbl>
    <w:bookmarkEnd w:id="142"/>
    <w:bookmarkStart w:id="143" w:name="Xc1a86b7689e11264cbbdfbfd801ff98b2a146f7"/>
    <w:p>
      <w:pPr>
        <w:pStyle w:val="Heading3"/>
      </w:pPr>
      <w:r>
        <w:t xml:space="preserve">16.6 Cost-Quality Trade-off as a Constrained, Not Free, Optimization</w:t>
      </w:r>
    </w:p>
    <w:p>
      <w:pPr>
        <w:pStyle w:val="FirstParagraph"/>
      </w:pPr>
      <w:r>
        <w:t xml:space="preserve">It is worth restating explicitly, connecting back to Section 9.4, that none of the cost reductions in this section are pursued unconstrained: the master objective minimizes token, latency, and memory cost</w:t>
      </w:r>
      <w:r>
        <w:t xml:space="preserve"> </w:t>
      </w:r>
      <w:r>
        <w:rPr>
          <w:iCs/>
          <w:i/>
        </w:rPr>
        <w:t xml:space="preserve">subject to</w:t>
      </w:r>
      <w:r>
        <w:t xml:space="preserve"> </w:t>
      </w:r>
      <w:r>
        <w:t xml:space="preserve">hard floors on accuracy (≥ 0.95), information retention (≥ 0.95), and confidence (≥ 0.90). A configuration that reduced token cost below these targets by, for instance, being more aggressive about which chunks the packer excludes would violate the information-retention floor and is therefore not a valid operating point under the master optimization’s own constraints — cost reduction in this architecture is explicitly bounded below by quality guarantees, not traded off against them without limit.</w:t>
      </w:r>
    </w:p>
    <w:bookmarkEnd w:id="143"/>
    <w:bookmarkEnd w:id="144"/>
    <w:bookmarkStart w:id="150" w:name="Xd951043818e712f12ca4cb33d4b8c72400de3db"/>
    <w:p>
      <w:pPr>
        <w:pStyle w:val="Heading2"/>
      </w:pPr>
      <w:r>
        <w:t xml:space="preserve">17. Security, Multi-Tenancy, and Access Control</w:t>
      </w:r>
    </w:p>
    <w:bookmarkStart w:id="145" w:name="threat-model-scope"/>
    <w:p>
      <w:pPr>
        <w:pStyle w:val="Heading3"/>
      </w:pPr>
      <w:r>
        <w:t xml:space="preserve">17.1 Threat Model Scope</w:t>
      </w:r>
    </w:p>
    <w:p>
      <w:pPr>
        <w:pStyle w:val="FirstParagraph"/>
      </w:pPr>
      <w:r>
        <w:t xml:space="preserve">The security design targets three concerns specific to a multi-tenant document intelligence deployment: unauthorized cross-tenant data access, unauthorized access within a tenant to documents a specific user is not entitled to view, and tampering with or repudiation of the audit trail of who accessed what and when. It does not, within the scope of this monograph, attempt to address adversarial-input attacks against the language model itself (prompt injection embedded in ingested document content) beyond the general observation that the verification stage of Section 19 provides a partial, generic defense (a citation that cannot be resolved back to real source content is flagged regardless of why the language model produced it) rather than a targeted one.</w:t>
      </w:r>
    </w:p>
    <w:bookmarkEnd w:id="145"/>
    <w:bookmarkStart w:id="146" w:name="encryption-and-identity"/>
    <w:p>
      <w:pPr>
        <w:pStyle w:val="Heading3"/>
      </w:pPr>
      <w:r>
        <w:t xml:space="preserve">17.2 Encryption and Identity</w:t>
      </w:r>
    </w:p>
    <w:p>
      <w:pPr>
        <w:pStyle w:val="FirstParagraph"/>
      </w:pPr>
      <w:r>
        <w:t xml:space="preserve">Data at rest is encrypted per tenant (AES-256-GCM in the reference specification), with per-tenant key isolation such that a key compromise for one tenant does not expose another tenant’s data. Identity and authorization use JWT-based authentication combined with a hybrid role-based and attribute-based access control model (RBAC+ABAC): role-based policy handles coarse-grained capability grants (can this identity query the retrieval API at all), while attribute-based policy handles fine-grained, per-document or per-field constraints (can this identity see a specific document’s financial-figures section, independent of whether it can see the document’s narrative sections).</w:t>
      </w:r>
    </w:p>
    <w:bookmarkEnd w:id="146"/>
    <w:bookmarkStart w:id="147" w:name="tenant-isolation"/>
    <w:p>
      <w:pPr>
        <w:pStyle w:val="Heading3"/>
      </w:pPr>
      <w:r>
        <w:t xml:space="preserve">17.3 Tenant Isolation</w:t>
      </w:r>
    </w:p>
    <w:p>
      <w:pPr>
        <w:pStyle w:val="FirstParagraph"/>
      </w:pPr>
      <w:r>
        <w:t xml:space="preserve">Every query resolves the caller’s tenant ID to an explicit allow-list of document IDs before retrieval begins (Section 15.2, step 1), and this allow-list is enforced as a row-level security filter at the storage layer itself — the lexical index, the vector index, and the relational metadata store each independently enforce the same tenant boundary — rather than being enforced only at the application layer, where a single application-layer bug could otherwise expose cross-tenant results. Namespace separation extends to the operational cache tiers of Section 14.3: the Tier 2 semantic cache’s similarity-threshold lookup is scoped within tenant boundaries so that a cache hit can never surface a cached response derived from a different tenant’s document, even where two tenants’ queries happen to be semantically near-identical.</w:t>
      </w:r>
    </w:p>
    <w:bookmarkEnd w:id="147"/>
    <w:bookmarkStart w:id="148" w:name="immutable-audit-log"/>
    <w:p>
      <w:pPr>
        <w:pStyle w:val="Heading3"/>
      </w:pPr>
      <w:r>
        <w:t xml:space="preserve">17.4 Immutable Audit Log</w:t>
      </w:r>
    </w:p>
    <w:p>
      <w:pPr>
        <w:pStyle w:val="FirstParagraph"/>
      </w:pPr>
      <w:r>
        <w:t xml:space="preserve">All ingestion events, query events, and access events are recorded to an append-only, tamper-evident audit log, satisfying the non-repudiation and compliance requirements typical of regulated document types (financial filings, legal contracts, medical records). This log is a distinct artifact from the episodic memory of Section 14.3’s Tier 3 — episodic memory exists to serve conversational continuity within a session and is subject to TTL expiry and compression, while the audit log exists specifically to persist an unmodifiable record independent of any session lifecycle.</w:t>
      </w:r>
    </w:p>
    <w:bookmarkEnd w:id="148"/>
    <w:bookmarkStart w:id="149" w:name="X3688ead5ebdc5729414c3512954fff63bd3269b"/>
    <w:p>
      <w:pPr>
        <w:pStyle w:val="Heading3"/>
      </w:pPr>
      <w:r>
        <w:t xml:space="preserve">17.5 Defense in Depth at the Infrastructure Layer</w:t>
      </w:r>
    </w:p>
    <w:p>
      <w:pPr>
        <w:pStyle w:val="FirstParagraph"/>
      </w:pPr>
      <w:r>
        <w:t xml:space="preserve">Consistent with Section 4.1’s defense-in-depth principle, the infrastructure layer applies circuit breakers around each external dependency (vector database, lexical index, language-model provider), with the specific fallback behaviors detailed in Section 15.6, and rate limiting both per-tenant and globally (Section 18.6) to prevent a single tenant’s traffic spike, or a batch-ingestion job, from degrading service for other tenants sharing the same infrastructure.</w:t>
      </w:r>
    </w:p>
    <w:bookmarkEnd w:id="149"/>
    <w:bookmarkEnd w:id="150"/>
    <w:bookmarkStart w:id="157" w:name="production-workflows"/>
    <w:p>
      <w:pPr>
        <w:pStyle w:val="Heading2"/>
      </w:pPr>
      <w:r>
        <w:t xml:space="preserve">18. Production Workflows</w:t>
      </w:r>
    </w:p>
    <w:p>
      <w:pPr>
        <w:pStyle w:val="FirstParagraph"/>
      </w:pPr>
      <w:r>
        <w:t xml:space="preserve">This section specifies the six end-to-end operational workflows the reference architecture defines, each composed from the stages and subsystems formalized in Sections 5–17.</w:t>
      </w:r>
    </w:p>
    <w:bookmarkStart w:id="151" w:name="workflow-1-document-ingestion"/>
    <w:p>
      <w:pPr>
        <w:pStyle w:val="Heading3"/>
      </w:pPr>
      <w:r>
        <w:t xml:space="preserve">18.1 Workflow 1 — Document Ingestion</w:t>
      </w:r>
    </w:p>
    <w:p>
      <w:pPr>
        <w:pStyle w:val="FirstParagraph"/>
      </w:pPr>
      <w:r>
        <w:t xml:space="preserve">A document proceeds through nine sequential stages: parsing, layout detection, OCR (where the source is a scanned or image-based document), the twelve-engine mathematical transformation of Section 5, semantic chunking per Section 7’s elastic-chunking rules with a maximum of 800 tokens per chunk and a 100-token overlap between adjacent chunks (with a 50-token minimum below which adjacent tiny blocks are merged rather than left as degenerate standalone chunks), text embedding (BGE-large-en-v1.5-class, 1,024-dimensional, with a long-context fallback embedding model for text exceeding the primary embedding model’s input limit), visual embedding for pages and figures (a ColPali/ColQwen2-class late-interaction page embedding plus a CLIP-class figure-level embedding), multi-index storage (writing to the vector index, lexical index, relational metadata store, processing-state cache, and object storage in parallel), and a final status update (marking the document ready, publishing an indexed event, and notifying the calling client). Table 6 reports target latency service-level objectives per stage, with the corresponding failure action.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P50</w:t>
            </w:r>
          </w:p>
        </w:tc>
        <w:tc>
          <w:tcPr/>
          <w:p>
            <w:pPr>
              <w:pStyle w:val="Compact"/>
              <w:jc w:val="left"/>
            </w:pPr>
            <w:r>
              <w:t xml:space="preserve">P99</w:t>
            </w:r>
          </w:p>
        </w:tc>
        <w:tc>
          <w:tcPr/>
          <w:p>
            <w:pPr>
              <w:pStyle w:val="Compact"/>
              <w:jc w:val="left"/>
            </w:pPr>
            <w:r>
              <w:t xml:space="preserve">Failure action</w:t>
            </w:r>
          </w:p>
        </w:tc>
      </w:tr>
      <w:tr>
        <w:tc>
          <w:tcPr/>
          <w:p>
            <w:pPr>
              <w:pStyle w:val="Compact"/>
              <w:jc w:val="left"/>
            </w:pPr>
            <w:r>
              <w:t xml:space="preserve">Parse</w:t>
            </w:r>
          </w:p>
        </w:tc>
        <w:tc>
          <w:tcPr/>
          <w:p>
            <w:pPr>
              <w:pStyle w:val="Compact"/>
              <w:jc w:val="left"/>
            </w:pPr>
            <w:r>
              <w:t xml:space="preserve">0.5 s</w:t>
            </w:r>
          </w:p>
        </w:tc>
        <w:tc>
          <w:tcPr/>
          <w:p>
            <w:pPr>
              <w:pStyle w:val="Compact"/>
              <w:jc w:val="left"/>
            </w:pPr>
            <w:r>
              <w:t xml:space="preserve">5 s</w:t>
            </w:r>
          </w:p>
        </w:tc>
        <w:tc>
          <w:tcPr/>
          <w:p>
            <w:pPr>
              <w:pStyle w:val="Compact"/>
              <w:jc w:val="left"/>
            </w:pPr>
            <w:r>
              <w:t xml:space="preserve">Retry ×3 → dead-letter queue</w:t>
            </w:r>
          </w:p>
        </w:tc>
      </w:tr>
      <w:tr>
        <w:tc>
          <w:tcPr/>
          <w:p>
            <w:pPr>
              <w:pStyle w:val="Compact"/>
              <w:jc w:val="left"/>
            </w:pPr>
            <w:r>
              <w:t xml:space="preserve">Layout detection</w:t>
            </w:r>
          </w:p>
        </w:tc>
        <w:tc>
          <w:tcPr/>
          <w:p>
            <w:pPr>
              <w:pStyle w:val="Compact"/>
              <w:jc w:val="left"/>
            </w:pPr>
            <w:r>
              <w:t xml:space="preserve">1 s</w:t>
            </w:r>
          </w:p>
        </w:tc>
        <w:tc>
          <w:tcPr/>
          <w:p>
            <w:pPr>
              <w:pStyle w:val="Compact"/>
              <w:jc w:val="left"/>
            </w:pPr>
            <w:r>
              <w:t xml:space="preserve">8 s</w:t>
            </w:r>
          </w:p>
        </w:tc>
        <w:tc>
          <w:tcPr/>
          <w:p>
            <w:pPr>
              <w:pStyle w:val="Compact"/>
              <w:jc w:val="left"/>
            </w:pPr>
            <w:r>
              <w:t xml:space="preserve">Skip → text-only degraded mode</w:t>
            </w:r>
          </w:p>
        </w:tc>
      </w:tr>
      <w:tr>
        <w:tc>
          <w:tcPr/>
          <w:p>
            <w:pPr>
              <w:pStyle w:val="Compact"/>
              <w:jc w:val="left"/>
            </w:pPr>
            <w:r>
              <w:t xml:space="preserve">OCR (per page)</w:t>
            </w:r>
          </w:p>
        </w:tc>
        <w:tc>
          <w:tcPr/>
          <w:p>
            <w:pPr>
              <w:pStyle w:val="Compact"/>
              <w:jc w:val="left"/>
            </w:pPr>
            <w:r>
              <w:t xml:space="preserve">2 s</w:t>
            </w:r>
          </w:p>
        </w:tc>
        <w:tc>
          <w:tcPr/>
          <w:p>
            <w:pPr>
              <w:pStyle w:val="Compact"/>
              <w:jc w:val="left"/>
            </w:pPr>
            <w:r>
              <w:t xml:space="preserve">15 s</w:t>
            </w:r>
          </w:p>
        </w:tc>
        <w:tc>
          <w:tcPr/>
          <w:p>
            <w:pPr>
              <w:pStyle w:val="Compact"/>
              <w:jc w:val="left"/>
            </w:pPr>
            <w:r>
              <w:t xml:space="preserve">Retry ×2 → mark degraded</w:t>
            </w:r>
          </w:p>
        </w:tc>
      </w:tr>
      <w:tr>
        <w:tc>
          <w:tcPr/>
          <w:p>
            <w:pPr>
              <w:pStyle w:val="Compact"/>
              <w:jc w:val="left"/>
            </w:pPr>
            <w:r>
              <w:t xml:space="preserve">Embedding (batch)</w:t>
            </w:r>
          </w:p>
        </w:tc>
        <w:tc>
          <w:tcPr/>
          <w:p>
            <w:pPr>
              <w:pStyle w:val="Compact"/>
              <w:jc w:val="left"/>
            </w:pPr>
            <w:r>
              <w:t xml:space="preserve">0.2 s</w:t>
            </w:r>
          </w:p>
        </w:tc>
        <w:tc>
          <w:tcPr/>
          <w:p>
            <w:pPr>
              <w:pStyle w:val="Compact"/>
              <w:jc w:val="left"/>
            </w:pPr>
            <w:r>
              <w:t xml:space="preserve">2 s</w:t>
            </w:r>
          </w:p>
        </w:tc>
        <w:tc>
          <w:tcPr/>
          <w:p>
            <w:pPr>
              <w:pStyle w:val="Compact"/>
              <w:jc w:val="left"/>
            </w:pPr>
            <w:r>
              <w:t xml:space="preserve">Retry ×3 → dead-letter queue</w:t>
            </w:r>
          </w:p>
        </w:tc>
      </w:tr>
      <w:tr>
        <w:tc>
          <w:tcPr/>
          <w:p>
            <w:pPr>
              <w:pStyle w:val="Compact"/>
              <w:jc w:val="left"/>
            </w:pPr>
            <w:r>
              <w:t xml:space="preserve">Index write</w:t>
            </w:r>
          </w:p>
        </w:tc>
        <w:tc>
          <w:tcPr/>
          <w:p>
            <w:pPr>
              <w:pStyle w:val="Compact"/>
              <w:jc w:val="left"/>
            </w:pPr>
            <w:r>
              <w:t xml:space="preserve">0.1 s</w:t>
            </w:r>
          </w:p>
        </w:tc>
        <w:tc>
          <w:tcPr/>
          <w:p>
            <w:pPr>
              <w:pStyle w:val="Compact"/>
              <w:jc w:val="left"/>
            </w:pPr>
            <w:r>
              <w:t xml:space="preserve">1 s</w:t>
            </w:r>
          </w:p>
        </w:tc>
        <w:tc>
          <w:tcPr/>
          <w:p>
            <w:pPr>
              <w:pStyle w:val="Compact"/>
              <w:jc w:val="left"/>
            </w:pPr>
            <w:r>
              <w:t xml:space="preserve">Retry ×5 → dead-letter queue</w:t>
            </w:r>
          </w:p>
        </w:tc>
      </w:tr>
    </w:tbl>
    <w:bookmarkEnd w:id="151"/>
    <w:bookmarkStart w:id="152" w:name="workflow-2-query-rag-pipeline"/>
    <w:p>
      <w:pPr>
        <w:pStyle w:val="Heading3"/>
      </w:pPr>
      <w:r>
        <w:t xml:space="preserve">18.2 Workflow 2 — Query / RAG Pipeline</w:t>
      </w:r>
    </w:p>
    <w:p>
      <w:pPr>
        <w:pStyle w:val="FirstParagraph"/>
      </w:pPr>
      <w:r>
        <w:t xml:space="preserve">The full query pipeline composes Section 15’s retrieval stages with Section 8–9’s context assembly: authentication and access-control resolution; semantic cache lookup; query transformation; hybrid retrieval (BM25, dense, and conditionally visual search, each returning up to their configured candidate count); Reciprocal Rank Fusion; cross-encoder reranking; MMR diversity filtering; context building under a fixed total input token budget (reference configuration: 8,500 tokens, apportioned across a 1,200-token system prompt, 200-token user question allowance, 800-token compressed conversation history, and the remainder packed by the Section 9 knapsack solver, sorted into document reading order per Section 6.6); prompt construction; language-model inference (with a primary self-hosted path and a fallback path to a commercial provider, streaming enabled, and tool-call support for calculator, code-execution, and web-search tools where the query requires them); citation extraction, resolving each response’s source markers back to a chunk ID and, per Theorem 5.6, further back to an exact page/section/block/line/token span; and a final cache-write step storing the (query, response) pair into the semantic cache, appending the turn to episodic memory, and updating the token ledger of Section 16.2. Table 4 (Section 15.5) reports this workflow’s stage-level latency targets.</w:t>
      </w:r>
    </w:p>
    <w:bookmarkEnd w:id="152"/>
    <w:bookmarkStart w:id="153" w:name="workflow-3-memory-lifecycle"/>
    <w:p>
      <w:pPr>
        <w:pStyle w:val="Heading3"/>
      </w:pPr>
      <w:r>
        <w:t xml:space="preserve">18.3 Workflow 3 — Memory Lifecycle</w:t>
      </w:r>
    </w:p>
    <w:p>
      <w:pPr>
        <w:pStyle w:val="FirstParagraph"/>
      </w:pPr>
      <w:r>
        <w:t xml:space="preserve">Detailed in Section 14.5: session creation, per-turn episodic-buffer management with compression above a token threshold, and session-end persistence of a compressed summary with sliding-TTL expiry of the underlying cache keys.</w:t>
      </w:r>
    </w:p>
    <w:bookmarkEnd w:id="153"/>
    <w:bookmarkStart w:id="154" w:name="workflow-4-document-re-indexing"/>
    <w:p>
      <w:pPr>
        <w:pStyle w:val="Heading3"/>
      </w:pPr>
      <w:r>
        <w:t xml:space="preserve">18.4 Workflow 4 — Document Re-Indexing</w:t>
      </w:r>
    </w:p>
    <w:p>
      <w:pPr>
        <w:pStyle w:val="FirstParagraph"/>
      </w:pPr>
      <w:r>
        <w:t xml:space="preserve">Triggered by a re-upload of an existing document ID or an explicit re-indexing API call: the document’s status is set to re-indexing, all previously-written chunks are deleted from the vector index, the lexical index, and the relational metadata store, all semantic-cache entries and the document’s own parse cache are invalidated (necessary because a stale cached response derived from the pre-re-indexing content would otherwise continue to be served after re-indexing completes), and Workflow 1 is re-run in full against the new document content.</w:t>
      </w:r>
    </w:p>
    <w:bookmarkEnd w:id="154"/>
    <w:bookmarkStart w:id="155" w:name="workflow-5-failure-and-fallback-handling"/>
    <w:p>
      <w:pPr>
        <w:pStyle w:val="Heading3"/>
      </w:pPr>
      <w:r>
        <w:t xml:space="preserve">18.5 Workflow 5 — Failure and Fallback Handling</w:t>
      </w:r>
    </w:p>
    <w:p>
      <w:pPr>
        <w:pStyle w:val="FirstParagraph"/>
      </w:pPr>
      <w:r>
        <w:t xml:space="preserve">A consolidated view of the fallback behaviors introduced piecemeal in Sections 15.6 and 17.5: dense-retrieval failure falls back to BM25-only retrieval; a primary language-model timeout beyond 30 seconds falls back to a smaller, faster model, and if that also fails, to a cached similar response rather than a hard failure; a vector-database outage falls back to a warm in-memory index replica with a 24-hour TTL; a consumer-lag condition on the ingestion event stream beyond a configured threshold triggers autoscaling of ingestion workers and an on-call alert; low-confidence OCR output escalates to a vision-capable model for re-extraction and flags the resulting chunk as low-confidence in its metadata (a flag that downstream consumers, including the verification stage of Section 19, can use to weight or exclude that chunk’s contribution to a citation); and a document-parse failure routes to a dead-letter queue with manual-review alerting, indexing a partial document only where more than half of its pages succeeded, and leaving it unindexed with an explicit failure status otherwise.</w:t>
      </w:r>
    </w:p>
    <w:bookmarkEnd w:id="155"/>
    <w:bookmarkStart w:id="156" w:name="workflow-6-batch-ingestion-at-scale"/>
    <w:p>
      <w:pPr>
        <w:pStyle w:val="Heading3"/>
      </w:pPr>
      <w:r>
        <w:t xml:space="preserve">18.6 Workflow 6 — Batch Ingestion at Scale</w:t>
      </w:r>
    </w:p>
    <w:p>
      <w:pPr>
        <w:pStyle w:val="FirstParagraph"/>
      </w:pPr>
      <w:r>
        <w:t xml:space="preserve">For corpus-scale ingestion (the architecture’s stated target is 100M+ documents), a manifest-driven batch path is defined: an S3-hosted manifest of up to one million document references (with per-entry tenant ID and priority) triggers a distributed processing job (Ray/Spark-class) that partitions work by tenant ID for even load distribution, processes entries by priority tier, autoscales its worker pool between 100 and 1,000 workers based on queue depth, and tracks progress via a combination of counters and event-stream messages. Rate limiting is applied at both the per-tenant level (1,000 documents/minute in the reference configuration) and globally (10,000 documents/minute), with Kafka-class consumer-pause backpressure as the mechanism for enforcing the global ceiling without dropping work.</w:t>
      </w:r>
    </w:p>
    <w:bookmarkEnd w:id="156"/>
    <w:bookmarkEnd w:id="157"/>
    <w:bookmarkStart w:id="163" w:name="Xf01633d295a8e9777ad1282b0838539b246863f"/>
    <w:p>
      <w:pPr>
        <w:pStyle w:val="Heading2"/>
      </w:pPr>
      <w:r>
        <w:t xml:space="preserve">19. Verification, Citation Integrity, and Observability</w:t>
      </w:r>
    </w:p>
    <w:bookmarkStart w:id="158" w:name="the-verification-stages-role"/>
    <w:p>
      <w:pPr>
        <w:pStyle w:val="Heading3"/>
      </w:pPr>
      <w:r>
        <w:t xml:space="preserve">19.1 The Verification Stage’s Role</w:t>
      </w:r>
    </w:p>
    <w:p>
      <w:pPr>
        <w:pStyle w:val="FirstParagraph"/>
      </w:pPr>
      <w:r>
        <w:t xml:space="preserve">The verification stage sits between language-model inference and the response returned to the end user (final stage of Figure 1’s pipeline), and performs a check this architecture treats as structurally necessary rather than optional: a language model conditioned on a correctly-packed, correctly-ordered context (Sections 6–9) can still produce an answer whose specific claims do not, on inspection, actually trace back to the delivered context — the standard hallucination failure mode, which structural correctness upstream reduces the</w:t>
      </w:r>
      <w:r>
        <w:t xml:space="preserve"> </w:t>
      </w:r>
      <w:r>
        <w:rPr>
          <w:iCs/>
          <w:i/>
        </w:rPr>
        <w:t xml:space="preserve">likelihood</w:t>
      </w:r>
      <w:r>
        <w:t xml:space="preserve"> </w:t>
      </w:r>
      <w:r>
        <w:t xml:space="preserve">of but does not eliminate as a possibility.</w:t>
      </w:r>
    </w:p>
    <w:bookmarkEnd w:id="158"/>
    <w:bookmarkStart w:id="159" w:name="citation-resolution"/>
    <w:p>
      <w:pPr>
        <w:pStyle w:val="Heading3"/>
      </w:pPr>
      <w:r>
        <w:t xml:space="preserve">19.2 Citation Resolution</w:t>
      </w:r>
    </w:p>
    <w:p>
      <w:pPr>
        <w:pStyle w:val="FirstParagraph"/>
      </w:pPr>
      <w:r>
        <w:t xml:space="preserve">Response citation markers are mapped back to a specific chunk ID (Section 18.2’s citation-extraction step), and from there, by Theorem 5.6’s hierarchical-coordinate uniqueness guarantee, deterministically to an exact page, section, block, line, and token span in the source document — not merely to</w:t>
      </w:r>
      <w:r>
        <w:t xml:space="preserve"> </w:t>
      </w:r>
      <w:r>
        <w:t xml:space="preserve">“</w:t>
      </w:r>
      <w:r>
        <w:t xml:space="preserve">this document</w:t>
      </w:r>
      <w:r>
        <w:t xml:space="preserve">”</w:t>
      </w:r>
      <w:r>
        <w:t xml:space="preserve"> </w:t>
      </w:r>
      <w:r>
        <w:t xml:space="preserve">or</w:t>
      </w:r>
      <w:r>
        <w:t xml:space="preserve"> </w:t>
      </w:r>
      <w:r>
        <w:t xml:space="preserve">“</w:t>
      </w:r>
      <w:r>
        <w:t xml:space="preserve">this chunk</w:t>
      </w:r>
      <w:r>
        <w:t xml:space="preserve">”</w:t>
      </w:r>
      <w:r>
        <w:t xml:space="preserve"> </w:t>
      </w:r>
      <w:r>
        <w:t xml:space="preserve">as an opaque unit, but to the precise sub-region a human reviewer would need to check to confirm or refute the claim. This resolution chain is what makes automated citation</w:t>
      </w:r>
      <w:r>
        <w:t xml:space="preserve"> </w:t>
      </w:r>
      <w:r>
        <w:rPr>
          <w:iCs/>
          <w:i/>
        </w:rPr>
        <w:t xml:space="preserve">verification</w:t>
      </w:r>
      <w:r>
        <w:t xml:space="preserve">, rather than merely citation</w:t>
      </w:r>
      <w:r>
        <w:t xml:space="preserve"> </w:t>
      </w:r>
      <w:r>
        <w:rPr>
          <w:iCs/>
          <w:i/>
        </w:rPr>
        <w:t xml:space="preserve">display</w:t>
      </w:r>
      <w:r>
        <w:t xml:space="preserve">, possible: the verifier can programmatically check whether the resolved source span actually supports the claim attributed to it.</w:t>
      </w:r>
    </w:p>
    <w:bookmarkEnd w:id="159"/>
    <w:bookmarkStart w:id="160" w:name="X73806764ed92e26198e3f4aad47c7b5e22bb7cd"/>
    <w:p>
      <w:pPr>
        <w:pStyle w:val="Heading3"/>
      </w:pPr>
      <w:r>
        <w:t xml:space="preserve">19.3 Confidence Scoring and Consistency Checking</w:t>
      </w:r>
    </w:p>
    <w:p>
      <w:pPr>
        <w:pStyle w:val="FirstParagraph"/>
      </w:pPr>
      <w:r>
        <w:t xml:space="preserve">Beyond citation resolution, the verification stage applies a confidence-scoring pass (weighing factors including the retrieval-fusion confidence C from Section 5.7, the OCR-confidence flag propagated from Section 18.5 for any contributing low-confidence chunk, and citation-resolution success rate across the response’s claims) and a consistency-checking pass across multi-claim responses, flagging internal contradictions (two claims in the same response that cannot both be true given the same cited source material) as a distinct signal from citation-resolution failure — a response can be fully citation-resolvable and still internally inconsistent if it draws contradictory claims from two different, individually-valid source chunks.</w:t>
      </w:r>
    </w:p>
    <w:bookmarkEnd w:id="160"/>
    <w:bookmarkStart w:id="161" w:name="Xb31387b1bc3bfbd7641cbe77944041592216085"/>
    <w:p>
      <w:pPr>
        <w:pStyle w:val="Heading3"/>
      </w:pPr>
      <w:r>
        <w:t xml:space="preserve">19.4 Relationship to the Master Objective’s Quality Floors</w:t>
      </w:r>
    </w:p>
    <w:p>
      <w:pPr>
        <w:pStyle w:val="FirstParagraph"/>
      </w:pPr>
      <w:r>
        <w:t xml:space="preserve">The verification stage’s output feeds directly back into the Accuracy(w), IR(w) (information retention), and Confidence(w) terms constrained in Section 9.4’s master optimization objective — meaning the quality floors that objective enforces (Accuracy ≥ 0.95, IR ≥ 0.95, Confidence ≥ 0.90) are not abstract targets computed offline once, but quantities this stage is designed to measure per-response in production, feeding the same signal both back into the online adaptive router of Section 13 (as part of its composite reward) and forward into the observability stack described next.</w:t>
      </w:r>
    </w:p>
    <w:bookmarkEnd w:id="161"/>
    <w:bookmarkStart w:id="162" w:name="observability-stack"/>
    <w:p>
      <w:pPr>
        <w:pStyle w:val="Heading3"/>
      </w:pPr>
      <w:r>
        <w:t xml:space="preserve">19.5 Observability Stack</w:t>
      </w:r>
    </w:p>
    <w:p>
      <w:pPr>
        <w:pStyle w:val="FirstParagraph"/>
      </w:pPr>
      <w:r>
        <w:t xml:space="preserve">Full observability is provided through metrics collection (Prometheus-class, feeding Grafana-class dashboards), centralized logging (ELK-class), and distributed tracing (Jaeger-class), instrumented at every pipeline stage from Figure 1 — ingestion latency and failure rates per Table 6, retrieval-stage latency per Table 4, knapsack-solver exact-vs-fallback rate (directly surfacing how often Section 11.4’s max_dp_cells guard is triggering the greedy path in production, a signal that should inform capacity planning if the fallback rate climbs unexpectedly), cache hit rates per tier (Section 14.3), and verification-stage confidence-score distributions. This instrumentation is what operationalizes the</w:t>
      </w:r>
      <w:r>
        <w:t xml:space="preserve"> </w:t>
      </w:r>
      <w:r>
        <w:t xml:space="preserve">“</w:t>
      </w:r>
      <w:r>
        <w:t xml:space="preserve">measurable, not merely claimed</w:t>
      </w:r>
      <w:r>
        <w:t xml:space="preserve">”</w:t>
      </w:r>
      <w:r>
        <w:t xml:space="preserve"> </w:t>
      </w:r>
      <w:r>
        <w:t xml:space="preserve">evidentiary standard this monograph applies throughout: a production deployment’s actual token-reduction and latency-reduction figures (Section 16.5) are intended to be read directly off this observability stack against the stated targets, rather than assumed to match them.</w:t>
      </w:r>
    </w:p>
    <w:bookmarkEnd w:id="162"/>
    <w:bookmarkEnd w:id="163"/>
    <w:bookmarkStart w:id="167" w:name="complexity-and-scalability-analysis"/>
    <w:p>
      <w:pPr>
        <w:pStyle w:val="Heading2"/>
      </w:pPr>
      <w:r>
        <w:t xml:space="preserve">20. Complexity and Scalability Analysis</w:t>
      </w:r>
    </w:p>
    <w:bookmarkStart w:id="164" w:name="stage-by-stage-asymptotic-behavior"/>
    <w:p>
      <w:pPr>
        <w:pStyle w:val="Heading3"/>
      </w:pPr>
      <w:r>
        <w:t xml:space="preserve">20.1 Stage-by-Stage Asymptotic Behavior</w:t>
      </w:r>
    </w:p>
    <w:p>
      <w:pPr>
        <w:pStyle w:val="FirstParagraph"/>
      </w:pPr>
      <w:r>
        <w:t xml:space="preserve">Given n text nodes/chunks per page or per query and a token capacity C, the reference implementation’s asymptotic costs are:</w:t>
      </w:r>
    </w:p>
    <w:p>
      <w:pPr>
        <w:numPr>
          <w:ilvl w:val="0"/>
          <w:numId w:val="1010"/>
        </w:numPr>
        <w:pStyle w:val="Compact"/>
      </w:pPr>
      <w:r>
        <w:rPr>
          <w:bCs/>
          <w:b/>
        </w:rPr>
        <w:t xml:space="preserve">Spatial graph construction (Section 6.2):</w:t>
      </w:r>
      <w:r>
        <w:t xml:space="preserve"> </w:t>
      </w:r>
      <w:r>
        <w:t xml:space="preserve">O(n²) candidate-edge evaluation per page in the current unindexed implementation. This is acceptable for typical page node counts (tens to low hundreds), but degrades for pages with node counts in the thousands (e.g., a densely-tabulated financial statement rendered as many small cell-elements). Spatial indexing — grid bucketing or an R-tree over element bounding boxes — is the standard mitigation, reducing candidate-edge evaluation toward O(n log n); this is listed as an open engineering item in Section 23 rather than a shipped optimization.</w:t>
      </w:r>
    </w:p>
    <w:p>
      <w:pPr>
        <w:numPr>
          <w:ilvl w:val="0"/>
          <w:numId w:val="1010"/>
        </w:numPr>
        <w:pStyle w:val="Compact"/>
      </w:pPr>
      <w:r>
        <w:rPr>
          <w:bCs/>
          <w:b/>
        </w:rPr>
        <w:t xml:space="preserve">Reading-order recovery (Section 6.4):</w:t>
      </w:r>
      <w:r>
        <w:t xml:space="preserve"> </w:t>
      </w:r>
      <w:r>
        <w:t xml:space="preserve">O(n + E) via Kahn’s algorithm, where |E| is bounded by the distance-threshold pruning of Section 6.2 — strictly cheaper than the graph-construction step it consumes, and not the pipeline’s bottleneck stage.</w:t>
      </w:r>
    </w:p>
    <w:p>
      <w:pPr>
        <w:numPr>
          <w:ilvl w:val="0"/>
          <w:numId w:val="1010"/>
        </w:numPr>
        <w:pStyle w:val="Compact"/>
      </w:pPr>
      <w:r>
        <w:rPr>
          <w:bCs/>
          <w:b/>
        </w:rPr>
        <w:t xml:space="preserve">Elastic chunking (Section 7):</w:t>
      </w:r>
      <w:r>
        <w:t xml:space="preserve"> </w:t>
      </w:r>
      <w:r>
        <w:t xml:space="preserve">O(n), a single pass over the reading-ordered node sequence, evaluating the four boundary rules on each consecutive pair.</w:t>
      </w:r>
    </w:p>
    <w:p>
      <w:pPr>
        <w:numPr>
          <w:ilvl w:val="0"/>
          <w:numId w:val="1010"/>
        </w:numPr>
        <w:pStyle w:val="Compact"/>
      </w:pPr>
      <w:r>
        <w:rPr>
          <w:bCs/>
          <w:b/>
        </w:rPr>
        <w:t xml:space="preserve">Exact knapsack packing (Section 9.2):</w:t>
      </w:r>
      <w:r>
        <w:t xml:space="preserve"> </w:t>
      </w:r>
      <w:r>
        <w:t xml:space="preserve">O(N·C) time and, in the direct backtracking formulation, O(N·C) memory — the specific cost bounded by the max_dp_cells guard of Section 11.4, beyond which the packer trades optimality for the greedy fallback’s O(N log N) time, O(N) memory profile (Section 9.3, Theorem 9.1).</w:t>
      </w:r>
    </w:p>
    <w:p>
      <w:pPr>
        <w:numPr>
          <w:ilvl w:val="0"/>
          <w:numId w:val="1010"/>
        </w:numPr>
        <w:pStyle w:val="Compact"/>
      </w:pPr>
      <w:r>
        <w:rPr>
          <w:bCs/>
          <w:b/>
        </w:rPr>
        <w:t xml:space="preserve">Multi-choice knapsack (Section 12.1):</w:t>
      </w:r>
      <w:r>
        <w:t xml:space="preserve"> </w:t>
      </w:r>
      <w:r>
        <w:t xml:space="preserve">O(N·C·k̄) time for k̄ the average number of representation tiers per asset group, with the same O(N·C) memory profile and the same max_dp_cells-style guard applicable.</w:t>
      </w:r>
    </w:p>
    <w:p>
      <w:pPr>
        <w:numPr>
          <w:ilvl w:val="0"/>
          <w:numId w:val="1010"/>
        </w:numPr>
        <w:pStyle w:val="Compact"/>
      </w:pPr>
      <w:r>
        <w:rPr>
          <w:bCs/>
          <w:b/>
        </w:rPr>
        <w:t xml:space="preserve">Lagrangian relaxation (Section 12.2):</w:t>
      </w:r>
      <w:r>
        <w:t xml:space="preserve"> </w:t>
      </w:r>
      <w:r>
        <w:t xml:space="preserve">O(iterations · N log N) time (each subgradient iteration requires sorting or selecting per-group maxima) and O(N) memory — the intended regime for instances where even the multi-choice DP’s memory guard is exceeded.</w:t>
      </w:r>
    </w:p>
    <w:p>
      <w:pPr>
        <w:numPr>
          <w:ilvl w:val="0"/>
          <w:numId w:val="1010"/>
        </w:numPr>
        <w:pStyle w:val="Compact"/>
      </w:pPr>
      <w:r>
        <w:rPr>
          <w:bCs/>
          <w:b/>
        </w:rPr>
        <w:t xml:space="preserve">Hybrid retrieval fusion (Section 15):</w:t>
      </w:r>
      <w:r>
        <w:t xml:space="preserve"> </w:t>
      </w:r>
      <w:r>
        <w:t xml:space="preserve">Dominated by the underlying index query costs (approximate nearest-neighbor search for dense retrieval, inverted-index lookup for lexical retrieval), each sub-linear in corpus size under standard indexing structures (HNSW-class graphs, inverted indices), followed by O(k log k) Reciprocal Rank Fusion over k fused candidates and O(k²) cross-encoder-pair scoring in the worst case for a naively-implemented MMR diversity pass over k reranked candidates.</w:t>
      </w:r>
    </w:p>
    <w:bookmarkEnd w:id="164"/>
    <w:bookmarkStart w:id="165" w:name="end-to-end-query-latency-composition"/>
    <w:p>
      <w:pPr>
        <w:pStyle w:val="Heading3"/>
      </w:pPr>
      <w:r>
        <w:t xml:space="preserve">20.2 End-to-End Query Latency Composition</w:t>
      </w:r>
    </w:p>
    <w:p>
      <w:pPr>
        <w:pStyle w:val="FirstParagraph"/>
      </w:pPr>
      <w:r>
        <w:t xml:space="preserve">Table 4 (Section 15.5) and Table 6 (Section 18.1) together give the reference deployment’s stage-level latency targets; end-to-end query latency is dominated, on a cache miss, by language-model inference time (500 ms–1,500 ms in the reference targets) rather than by any of the mathematical-engine or optimization stages formalized in this monograph, all of which target sub-300ms contributions even at their P99. This asymmetry is a deliberate design consequence, not an incidental measurement: the architecture’s stated goal is that structural correctness (Sections 6–12) should be obtained essentially</w:t>
      </w:r>
      <w:r>
        <w:t xml:space="preserve"> </w:t>
      </w:r>
      <w:r>
        <w:t xml:space="preserve">“</w:t>
      </w:r>
      <w:r>
        <w:t xml:space="preserve">for free</w:t>
      </w:r>
      <w:r>
        <w:t xml:space="preserve">”</w:t>
      </w:r>
      <w:r>
        <w:t xml:space="preserve"> </w:t>
      </w:r>
      <w:r>
        <w:t xml:space="preserve">relative to the unavoidable cost of the language-model call itself, rather than trading meaningful additional latency for it.</w:t>
      </w:r>
    </w:p>
    <w:bookmarkEnd w:id="165"/>
    <w:bookmarkStart w:id="166" w:name="scaling-to-the-100m-document-target"/>
    <w:p>
      <w:pPr>
        <w:pStyle w:val="Heading3"/>
      </w:pPr>
      <w:r>
        <w:t xml:space="preserve">20.3 Scaling to the 100M-Document Target</w:t>
      </w:r>
    </w:p>
    <w:p>
      <w:pPr>
        <w:pStyle w:val="FirstParagraph"/>
      </w:pPr>
      <w:r>
        <w:t xml:space="preserve">The corpus-scale target stated in Section 4.3 and Section 18.6 (100M+ documents, sub-second retrieval) rests on three specific assumptions this monograph flags explicitly rather than treating as already validated: (1) that approximate nearest-neighbor index structures (HNSW-class) continue to provide sub-linear query latency at this corpus scale under the specific embedding dimensionality and index configuration in use — a property well-established in the vector-database literature generally but not independently re-benchmarked for this specific pipeline’s embedding and metadata-filtering combination; (2) that the per-tenant row-level security filtering of Section 17.3, applied at query time across a 100M-document index, does not itself become the dominant latency contributor as the number of tenants and the granularity of per-tenant filters grow; and (3) that the batch-ingestion path of Section 18.6 can sustain the required document-per-minute throughput using the stated 100–1,000 autoscaled worker range without the twelve-engine transformation stage (Section 5), run per-document at ingestion time, becoming the throughput bottleneck ahead of the storage-write stage. None of these three assumptions is contradicted by anything in this monograph’s correctness analysis, but none has been empirically validated at the stated scale either — we list them here as the specific scalability claims a load test at representative scale would need to confirm, distinct from the algorithmic correctness properties Section 11–12 have already confirmed at the unit level.</w:t>
      </w:r>
    </w:p>
    <w:bookmarkEnd w:id="166"/>
    <w:bookmarkEnd w:id="167"/>
    <w:bookmarkStart w:id="173" w:name="evaluation-protocol"/>
    <w:p>
      <w:pPr>
        <w:pStyle w:val="Heading2"/>
      </w:pPr>
      <w:r>
        <w:t xml:space="preserve">21. Evaluation Protocol</w:t>
      </w:r>
    </w:p>
    <w:bookmarkStart w:id="168" w:name="X4f5547031129c36239ceb99820d97c4bafe684f"/>
    <w:p>
      <w:pPr>
        <w:pStyle w:val="Heading3"/>
      </w:pPr>
      <w:r>
        <w:t xml:space="preserve">21.1 Why an Explicit Protocol, Stated but Not Yet Executed</w:t>
      </w:r>
    </w:p>
    <w:p>
      <w:pPr>
        <w:pStyle w:val="FirstParagraph"/>
      </w:pPr>
      <w:r>
        <w:t xml:space="preserve">Section 11’s unit- and component-level tests establish that individual algorithmic claims (acyclicity, determinism, knapsack optimality, approximation bounds) hold against synthetic and adversarial-but-synthetic inputs. They do not establish that the architecture’s end-to-end claims — improved grounding accuracy, reduced hallucination rate, the token- and latency-reduction targets of Table 5 — hold against real document-understanding workloads. This section specifies the protocol by which that empirical question should be answered, consistent with this monograph’s evidentiary-tagging commitment: the protocol below is proposed, not executed, and Section 23 lists its execution as the top-priority open item.</w:t>
      </w:r>
    </w:p>
    <w:bookmarkEnd w:id="168"/>
    <w:bookmarkStart w:id="169" w:name="benchmark-selection"/>
    <w:p>
      <w:pPr>
        <w:pStyle w:val="Heading3"/>
      </w:pPr>
      <w:r>
        <w:t xml:space="preserve">21.2 Benchmark Selection</w:t>
      </w:r>
    </w:p>
    <w:p>
      <w:pPr>
        <w:pStyle w:val="FirstParagraph"/>
      </w:pPr>
      <w:r>
        <w:t xml:space="preserve">Two established benchmarks are proposed, chosen specifically to stress-test the structural claims of Sections 6, 7, and 9 rather than to provide a generic RAG accuracy number:</w:t>
      </w:r>
      <w:r>
        <w:t xml:space="preserve"> </w:t>
      </w:r>
      <w:r>
        <w:rPr>
          <w:bCs/>
          <w:b/>
        </w:rPr>
        <w:t xml:space="preserve">DocVQA</w:t>
      </w:r>
      <w:r>
        <w:t xml:space="preserve"> </w:t>
      </w:r>
      <w:r>
        <w:t xml:space="preserve">(Mathew, Karatzas, &amp; Jawahar, 2021), which evaluates visual question answering directly over document images and is therefore a direct test of whether the spatial-graph reading-order recovery of Section 6 and the multimodal extensions of Section 12 improve grounding relative to a text-only baseline; and</w:t>
      </w:r>
      <w:r>
        <w:t xml:space="preserve"> </w:t>
      </w:r>
      <w:r>
        <w:rPr>
          <w:bCs/>
          <w:b/>
        </w:rPr>
        <w:t xml:space="preserve">TAT-QA</w:t>
      </w:r>
      <w:r>
        <w:t xml:space="preserve"> </w:t>
      </w:r>
      <w:r>
        <w:t xml:space="preserve">(Zhu et al., 2021), whose hybrid tabular-and-textual financial content is a direct stress test of the elastic chunker’s protected-type rule (Section 7.2) and the knapsack packer’s structural-preservation behavior (Section 9.1) — a naive top-k-truncation baseline is specifically expected to underperform on TAT-QA’s table-heavy questions precisely because it has no mechanism to avoid truncating a table mid-row.</w:t>
      </w:r>
    </w:p>
    <w:bookmarkEnd w:id="169"/>
    <w:bookmarkStart w:id="170" w:name="baseline-configurations"/>
    <w:p>
      <w:pPr>
        <w:pStyle w:val="Heading3"/>
      </w:pPr>
      <w:r>
        <w:t xml:space="preserve">21.3 Baseline Configurations</w:t>
      </w:r>
    </w:p>
    <w:p>
      <w:pPr>
        <w:pStyle w:val="FirstParagraph"/>
      </w:pPr>
      <w:r>
        <w:t xml:space="preserve">Three baselines are proposed for comparison against the full architecture: (1) a</w:t>
      </w:r>
      <w:r>
        <w:t xml:space="preserve"> </w:t>
      </w:r>
      <w:r>
        <w:rPr>
          <w:bCs/>
          <w:b/>
        </w:rPr>
        <w:t xml:space="preserve">naive-chunking baseline</w:t>
      </w:r>
      <w:r>
        <w:t xml:space="preserve"> </w:t>
      </w:r>
      <w:r>
        <w:t xml:space="preserve">— fixed-token-count chunking with no structural boundary awareness, combined with top-k-truncation context assembly — representing the standard commodity RAG configuration this monograph’s Section 1–3 motivation argues against; (2) a</w:t>
      </w:r>
      <w:r>
        <w:t xml:space="preserve"> </w:t>
      </w:r>
      <w:r>
        <w:rPr>
          <w:bCs/>
          <w:b/>
        </w:rPr>
        <w:t xml:space="preserve">pre-hardening baseline</w:t>
      </w:r>
      <w:r>
        <w:t xml:space="preserve"> </w:t>
      </w:r>
      <w:r>
        <w:t xml:space="preserve">— the original architecture as specified before the Section 11 defect fixes were applied, to directly quantify the accuracy and reliability impact of the four corrected defects rather than only asserting it qualitatively; and (3) the</w:t>
      </w:r>
      <w:r>
        <w:t xml:space="preserve"> </w:t>
      </w:r>
      <w:r>
        <w:rPr>
          <w:bCs/>
          <w:b/>
        </w:rPr>
        <w:t xml:space="preserve">full hardened architecture</w:t>
      </w:r>
      <w:r>
        <w:t xml:space="preserve"> </w:t>
      </w:r>
      <w:r>
        <w:t xml:space="preserve">described in this monograph, inclusive of the Section 12 multimodal extensions where the benchmark’s content type calls for them.</w:t>
      </w:r>
    </w:p>
    <w:bookmarkEnd w:id="170"/>
    <w:bookmarkStart w:id="171" w:name="proposed-metrics"/>
    <w:p>
      <w:pPr>
        <w:pStyle w:val="Heading3"/>
      </w:pPr>
      <w:r>
        <w:t xml:space="preserve">21.4 Proposed Metrics</w:t>
      </w:r>
    </w:p>
    <w:p>
      <w:pPr>
        <w:pStyle w:val="FirstParagraph"/>
      </w:pPr>
      <w:r>
        <w:t xml:space="preserve">Three metrics are proposed, corresponding to the three properties this architecture’s design specifically targets rather than to generic QA accuracy alone:</w:t>
      </w:r>
      <w:r>
        <w:t xml:space="preserve"> </w:t>
      </w:r>
      <w:r>
        <w:rPr>
          <w:bCs/>
          <w:b/>
        </w:rPr>
        <w:t xml:space="preserve">Structural Preservation Score (SPS)</w:t>
      </w:r>
      <w:r>
        <w:t xml:space="preserve"> </w:t>
      </w:r>
      <w:r>
        <w:t xml:space="preserve">— the fraction of ground-truth answer-supporting structural units (table rows, figure-caption pairs) that survive intact into the packed context, directly measuring whether Section 9’s packer is actually avoiding the mid-unit truncation failure mode motivating its design;</w:t>
      </w:r>
      <w:r>
        <w:t xml:space="preserve"> </w:t>
      </w:r>
      <w:r>
        <w:rPr>
          <w:bCs/>
          <w:b/>
        </w:rPr>
        <w:t xml:space="preserve">Token Efficiency Ratio (TER)</w:t>
      </w:r>
      <w:r>
        <w:t xml:space="preserve"> </w:t>
      </w:r>
      <w:r>
        <w:t xml:space="preserve">— realized token cost relative to the naive-chunking baseline’s token cost at matched answer accuracy, operationalizing the token-reduction claim of Table 5 as a controlled, accuracy-matched comparison rather than an unconditional reduction (which could otherwise be achieved trivially, and uninformatively, by simply retrieving less context at the cost of lower accuracy); and</w:t>
      </w:r>
      <w:r>
        <w:t xml:space="preserve"> </w:t>
      </w:r>
      <w:r>
        <w:rPr>
          <w:bCs/>
          <w:b/>
        </w:rPr>
        <w:t xml:space="preserve">Reading-order Hit rate at the M-th percentile (RHM)</w:t>
      </w:r>
      <w:r>
        <w:t xml:space="preserve"> </w:t>
      </w:r>
      <w:r>
        <w:t xml:space="preserve">— the fraction of multi-element ground-truth answers (answers whose supporting evidence spans multiple elements) for which the elements appear in the delivered context in an order matching Section 6’s recovered reading order, testing whether reading-order correctness (Theorem 6.1, Theorem 6.2) translates into a measurable downstream benefit rather than remaining a property verified only at the graph-construction level.</w:t>
      </w:r>
    </w:p>
    <w:bookmarkEnd w:id="171"/>
    <w:bookmarkStart w:id="172" w:name="reporting-standard"/>
    <w:p>
      <w:pPr>
        <w:pStyle w:val="Heading3"/>
      </w:pPr>
      <w:r>
        <w:t xml:space="preserve">21.5 Reporting Standard</w:t>
      </w:r>
    </w:p>
    <w:p>
      <w:pPr>
        <w:pStyle w:val="FirstParagraph"/>
      </w:pPr>
      <w:r>
        <w:t xml:space="preserve">Consistent with Section 21.1’s framing, any future report of results under this protocol should report SPS, TER, and RHM for all three baseline configurations of Section 21.3 side by side, on both benchmarks of Section 21.2, together with the confidence-scoring and consistency-checking diagnostics of Section 19.3 — allowing a reader to distinguish an improvement attributable specifically to the Section 11 defect fixes (baseline 2 vs. baseline 3) from an improvement attributable to the structural architecture generally (baseline 1 vs. baseline 3), a distinction this monograph considers important enough to specify in the protocol itself rather than leaving to post-hoc analysis.</w:t>
      </w:r>
    </w:p>
    <w:bookmarkEnd w:id="172"/>
    <w:bookmarkEnd w:id="173"/>
    <w:bookmarkStart w:id="179" w:name="threats-to-validity"/>
    <w:p>
      <w:pPr>
        <w:pStyle w:val="Heading2"/>
      </w:pPr>
      <w:r>
        <w:t xml:space="preserve">22. Threats to Validity</w:t>
      </w:r>
    </w:p>
    <w:bookmarkStart w:id="174" w:name="X263b851611f67b1027c32bbd05aa12188b5b45e"/>
    <w:p>
      <w:pPr>
        <w:pStyle w:val="Heading3"/>
      </w:pPr>
      <w:r>
        <w:t xml:space="preserve">22.1 Internal Validity: Synthetic Test Coverage</w:t>
      </w:r>
    </w:p>
    <w:p>
      <w:pPr>
        <w:pStyle w:val="FirstParagraph"/>
      </w:pPr>
      <w:r>
        <w:t xml:space="preserve">Every correctness claim in Section 11 and Section 12 is verified against synthetic instances — dense grids, path graphs, small-N brute-forceable knapsack instances, block-diagonal affinity matrices constructed to have known cluster structure. Synthetic instances are the appropriate tool for verifying an algorithm’s mathematical properties in isolation (acyclicity, optimality, approximation bounds), and this monograph makes no claim beyond that scope for them: a synthetic 4×4 dense grid confirms Kahn’s-algorithm termination under same-row-tie adversarial conditions, but it does not confirm that the geometric adjacency function’s specific α, β, γ weighting (Section 6.2) correctly discriminates real multi-column layouts from real single-column layouts with irregular paragraph spacing. That latter question is an empirical one, addressed by Section 21’s protocol, not by Section 11’s unit tests, and the two should not be conflated when interpreting this monograph’s evidentiary claims.</w:t>
      </w:r>
    </w:p>
    <w:bookmarkEnd w:id="174"/>
    <w:bookmarkStart w:id="175" w:name="Xc69ef3f7623af8e1da913c79efd2f20b4f662bf"/>
    <w:p>
      <w:pPr>
        <w:pStyle w:val="Heading3"/>
      </w:pPr>
      <w:r>
        <w:t xml:space="preserve">22.2 External Validity: The Reference Implementation vs. the Stated Production Topology</w:t>
      </w:r>
    </w:p>
    <w:p>
      <w:pPr>
        <w:pStyle w:val="FirstParagraph"/>
      </w:pPr>
      <w:r>
        <w:t xml:space="preserve">Section 4.3 states an intended production topology (distributed microservices, a specific polyglot persistence layer, a 100M-document scale target) that the reference implementation accompanying this monograph does not itself fully instantiate; the reference implementation exercises the mathematical core of Sections 5–12 directly. Findings from the reference implementation’s unit and component tests should not be assumed to transfer unchanged to the distributed production topology without the additional validation Section 20.3 specifies (index latency at scale, cross-tenant filtering overhead, ingestion throughput under the batch path of Section 18.6).</w:t>
      </w:r>
    </w:p>
    <w:bookmarkEnd w:id="175"/>
    <w:bookmarkStart w:id="176" w:name="X79d290b4cf9e9407273577f63c01f8677de9e2c"/>
    <w:p>
      <w:pPr>
        <w:pStyle w:val="Heading3"/>
      </w:pPr>
      <w:r>
        <w:t xml:space="preserve">22.3 Construct Validity: What</w:t>
      </w:r>
      <w:r>
        <w:t xml:space="preserve"> </w:t>
      </w:r>
      <w:r>
        <w:t xml:space="preserve">“</w:t>
      </w:r>
      <w:r>
        <w:t xml:space="preserve">Structural Correctness</w:t>
      </w:r>
      <w:r>
        <w:t xml:space="preserve">”</w:t>
      </w:r>
      <w:r>
        <w:t xml:space="preserve"> </w:t>
      </w:r>
      <w:r>
        <w:t xml:space="preserve">Does and Does Not Guarantee</w:t>
      </w:r>
    </w:p>
    <w:p>
      <w:pPr>
        <w:pStyle w:val="FirstParagraph"/>
      </w:pPr>
      <w:r>
        <w:t xml:space="preserve">Sections 6, 7, and 9 establish structural guarantees — an acyclic and deterministic reading order, a chunking policy that respects protected structural boundaries, a provably optimal or provably-bounded context selection. None of these guarantees is a guarantee about the</w:t>
      </w:r>
      <w:r>
        <w:t xml:space="preserve"> </w:t>
      </w:r>
      <w:r>
        <w:rPr>
          <w:iCs/>
          <w:i/>
        </w:rPr>
        <w:t xml:space="preserve">semantic</w:t>
      </w:r>
      <w:r>
        <w:t xml:space="preserve"> </w:t>
      </w:r>
      <w:r>
        <w:t xml:space="preserve">correctness of what is selected: a knapsack packer can select the value-maximizing subset of chunks under a correct value function and still deliver a poor answer if the underlying value function (Section 8.2) itself misjudges which chunks are actually relevant to the query — that misjudgment would be a retrieval-quality failure, not a packing-correctness failure, and Section 21’s protocol is designed specifically to distinguish the two failure classes rather than let a downstream accuracy shortfall be misattributed to (or, just as problematic, wrongly excused by) the packer’s separately-verified optimality property.</w:t>
      </w:r>
    </w:p>
    <w:bookmarkEnd w:id="176"/>
    <w:bookmarkStart w:id="177" w:name="encoder-maturity-as-a-confound"/>
    <w:p>
      <w:pPr>
        <w:pStyle w:val="Heading3"/>
      </w:pPr>
      <w:r>
        <w:t xml:space="preserve">22.4 Encoder Maturity as a Confound</w:t>
      </w:r>
    </w:p>
    <w:p>
      <w:pPr>
        <w:pStyle w:val="FirstParagraph"/>
      </w:pPr>
      <w:r>
        <w:t xml:space="preserve">Section 12.3 and Section 12.7’s semantic and multimodal encoders are reported as structurally verified but semantically untrained. Any future end-to-end evaluation under Section 21’s protocol that uses these encoders in their current state will be measuring the architecture’s structural-correctness contribution</w:t>
      </w:r>
      <w:r>
        <w:t xml:space="preserve"> </w:t>
      </w:r>
      <w:r>
        <w:rPr>
          <w:iCs/>
          <w:i/>
        </w:rPr>
        <w:t xml:space="preserve">confounded with</w:t>
      </w:r>
      <w:r>
        <w:t xml:space="preserve"> </w:t>
      </w:r>
      <w:r>
        <w:t xml:space="preserve">an under-trained encoder’s retrieval-quality ceiling — a confound that should be controlled for, ideally by re-running the evaluation protocol once the trained LayoutLMv3-class and image/flowchart encoders proposed in Section 23 are substituted in, so that a reader can separate</w:t>
      </w:r>
      <w:r>
        <w:t xml:space="preserve"> </w:t>
      </w:r>
      <w:r>
        <w:t xml:space="preserve">“</w:t>
      </w:r>
      <w:r>
        <w:t xml:space="preserve">the architecture’s structural design is insufficient</w:t>
      </w:r>
      <w:r>
        <w:t xml:space="preserve">”</w:t>
      </w:r>
      <w:r>
        <w:t xml:space="preserve"> </w:t>
      </w:r>
      <w:r>
        <w:t xml:space="preserve">from</w:t>
      </w:r>
      <w:r>
        <w:t xml:space="preserve"> </w:t>
      </w:r>
      <w:r>
        <w:t xml:space="preserve">“</w:t>
      </w:r>
      <w:r>
        <w:t xml:space="preserve">the currently-wired encoder is insufficiently trained</w:t>
      </w:r>
      <w:r>
        <w:t xml:space="preserve">”</w:t>
      </w:r>
      <w:r>
        <w:t xml:space="preserve"> </w:t>
      </w:r>
      <w:r>
        <w:t xml:space="preserve">as distinct possible explanations for any shortfall observed.</w:t>
      </w:r>
    </w:p>
    <w:bookmarkEnd w:id="177"/>
    <w:bookmarkStart w:id="178" w:name="author-independence"/>
    <w:p>
      <w:pPr>
        <w:pStyle w:val="Heading3"/>
      </w:pPr>
      <w:r>
        <w:t xml:space="preserve">22.5 Author Independence</w:t>
      </w:r>
    </w:p>
    <w:p>
      <w:pPr>
        <w:pStyle w:val="FirstParagraph"/>
      </w:pPr>
      <w:r>
        <w:t xml:space="preserve">This monograph’s implementation, hardening, and correctness analysis were produced by the same overall effort responsible for the original architectural proposal it hardens, using an AI research collaborator in both roles. We flag this as a threat to validity in the ordinary academic sense: the defect-finding process in Section 11 was not conducted by an independent, adversarially-motivated third party, and while the specific tests reported (brute-force cross-checks, dense-grid stress tests, forced-fallback tests) are individually reproducible and their pass/fail outcomes are checkable by any reader who runs them, independent replication — ideally by a party with no stake in the architecture’s original proposal — would materially strengthen confidence in both the defect-finding process’s thoroughness and the fixes’ correctness beyond what self-reported internal testing can establish on its own.</w:t>
      </w:r>
    </w:p>
    <w:bookmarkEnd w:id="178"/>
    <w:bookmarkEnd w:id="179"/>
    <w:bookmarkStart w:id="180" w:name="future-work"/>
    <w:p>
      <w:pPr>
        <w:pStyle w:val="Heading2"/>
      </w:pPr>
      <w:r>
        <w:t xml:space="preserve">23. Future Work</w:t>
      </w:r>
    </w:p>
    <w:p>
      <w:pPr>
        <w:pStyle w:val="FirstParagraph"/>
      </w:pPr>
      <w:r>
        <w:t xml:space="preserve">The following items are listed in the order in which we would prioritize them, given the threats-to-validity analysis of Section 22 — empirical validation first, since it is the precondition for interpreting most of the items after it:</w:t>
      </w:r>
    </w:p>
    <w:p>
      <w:pPr>
        <w:numPr>
          <w:ilvl w:val="0"/>
          <w:numId w:val="1011"/>
        </w:numPr>
      </w:pPr>
      <w:r>
        <w:rPr>
          <w:bCs/>
          <w:b/>
        </w:rPr>
        <w:t xml:space="preserve">Execute the Section 21 evaluation protocol.</w:t>
      </w:r>
      <w:r>
        <w:t xml:space="preserve"> </w:t>
      </w:r>
      <w:r>
        <w:t xml:space="preserve">Run the DocVQA and TAT-QA benchmark protocol against all three baseline configurations of Section 21.3, and report Structural Preservation Score, Token Efficiency Ratio, and Reading-order Hit rate as specified in Section 21.4–21.5. This is the single highest-priority item: every other item on this list is easier to interpret correctly once this baseline empirical picture exists.</w:t>
      </w:r>
    </w:p>
    <w:p>
      <w:pPr>
        <w:numPr>
          <w:ilvl w:val="0"/>
          <w:numId w:val="1011"/>
        </w:numPr>
      </w:pPr>
      <w:r>
        <w:rPr>
          <w:bCs/>
          <w:b/>
        </w:rPr>
        <w:t xml:space="preserve">Replace the mock semantic encoder with a trained LayoutLMv3-class model</w:t>
      </w:r>
      <w:r>
        <w:t xml:space="preserve">, integrated via the spatial-feature augmentation h_i = LayerNorm(e_text(v_i) + e_2D_bbox(b_i)) specified in Section 5.6 and Section 8.1, and replace the structurally-verified-but-untrained image and flowchart encoders of Section 12.3 with trained models sharing the same embedding space — directly addressing the encoder-maturity confound identified in Section 22.4.</w:t>
      </w:r>
    </w:p>
    <w:p>
      <w:pPr>
        <w:numPr>
          <w:ilvl w:val="0"/>
          <w:numId w:val="1011"/>
        </w:numPr>
      </w:pPr>
      <w:r>
        <w:rPr>
          <w:bCs/>
          <w:b/>
        </w:rPr>
        <w:t xml:space="preserve">Replace the O(N·C)-memory backtracking knapsack reconstruction</w:t>
      </w:r>
      <w:r>
        <w:t xml:space="preserve"> </w:t>
      </w:r>
      <w:r>
        <w:t xml:space="preserve">(both the single-choice solver of Section 9.2 and the multi-choice solver of Section 12.1) with a divide-and-conquer reconstruction variant, which removes the memory ceiling that currently motivates the max_dp_cells guard of Section 11.4 while preserving the DP recurrence’s exactness — allowing the exact solver to remain the primary path at token-budget and candidate-pool scales where it currently falls back to the bounded-suboptimal greedy path of Section 9.3.</w:t>
      </w:r>
    </w:p>
    <w:p>
      <w:pPr>
        <w:numPr>
          <w:ilvl w:val="0"/>
          <w:numId w:val="1011"/>
        </w:numPr>
      </w:pPr>
      <w:r>
        <w:rPr>
          <w:bCs/>
          <w:b/>
        </w:rPr>
        <w:t xml:space="preserve">Add spatial indexing</w:t>
      </w:r>
      <w:r>
        <w:t xml:space="preserve"> </w:t>
      </w:r>
      <w:r>
        <w:t xml:space="preserve">(grid bucketing or an R-tree over element bounding boxes) to the spatial-graph construction of Section 6.2, reducing candidate-edge evaluation from O(n²) toward O(n log n) for the dense-page regime flagged in Section 20.1 as the current implementation’s principal unaddressed scaling limit.</w:t>
      </w:r>
    </w:p>
    <w:p>
      <w:pPr>
        <w:numPr>
          <w:ilvl w:val="0"/>
          <w:numId w:val="1011"/>
        </w:numPr>
      </w:pPr>
      <w:r>
        <w:rPr>
          <w:bCs/>
          <w:b/>
        </w:rPr>
        <w:t xml:space="preserve">Extend reading-order construction with an explicit multi-script mode</w:t>
      </w:r>
      <w:r>
        <w:t xml:space="preserve"> </w:t>
      </w:r>
      <w:r>
        <w:t xml:space="preserve">— right-to-left and vertical-text reading flows — rather than the current implementation’s assumption of a single fixed reading-flow angle θ_flow (Section 6.2), which is correct for left-to-right horizontal scripts but not for the full range of scripts an internationally-deployed document intelligence system would need to handle correctly.</w:t>
      </w:r>
    </w:p>
    <w:p>
      <w:pPr>
        <w:numPr>
          <w:ilvl w:val="0"/>
          <w:numId w:val="1011"/>
        </w:numPr>
      </w:pPr>
      <w:r>
        <w:rPr>
          <w:bCs/>
          <w:b/>
        </w:rPr>
        <w:t xml:space="preserve">Extend the SVG flowchart parser</w:t>
      </w:r>
      <w:r>
        <w:t xml:space="preserve"> </w:t>
      </w:r>
      <w:r>
        <w:t xml:space="preserve">(Section 12.3) to cover arc and quadratic Bézier path commands, which are currently skipped rather than parsed — a gap that specifically degrades flowchart-encoder input fidelity for diagrams using curved connectors rather than straight-line ones.</w:t>
      </w:r>
    </w:p>
    <w:p>
      <w:pPr>
        <w:numPr>
          <w:ilvl w:val="0"/>
          <w:numId w:val="1011"/>
        </w:numPr>
      </w:pPr>
      <w:r>
        <w:rPr>
          <w:bCs/>
          <w:b/>
        </w:rPr>
        <w:t xml:space="preserve">Evaluate the remaining candidate mathematical tools not adopted in this pass</w:t>
      </w:r>
      <w:r>
        <w:t xml:space="preserve">, each against a concrete, unit-testable correctness criterion before inclusion — following the same standard applied throughout Section 11 and Section 12 — rather than adopting any of them on the strength of their mathematical elegance alone: persistent homology / topological data analysis (the Topology Engine of Section 5.4, currently unhardened) for tabular-grid detection without relying on detected ruling lines; Riemannian manifold metric tensors for curvilinear text-flow distance, relevant to documents with non-rectilinear layouts (e.g., wrapped text around a circular figure); Von Neumann spectral entropy and Wasserstein/optimal-transport distances as alternative chunking-boundary signals to the font-delta and gap heuristics of Section 7.2; Pareto-frontier multi-objective search and Markov Decision Process formulations as alternatives to the scalar-weighted master objective of Section 9.4 for multi-turn agent loops, where a single scalar trade-off between cost and quality may be a less natural fit than an explicit multi-objective or sequential-decision formulation; and Dirichlet process mixture models for query clustering, as a nonparametric alternative to the fixed-cardinality fusion-weight vector of Section 5.7 when the number of distinct</w:t>
      </w:r>
      <w:r>
        <w:t xml:space="preserve"> </w:t>
      </w:r>
      <w:r>
        <w:t xml:space="preserve">“</w:t>
      </w:r>
      <w:r>
        <w:t xml:space="preserve">query types</w:t>
      </w:r>
      <w:r>
        <w:t xml:space="preserve">”</w:t>
      </w:r>
      <w:r>
        <w:t xml:space="preserve"> </w:t>
      </w:r>
      <w:r>
        <w:t xml:space="preserve">a deployment encounters is not known in advance.</w:t>
      </w:r>
    </w:p>
    <w:p>
      <w:pPr>
        <w:numPr>
          <w:ilvl w:val="0"/>
          <w:numId w:val="1011"/>
        </w:numPr>
      </w:pPr>
      <w:r>
        <w:rPr>
          <w:bCs/>
          <w:b/>
        </w:rPr>
        <w:t xml:space="preserve">Independent replication of the Section 11 correctness analysis</w:t>
      </w:r>
      <w:r>
        <w:t xml:space="preserve">, per the author-independence threat identified in Section 22.5 — ideally including an adversarial replication attempt specifically aimed at finding a fifth defect class this monograph’s own testing process did not surface.</w:t>
      </w:r>
    </w:p>
    <w:bookmarkEnd w:id="180"/>
    <w:bookmarkStart w:id="181" w:name="conclusion"/>
    <w:p>
      <w:pPr>
        <w:pStyle w:val="Heading2"/>
      </w:pPr>
      <w:r>
        <w:t xml:space="preserve">24. Conclusion</w:t>
      </w:r>
    </w:p>
    <w:p>
      <w:pPr>
        <w:pStyle w:val="FirstParagraph"/>
      </w:pPr>
      <w:r>
        <w:t xml:space="preserve">Moving document analysis from crude text linearization to disciplined, synchronized mathematical mapping is a substantive step for enterprise AI pipelines — but the gap between a conceptual architecture and a correct implementation is not cosmetic, and this monograph’s central contribution is the demonstration, not merely the assertion, of that gap. Three of the four defects identified in Section 11 — non-deterministic reading order under adversarial same-row layouts, an unimplemented chunking stage described only in prose, and an unbounded-memory packing solver silently capable of consuming tens of gigabytes on realistic corpus-and-context-window scales — would have shipped without detection in a system evaluated only by inspection of its governing equations and a single hand-built example, precisely because none of the three is visible at the equation level; each lives specifically in the gap between an equation and a tested implementation of it, as argued in Section 11.7.</w:t>
      </w:r>
    </w:p>
    <w:p>
      <w:pPr>
        <w:pStyle w:val="BodyText"/>
      </w:pPr>
      <w:r>
        <w:t xml:space="preserve">Section 12 extended the same evidentiary discipline to multi-modal assets and large-scale allocation: context packing was generalized from single-choice to multi-choice selection with an exact dynamic-programming solver verified against brute force, a genuinely distinct Lagrangian relaxation method replaced a heuristic an external draft had mislabeled as one, and a plausible-sounding spectral reading-order design was evaluated on its actual mathematical properties, found unsound for the specific task of sequencing, and explicitly rejected rather than silently adopted or silently omitted. Sections 13 through 19 situated these three hardened stages inside the full operating-system context — adaptive routing, a two-axis memory architecture, seven-method hybrid retrieval, token-economy accounting, production workflows, security, and observability — in which they are designed to run, and Sections 20 through 22 gave that full picture an explicit complexity analysis, evaluation protocol, and threats-to-validity treatment rather than leaving any of the three implicit.</w:t>
      </w:r>
    </w:p>
    <w:p>
      <w:pPr>
        <w:pStyle w:val="BodyText"/>
      </w:pPr>
      <w:r>
        <w:t xml:space="preserve">The reference implementation accompanying this monograph closes the specific gaps Section 11 identifies: reading order is acyclic by construction and deterministic by Theorem 6.1 and Theorem 6.2, not merely by the absence of a counterexample; chunking is a tested rule-based implementation rather than a prose description; context packing is exact within a declared and enforced memory bound across both single- and multi-tier multimodal assets, with an explicit approximation-quality guarantee (Theorem 9.1) on the path taken when that bound is exceeded; and every claimed optimization in Sections 6 through 13 carries either a passing test against a known-good baseline (brute force, a synthetic instance with known ground truth, a controlled convergence simulation) or an explicit, undisguised limitation, as in the case of the structurally-verified-but-untrained multimodal encoders of Section 12.3 and Section 12.7.</w:t>
      </w:r>
    </w:p>
    <w:p>
      <w:pPr>
        <w:pStyle w:val="BodyText"/>
      </w:pPr>
      <w:r>
        <w:t xml:space="preserve">What remains open is empirical, not architectural. The benchmark protocol specified in Section 21, and the trained-encoder replacement specified as the second priority in Section 23, are the necessary next steps to establish whether the structural guarantees this monograph has proven — acyclicity, determinism, optimality, bounded approximation — translate into the measurable gains in grounding accuracy and token efficiency that motivated the architecture’s original design in Section 1. A structurally correct system that has not yet been measured against a real document-understanding workload is a necessary foundation for that measurement, not a substitute for it, and this monograph has been written throughout to keep that distinction visible rather than to let a proven mathematical property stand in, rhetorically, for an empirical claim it does not by itself establish.</w:t>
      </w:r>
    </w:p>
    <w:bookmarkEnd w:id="181"/>
    <w:bookmarkStart w:id="182" w:name="references"/>
    <w:p>
      <w:pPr>
        <w:pStyle w:val="Heading2"/>
      </w:pPr>
      <w:r>
        <w:t xml:space="preserve">References</w:t>
      </w:r>
    </w:p>
    <w:p>
      <w:pPr>
        <w:pStyle w:val="FirstParagraph"/>
      </w:pPr>
      <w:r>
        <w:t xml:space="preserve">Fisher, M. L. (1981). The Lagrangian Relaxation Method for Solving Integer Programming Problems.</w:t>
      </w:r>
      <w:r>
        <w:t xml:space="preserve"> </w:t>
      </w:r>
      <w:r>
        <w:rPr>
          <w:iCs/>
          <w:i/>
        </w:rPr>
        <w:t xml:space="preserve">Management Science</w:t>
      </w:r>
      <w:r>
        <w:t xml:space="preserve">, 27(1).</w:t>
      </w:r>
    </w:p>
    <w:p>
      <w:pPr>
        <w:pStyle w:val="BodyText"/>
      </w:pPr>
      <w:r>
        <w:t xml:space="preserve">Huang, Y., Lv, T., Cui, L., Lu, Y., &amp; Wei, F. (2022). LayoutLMv3: Pre-training for Document AI with Unified Text and Image Masking.</w:t>
      </w:r>
    </w:p>
    <w:p>
      <w:pPr>
        <w:pStyle w:val="BodyText"/>
      </w:pPr>
      <w:r>
        <w:t xml:space="preserve">Kellerer, H., Pferschy, U., &amp; Pisinger, D. (2004).</w:t>
      </w:r>
      <w:r>
        <w:t xml:space="preserve"> </w:t>
      </w:r>
      <w:r>
        <w:rPr>
          <w:iCs/>
          <w:i/>
        </w:rPr>
        <w:t xml:space="preserve">Knapsack Problems</w:t>
      </w:r>
      <w:r>
        <w:t xml:space="preserve">. Springer.</w:t>
      </w:r>
    </w:p>
    <w:p>
      <w:pPr>
        <w:pStyle w:val="BodyText"/>
      </w:pPr>
      <w:r>
        <w:t xml:space="preserve">Kipf, T. N., &amp; Welling, M. (2017). Semi-Supervised Classification with Graph Convolutional Networks.</w:t>
      </w:r>
      <w:r>
        <w:t xml:space="preserve"> </w:t>
      </w:r>
      <w:r>
        <w:rPr>
          <w:iCs/>
          <w:i/>
        </w:rPr>
        <w:t xml:space="preserve">ICLR 2017</w:t>
      </w:r>
      <w:r>
        <w:t xml:space="preserve">.</w:t>
      </w:r>
    </w:p>
    <w:p>
      <w:pPr>
        <w:pStyle w:val="BodyText"/>
      </w:pPr>
      <w:r>
        <w:t xml:space="preserve">Li, L., Chu, W., Langford, J., &amp; Schapire, R. E. (2010). A Contextual-Bandit Approach to Personalized News Article Recommendation.</w:t>
      </w:r>
      <w:r>
        <w:t xml:space="preserve"> </w:t>
      </w:r>
      <w:r>
        <w:rPr>
          <w:iCs/>
          <w:i/>
        </w:rPr>
        <w:t xml:space="preserve">Proceedings of WWW 2010</w:t>
      </w:r>
      <w:r>
        <w:t xml:space="preserve">.</w:t>
      </w:r>
    </w:p>
    <w:p>
      <w:pPr>
        <w:pStyle w:val="BodyText"/>
      </w:pPr>
      <w:r>
        <w:t xml:space="preserve">Lin, J. (1991). Divergence Measures Based on the Shannon Entropy.</w:t>
      </w:r>
      <w:r>
        <w:t xml:space="preserve"> </w:t>
      </w:r>
      <w:r>
        <w:rPr>
          <w:iCs/>
          <w:i/>
        </w:rPr>
        <w:t xml:space="preserve">IEEE Transactions on Information Theory</w:t>
      </w:r>
      <w:r>
        <w:t xml:space="preserve">, 37(1).</w:t>
      </w:r>
    </w:p>
    <w:p>
      <w:pPr>
        <w:pStyle w:val="BodyText"/>
      </w:pPr>
      <w:r>
        <w:t xml:space="preserve">Mathew, M., Karatzas, D., &amp; Jawahar, C. V. (2021). DocVQA: A Dataset for VQA on Document Images.</w:t>
      </w:r>
    </w:p>
    <w:p>
      <w:pPr>
        <w:pStyle w:val="BodyText"/>
      </w:pPr>
      <w:r>
        <w:t xml:space="preserve">Radford, A., Kim, J. W., Hallacy, C., et al. (2021). Learning Transferable Visual Models From Natural Language Supervision (CLIP).</w:t>
      </w:r>
    </w:p>
    <w:p>
      <w:pPr>
        <w:pStyle w:val="BodyText"/>
      </w:pPr>
      <w:r>
        <w:t xml:space="preserve">Von Luxburg, U. (2007). A Tutorial on Spectral Clustering.</w:t>
      </w:r>
      <w:r>
        <w:t xml:space="preserve"> </w:t>
      </w:r>
      <w:r>
        <w:rPr>
          <w:iCs/>
          <w:i/>
        </w:rPr>
        <w:t xml:space="preserve">Statistics and Computing</w:t>
      </w:r>
      <w:r>
        <w:t xml:space="preserve">, 17(4).</w:t>
      </w:r>
    </w:p>
    <w:p>
      <w:pPr>
        <w:pStyle w:val="BodyText"/>
      </w:pPr>
      <w:r>
        <w:t xml:space="preserve">Zhu, F., Lei, W., Huang, Y., Wang, C., Zhang, S., Lv, J., Feng, F., &amp; Chua, T.-S. (2021). TAT-QA: A Question Answering Benchmark on a Hybrid of Tabular and Textual Content in Finance.</w:t>
      </w:r>
    </w:p>
    <w:bookmarkEnd w:id="182"/>
    <w:bookmarkStart w:id="183" w:name="appendix-a-glossary-of-symbols"/>
    <w:p>
      <w:pPr>
        <w:pStyle w:val="Heading2"/>
      </w:pPr>
      <w:r>
        <w:t xml:space="preserve">Appendix A — Glossary of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First defined</w:t>
            </w:r>
          </w:p>
        </w:tc>
      </w:tr>
      <w:tr>
        <w:tc>
          <w:tcPr/>
          <w:p>
            <w:pPr>
              <w:pStyle w:val="Compact"/>
              <w:jc w:val="left"/>
            </w:pPr>
            <w:r>
              <w:t xml:space="preserve">D</w:t>
            </w:r>
          </w:p>
        </w:tc>
        <w:tc>
          <w:tcPr/>
          <w:p>
            <w:pPr>
              <w:pStyle w:val="Compact"/>
              <w:jc w:val="left"/>
            </w:pPr>
            <w:r>
              <w:t xml:space="preserve">Master document 10-tuple (P,S,G,R,F,M,T,X,H,E)</w:t>
            </w:r>
          </w:p>
        </w:tc>
        <w:tc>
          <w:tcPr/>
          <w:p>
            <w:pPr>
              <w:pStyle w:val="Compact"/>
              <w:jc w:val="left"/>
            </w:pPr>
            <w:r>
              <w:t xml:space="preserve">Section 5.1</w:t>
            </w:r>
          </w:p>
        </w:tc>
      </w:tr>
      <w:tr>
        <w:tc>
          <w:tcPr/>
          <w:p>
            <w:pPr>
              <w:pStyle w:val="Compact"/>
              <w:jc w:val="left"/>
            </w:pPr>
            <w:r>
              <w:t xml:space="preserve">E_i</w:t>
            </w:r>
          </w:p>
        </w:tc>
        <w:tc>
          <w:tcPr/>
          <w:p>
            <w:pPr>
              <w:pStyle w:val="Compact"/>
              <w:jc w:val="left"/>
            </w:pPr>
            <w:r>
              <w:t xml:space="preserve">Element 8-tuple (x,y,w,h,p,θ,t,c)</w:t>
            </w:r>
          </w:p>
        </w:tc>
        <w:tc>
          <w:tcPr/>
          <w:p>
            <w:pPr>
              <w:pStyle w:val="Compact"/>
              <w:jc w:val="left"/>
            </w:pPr>
            <w:r>
              <w:t xml:space="preserve">Section 5.2</w:t>
            </w:r>
          </w:p>
        </w:tc>
      </w:tr>
      <w:tr>
        <w:tc>
          <w:tcPr/>
          <w:p>
            <w:pPr>
              <w:pStyle w:val="Compact"/>
              <w:jc w:val="left"/>
            </w:pPr>
            <w:r>
              <w:t xml:space="preserve">x̃, ỹ, w̃, h̃</w:t>
            </w:r>
          </w:p>
        </w:tc>
        <w:tc>
          <w:tcPr/>
          <w:p>
            <w:pPr>
              <w:pStyle w:val="Compact"/>
              <w:jc w:val="left"/>
            </w:pPr>
            <w:r>
              <w:t xml:space="preserve">Normalized bounding-box coordinates</w:t>
            </w:r>
          </w:p>
        </w:tc>
        <w:tc>
          <w:tcPr/>
          <w:p>
            <w:pPr>
              <w:pStyle w:val="Compact"/>
              <w:jc w:val="left"/>
            </w:pPr>
            <w:r>
              <w:t xml:space="preserve">Section 5.3</w:t>
            </w:r>
          </w:p>
        </w:tc>
      </w:tr>
      <w:tr>
        <w:tc>
          <w:tcPr/>
          <w:p>
            <w:pPr>
              <w:pStyle w:val="Compact"/>
              <w:jc w:val="left"/>
            </w:pPr>
            <w:r>
              <w:t xml:space="preserve">d_ij / D(b_i,b_j)</w:t>
            </w:r>
          </w:p>
        </w:tc>
        <w:tc>
          <w:tcPr/>
          <w:p>
            <w:pPr>
              <w:pStyle w:val="Compact"/>
              <w:jc w:val="left"/>
            </w:pPr>
            <w:r>
              <w:t xml:space="preserve">Boundary-to-boundary Euclidean distance</w:t>
            </w:r>
          </w:p>
        </w:tc>
        <w:tc>
          <w:tcPr/>
          <w:p>
            <w:pPr>
              <w:pStyle w:val="Compact"/>
              <w:jc w:val="left"/>
            </w:pPr>
            <w:r>
              <w:t xml:space="preserve">Section 5.3, 6.2</w:t>
            </w:r>
          </w:p>
        </w:tc>
      </w:tr>
      <w:tr>
        <w:tc>
          <w:tcPr/>
          <w:p>
            <w:pPr>
              <w:pStyle w:val="Compact"/>
              <w:jc w:val="left"/>
            </w:pPr>
            <w:r>
              <w:t xml:space="preserve">θ_ij, θ_flow</w:t>
            </w:r>
          </w:p>
        </w:tc>
        <w:tc>
          <w:tcPr/>
          <w:p>
            <w:pPr>
              <w:pStyle w:val="Compact"/>
              <w:jc w:val="left"/>
            </w:pPr>
            <w:r>
              <w:t xml:space="preserve">Angular orientation between elements; natural reading-flow angle</w:t>
            </w:r>
          </w:p>
        </w:tc>
        <w:tc>
          <w:tcPr/>
          <w:p>
            <w:pPr>
              <w:pStyle w:val="Compact"/>
              <w:jc w:val="left"/>
            </w:pPr>
            <w:r>
              <w:t xml:space="preserve">Section 6.2</w:t>
            </w:r>
          </w:p>
        </w:tc>
      </w:tr>
      <w:tr>
        <w:tc>
          <w:tcPr/>
          <w:p>
            <w:pPr>
              <w:pStyle w:val="Compact"/>
              <w:jc w:val="left"/>
            </w:pPr>
            <w:r>
              <w:t xml:space="preserve">Φ_ij</w:t>
            </w:r>
          </w:p>
        </w:tc>
        <w:tc>
          <w:tcPr/>
          <w:p>
            <w:pPr>
              <w:pStyle w:val="Compact"/>
              <w:jc w:val="left"/>
            </w:pPr>
            <w:r>
              <w:t xml:space="preserve">Horizontal overlap coefficient</w:t>
            </w:r>
          </w:p>
        </w:tc>
        <w:tc>
          <w:tcPr/>
          <w:p>
            <w:pPr>
              <w:pStyle w:val="Compact"/>
              <w:jc w:val="left"/>
            </w:pPr>
            <w:r>
              <w:t xml:space="preserve">Section 6.2</w:t>
            </w:r>
          </w:p>
        </w:tc>
      </w:tr>
      <w:tr>
        <w:tc>
          <w:tcPr/>
          <w:p>
            <w:pPr>
              <w:pStyle w:val="Compact"/>
              <w:jc w:val="left"/>
            </w:pPr>
            <w:r>
              <w:t xml:space="preserve">A_ij</w:t>
            </w:r>
          </w:p>
        </w:tc>
        <w:tc>
          <w:tcPr/>
          <w:p>
            <w:pPr>
              <w:pStyle w:val="Compact"/>
              <w:jc w:val="left"/>
            </w:pPr>
            <w:r>
              <w:t xml:space="preserve">Spatial adjacency edge-weight matrix</w:t>
            </w:r>
          </w:p>
        </w:tc>
        <w:tc>
          <w:tcPr/>
          <w:p>
            <w:pPr>
              <w:pStyle w:val="Compact"/>
              <w:jc w:val="left"/>
            </w:pPr>
            <w:r>
              <w:t xml:space="preserve">Section 6.2</w:t>
            </w:r>
          </w:p>
        </w:tc>
      </w:tr>
      <w:tr>
        <w:tc>
          <w:tcPr/>
          <w:p>
            <w:pPr>
              <w:pStyle w:val="Compact"/>
              <w:jc w:val="left"/>
            </w:pPr>
            <w:r>
              <w:t xml:space="preserve">G = (V,E)</w:t>
            </w:r>
          </w:p>
        </w:tc>
        <w:tc>
          <w:tcPr/>
          <w:p>
            <w:pPr>
              <w:pStyle w:val="Compact"/>
              <w:jc w:val="left"/>
            </w:pPr>
            <w:r>
              <w:t xml:space="preserve">Directed spatial / reading-order graph</w:t>
            </w:r>
          </w:p>
        </w:tc>
        <w:tc>
          <w:tcPr/>
          <w:p>
            <w:pPr>
              <w:pStyle w:val="Compact"/>
              <w:jc w:val="left"/>
            </w:pPr>
            <w:r>
              <w:t xml:space="preserve">Section 6.2</w:t>
            </w:r>
          </w:p>
        </w:tc>
      </w:tr>
      <w:tr>
        <w:tc>
          <w:tcPr/>
          <w:p>
            <w:pPr>
              <w:pStyle w:val="Compact"/>
              <w:jc w:val="left"/>
            </w:pPr>
            <w:r>
              <w:t xml:space="preserve">S</w:t>
            </w:r>
          </w:p>
        </w:tc>
        <w:tc>
          <w:tcPr/>
          <w:p>
            <w:pPr>
              <w:pStyle w:val="Compact"/>
              <w:jc w:val="left"/>
            </w:pPr>
            <w:r>
              <w:t xml:space="preserve">Deterministic reading sequence (topological order)</w:t>
            </w:r>
          </w:p>
        </w:tc>
        <w:tc>
          <w:tcPr/>
          <w:p>
            <w:pPr>
              <w:pStyle w:val="Compact"/>
              <w:jc w:val="left"/>
            </w:pPr>
            <w:r>
              <w:t xml:space="preserve">Section 6.4</w:t>
            </w:r>
          </w:p>
        </w:tc>
      </w:tr>
      <w:tr>
        <w:tc>
          <w:tcPr/>
          <w:p>
            <w:pPr>
              <w:pStyle w:val="Compact"/>
              <w:jc w:val="left"/>
            </w:pPr>
            <w:r>
              <w:t xml:space="preserve">c_i</w:t>
            </w:r>
          </w:p>
        </w:tc>
        <w:tc>
          <w:tcPr/>
          <w:p>
            <w:pPr>
              <w:pStyle w:val="Compact"/>
              <w:jc w:val="left"/>
            </w:pPr>
            <w:r>
              <w:t xml:space="preserve">Chunk i</w:t>
            </w:r>
          </w:p>
        </w:tc>
        <w:tc>
          <w:tcPr/>
          <w:p>
            <w:pPr>
              <w:pStyle w:val="Compact"/>
              <w:jc w:val="left"/>
            </w:pPr>
            <w:r>
              <w:t xml:space="preserve">Section 7.3</w:t>
            </w:r>
          </w:p>
        </w:tc>
      </w:tr>
      <w:tr>
        <w:tc>
          <w:tcPr/>
          <w:p>
            <w:pPr>
              <w:pStyle w:val="Compact"/>
              <w:jc w:val="left"/>
            </w:pPr>
            <w:r>
              <w:t xml:space="preserve">V_i, W_i / t_i</w:t>
            </w:r>
          </w:p>
        </w:tc>
        <w:tc>
          <w:tcPr/>
          <w:p>
            <w:pPr>
              <w:pStyle w:val="Compact"/>
              <w:jc w:val="left"/>
            </w:pPr>
            <w:r>
              <w:t xml:space="preserve">Chunk value and token weight</w:t>
            </w:r>
          </w:p>
        </w:tc>
        <w:tc>
          <w:tcPr/>
          <w:p>
            <w:pPr>
              <w:pStyle w:val="Compact"/>
              <w:jc w:val="left"/>
            </w:pPr>
            <w:r>
              <w:t xml:space="preserve">Section 8.2, 9.1</w:t>
            </w:r>
          </w:p>
        </w:tc>
      </w:tr>
      <w:tr>
        <w:tc>
          <w:tcPr/>
          <w:p>
            <w:pPr>
              <w:pStyle w:val="Compact"/>
              <w:jc w:val="left"/>
            </w:pPr>
            <w:r>
              <w:t xml:space="preserve">B / C / K_max</w:t>
            </w:r>
          </w:p>
        </w:tc>
        <w:tc>
          <w:tcPr/>
          <w:p>
            <w:pPr>
              <w:pStyle w:val="Compact"/>
              <w:jc w:val="left"/>
            </w:pPr>
            <w:r>
              <w:t xml:space="preserve">Token budget ceiling</w:t>
            </w:r>
          </w:p>
        </w:tc>
        <w:tc>
          <w:tcPr/>
          <w:p>
            <w:pPr>
              <w:pStyle w:val="Compact"/>
              <w:jc w:val="left"/>
            </w:pPr>
            <w:r>
              <w:t xml:space="preserve">Section 9.1</w:t>
            </w:r>
          </w:p>
        </w:tc>
      </w:tr>
      <w:tr>
        <w:tc>
          <w:tcPr/>
          <w:p>
            <w:pPr>
              <w:pStyle w:val="Compact"/>
              <w:jc w:val="left"/>
            </w:pPr>
            <w:r>
              <w:t xml:space="preserve">x_i ∈ {0,1}</w:t>
            </w:r>
          </w:p>
        </w:tc>
        <w:tc>
          <w:tcPr/>
          <w:p>
            <w:pPr>
              <w:pStyle w:val="Compact"/>
              <w:jc w:val="left"/>
            </w:pPr>
            <w:r>
              <w:t xml:space="preserve">Knapsack inclusion indicator</w:t>
            </w:r>
          </w:p>
        </w:tc>
        <w:tc>
          <w:tcPr/>
          <w:p>
            <w:pPr>
              <w:pStyle w:val="Compact"/>
              <w:jc w:val="left"/>
            </w:pPr>
            <w:r>
              <w:t xml:space="preserve">Section 9.1</w:t>
            </w:r>
          </w:p>
        </w:tc>
      </w:tr>
      <w:tr>
        <w:tc>
          <w:tcPr/>
          <w:p>
            <w:pPr>
              <w:pStyle w:val="Compact"/>
              <w:jc w:val="left"/>
            </w:pPr>
            <w:r>
              <w:t xml:space="preserve">V(i,q)</w:t>
            </w:r>
          </w:p>
        </w:tc>
        <w:tc>
          <w:tcPr/>
          <w:p>
            <w:pPr>
              <w:pStyle w:val="Compact"/>
              <w:jc w:val="left"/>
            </w:pPr>
            <w:r>
              <w:t xml:space="preserve">Knapsack DP state (max value, i items, budget q)</w:t>
            </w:r>
          </w:p>
        </w:tc>
        <w:tc>
          <w:tcPr/>
          <w:p>
            <w:pPr>
              <w:pStyle w:val="Compact"/>
              <w:jc w:val="left"/>
            </w:pPr>
            <w:r>
              <w:t xml:space="preserve">Section 9.2</w:t>
            </w:r>
          </w:p>
        </w:tc>
      </w:tr>
      <w:tr>
        <w:tc>
          <w:tcPr/>
          <w:p>
            <w:pPr>
              <w:pStyle w:val="Compact"/>
              <w:jc w:val="left"/>
            </w:pPr>
            <w:r>
              <w:t xml:space="preserve">Ω</w:t>
            </w:r>
          </w:p>
        </w:tc>
        <w:tc>
          <w:tcPr/>
          <w:p>
            <w:pPr>
              <w:pStyle w:val="Compact"/>
              <w:jc w:val="left"/>
            </w:pPr>
            <w:r>
              <w:t xml:space="preserve">Integer value-quantization scale</w:t>
            </w:r>
          </w:p>
        </w:tc>
        <w:tc>
          <w:tcPr/>
          <w:p>
            <w:pPr>
              <w:pStyle w:val="Compact"/>
              <w:jc w:val="left"/>
            </w:pPr>
            <w:r>
              <w:t xml:space="preserve">Section 9.2</w:t>
            </w:r>
          </w:p>
        </w:tc>
      </w:tr>
      <w:tr>
        <w:tc>
          <w:tcPr/>
          <w:p>
            <w:pPr>
              <w:pStyle w:val="Compact"/>
              <w:jc w:val="left"/>
            </w:pPr>
            <w:r>
              <w:t xml:space="preserve">x_ik, G_1..G_M</w:t>
            </w:r>
          </w:p>
        </w:tc>
        <w:tc>
          <w:tcPr/>
          <w:p>
            <w:pPr>
              <w:pStyle w:val="Compact"/>
              <w:jc w:val="left"/>
            </w:pPr>
            <w:r>
              <w:t xml:space="preserve">Multi-choice knapsack tier indicator; asset groups</w:t>
            </w:r>
          </w:p>
        </w:tc>
        <w:tc>
          <w:tcPr/>
          <w:p>
            <w:pPr>
              <w:pStyle w:val="Compact"/>
              <w:jc w:val="left"/>
            </w:pPr>
            <w:r>
              <w:t xml:space="preserve">Section 12.1</w:t>
            </w:r>
          </w:p>
        </w:tc>
      </w:tr>
      <w:tr>
        <w:tc>
          <w:tcPr/>
          <w:p>
            <w:pPr>
              <w:pStyle w:val="Compact"/>
              <w:jc w:val="left"/>
            </w:pPr>
            <w:r>
              <w:t xml:space="preserve">λ (Lagrangian)</w:t>
            </w:r>
          </w:p>
        </w:tc>
        <w:tc>
          <w:tcPr/>
          <w:p>
            <w:pPr>
              <w:pStyle w:val="Compact"/>
              <w:jc w:val="left"/>
            </w:pPr>
            <w:r>
              <w:t xml:space="preserve">Relaxation multiplier on the knapsack capacity constraint</w:t>
            </w:r>
          </w:p>
        </w:tc>
        <w:tc>
          <w:tcPr/>
          <w:p>
            <w:pPr>
              <w:pStyle w:val="Compact"/>
              <w:jc w:val="left"/>
            </w:pPr>
            <w:r>
              <w:t xml:space="preserve">Section 12.2</w:t>
            </w:r>
          </w:p>
        </w:tc>
      </w:tr>
      <w:tr>
        <w:tc>
          <w:tcPr/>
          <w:p>
            <w:pPr>
              <w:pStyle w:val="Compact"/>
              <w:jc w:val="left"/>
            </w:pPr>
            <w:r>
              <w:t xml:space="preserve">w = (w_1..w_9)</w:t>
            </w:r>
          </w:p>
        </w:tc>
        <w:tc>
          <w:tcPr/>
          <w:p>
            <w:pPr>
              <w:pStyle w:val="Compact"/>
              <w:jc w:val="left"/>
            </w:pPr>
            <w:r>
              <w:t xml:space="preserve">Per-layer fusion weight vector</w:t>
            </w:r>
          </w:p>
        </w:tc>
        <w:tc>
          <w:tcPr/>
          <w:p>
            <w:pPr>
              <w:pStyle w:val="Compact"/>
              <w:jc w:val="left"/>
            </w:pPr>
            <w:r>
              <w:t xml:space="preserve">Section 5.7, 9.4</w:t>
            </w:r>
          </w:p>
        </w:tc>
      </w:tr>
      <w:tr>
        <w:tc>
          <w:tcPr/>
          <w:p>
            <w:pPr>
              <w:pStyle w:val="Compact"/>
              <w:jc w:val="left"/>
            </w:pPr>
            <w:r>
              <w:t xml:space="preserve">J(w)</w:t>
            </w:r>
          </w:p>
        </w:tc>
        <w:tc>
          <w:tcPr/>
          <w:p>
            <w:pPr>
              <w:pStyle w:val="Compact"/>
              <w:jc w:val="left"/>
            </w:pPr>
            <w:r>
              <w:t xml:space="preserve">Master cost objective</w:t>
            </w:r>
          </w:p>
        </w:tc>
        <w:tc>
          <w:tcPr/>
          <w:p>
            <w:pPr>
              <w:pStyle w:val="Compact"/>
              <w:jc w:val="left"/>
            </w:pPr>
            <w:r>
              <w:t xml:space="preserve">Section 9.4</w:t>
            </w:r>
          </w:p>
        </w:tc>
      </w:tr>
      <w:tr>
        <w:tc>
          <w:tcPr/>
          <w:p>
            <w:pPr>
              <w:pStyle w:val="Compact"/>
              <w:jc w:val="left"/>
            </w:pPr>
            <w:r>
              <w:t xml:space="preserve">ℒ(w,λ,μ,η)</w:t>
            </w:r>
          </w:p>
        </w:tc>
        <w:tc>
          <w:tcPr/>
          <w:p>
            <w:pPr>
              <w:pStyle w:val="Compact"/>
              <w:jc w:val="left"/>
            </w:pPr>
            <w:r>
              <w:t xml:space="preserve">Lagrangian of the master objective</w:t>
            </w:r>
          </w:p>
        </w:tc>
        <w:tc>
          <w:tcPr/>
          <w:p>
            <w:pPr>
              <w:pStyle w:val="Compact"/>
              <w:jc w:val="left"/>
            </w:pPr>
            <w:r>
              <w:t xml:space="preserve">Section 9.5</w:t>
            </w:r>
          </w:p>
        </w:tc>
      </w:tr>
      <w:tr>
        <w:tc>
          <w:tcPr/>
          <w:p>
            <w:pPr>
              <w:pStyle w:val="Compact"/>
              <w:jc w:val="left"/>
            </w:pPr>
            <w:r>
              <w:t xml:space="preserve">H(X), H(D)</w:t>
            </w:r>
          </w:p>
        </w:tc>
        <w:tc>
          <w:tcPr/>
          <w:p>
            <w:pPr>
              <w:pStyle w:val="Compact"/>
              <w:jc w:val="left"/>
            </w:pPr>
            <w:r>
              <w:t xml:space="preserve">Shannon entropy of a distribution / document source</w:t>
            </w:r>
          </w:p>
        </w:tc>
        <w:tc>
          <w:tcPr/>
          <w:p>
            <w:pPr>
              <w:pStyle w:val="Compact"/>
              <w:jc w:val="left"/>
            </w:pPr>
            <w:r>
              <w:t xml:space="preserve">Section 5.5, 10.1</w:t>
            </w:r>
          </w:p>
        </w:tc>
      </w:tr>
      <w:tr>
        <w:tc>
          <w:tcPr/>
          <w:p>
            <w:pPr>
              <w:pStyle w:val="Compact"/>
              <w:jc w:val="left"/>
            </w:pPr>
            <w:r>
              <w:t xml:space="preserve">I(e_i)</w:t>
            </w:r>
          </w:p>
        </w:tc>
        <w:tc>
          <w:tcPr/>
          <w:p>
            <w:pPr>
              <w:pStyle w:val="Compact"/>
              <w:jc w:val="left"/>
            </w:pPr>
            <w:r>
              <w:t xml:space="preserve">Self-information (surprisal) of element i</w:t>
            </w:r>
          </w:p>
        </w:tc>
        <w:tc>
          <w:tcPr/>
          <w:p>
            <w:pPr>
              <w:pStyle w:val="Compact"/>
              <w:jc w:val="left"/>
            </w:pPr>
            <w:r>
              <w:t xml:space="preserve">Section 10.1</w:t>
            </w:r>
          </w:p>
        </w:tc>
      </w:tr>
      <w:tr>
        <w:tc>
          <w:tcPr/>
          <w:p>
            <w:pPr>
              <w:pStyle w:val="Compact"/>
              <w:jc w:val="left"/>
            </w:pPr>
            <w:r>
              <w:t xml:space="preserve">I(D_R;Q)</w:t>
            </w:r>
          </w:p>
        </w:tc>
        <w:tc>
          <w:tcPr/>
          <w:p>
            <w:pPr>
              <w:pStyle w:val="Compact"/>
              <w:jc w:val="left"/>
            </w:pPr>
            <w:r>
              <w:t xml:space="preserve">Mutual information between retrieved context and query</w:t>
            </w:r>
          </w:p>
        </w:tc>
        <w:tc>
          <w:tcPr/>
          <w:p>
            <w:pPr>
              <w:pStyle w:val="Compact"/>
              <w:jc w:val="left"/>
            </w:pPr>
            <w:r>
              <w:t xml:space="preserve">Section 10.3</w:t>
            </w:r>
          </w:p>
        </w:tc>
      </w:tr>
      <w:tr>
        <w:tc>
          <w:tcPr/>
          <w:p>
            <w:pPr>
              <w:pStyle w:val="Compact"/>
              <w:jc w:val="left"/>
            </w:pPr>
            <w:r>
              <w:t xml:space="preserve">R(D₀)</w:t>
            </w:r>
          </w:p>
        </w:tc>
        <w:tc>
          <w:tcPr/>
          <w:p>
            <w:pPr>
              <w:pStyle w:val="Compact"/>
              <w:jc w:val="left"/>
            </w:pPr>
            <w:r>
              <w:t xml:space="preserve">Rate-distortion function at distortion tolerance D₀</w:t>
            </w:r>
          </w:p>
        </w:tc>
        <w:tc>
          <w:tcPr/>
          <w:p>
            <w:pPr>
              <w:pStyle w:val="Compact"/>
              <w:jc w:val="left"/>
            </w:pPr>
            <w:r>
              <w:t xml:space="preserve">Section 10.5</w:t>
            </w:r>
          </w:p>
        </w:tc>
      </w:tr>
      <w:tr>
        <w:tc>
          <w:tcPr/>
          <w:p>
            <w:pPr>
              <w:pStyle w:val="Compact"/>
              <w:jc w:val="left"/>
            </w:pPr>
            <w:r>
              <w:t xml:space="preserve">D_KL(P‖Q)</w:t>
            </w:r>
          </w:p>
        </w:tc>
        <w:tc>
          <w:tcPr/>
          <w:p>
            <w:pPr>
              <w:pStyle w:val="Compact"/>
              <w:jc w:val="left"/>
            </w:pPr>
            <w:r>
              <w:t xml:space="preserve">Kullback-Leibler divergence</w:t>
            </w:r>
          </w:p>
        </w:tc>
        <w:tc>
          <w:tcPr/>
          <w:p>
            <w:pPr>
              <w:pStyle w:val="Compact"/>
              <w:jc w:val="left"/>
            </w:pPr>
            <w:r>
              <w:t xml:space="preserve">Section 10.6</w:t>
            </w:r>
          </w:p>
        </w:tc>
      </w:tr>
      <w:tr>
        <w:tc>
          <w:tcPr/>
          <w:p>
            <w:pPr>
              <w:pStyle w:val="Compact"/>
              <w:jc w:val="left"/>
            </w:pPr>
            <w:r>
              <w:t xml:space="preserve">H = (p,s,b,l,t)</w:t>
            </w:r>
          </w:p>
        </w:tc>
        <w:tc>
          <w:tcPr/>
          <w:p>
            <w:pPr>
              <w:pStyle w:val="Compact"/>
              <w:jc w:val="left"/>
            </w:pPr>
            <w:r>
              <w:t xml:space="preserve">Hierarchical token coordinate</w:t>
            </w:r>
          </w:p>
        </w:tc>
        <w:tc>
          <w:tcPr/>
          <w:p>
            <w:pPr>
              <w:pStyle w:val="Compact"/>
              <w:jc w:val="left"/>
            </w:pPr>
            <w:r>
              <w:t xml:space="preserve">Section 5.6</w:t>
            </w:r>
          </w:p>
        </w:tc>
      </w:tr>
      <w:tr>
        <w:tc>
          <w:tcPr/>
          <w:p>
            <w:pPr>
              <w:pStyle w:val="Compact"/>
              <w:jc w:val="left"/>
            </w:pPr>
            <w:r>
              <w:t xml:space="preserve">L0–L5</w:t>
            </w:r>
          </w:p>
        </w:tc>
        <w:tc>
          <w:tcPr/>
          <w:p>
            <w:pPr>
              <w:pStyle w:val="Compact"/>
              <w:jc w:val="left"/>
            </w:pPr>
            <w:r>
              <w:t xml:space="preserve">Content-abstraction memory hierarchy</w:t>
            </w:r>
          </w:p>
        </w:tc>
        <w:tc>
          <w:tcPr/>
          <w:p>
            <w:pPr>
              <w:pStyle w:val="Compact"/>
              <w:jc w:val="left"/>
            </w:pPr>
            <w:r>
              <w:t xml:space="preserve">Section 14.2</w:t>
            </w:r>
          </w:p>
        </w:tc>
      </w:tr>
      <w:tr>
        <w:tc>
          <w:tcPr/>
          <w:p>
            <w:pPr>
              <w:pStyle w:val="Compact"/>
              <w:jc w:val="left"/>
            </w:pPr>
            <w:r>
              <w:t xml:space="preserve">RRF(d)</w:t>
            </w:r>
          </w:p>
        </w:tc>
        <w:tc>
          <w:tcPr/>
          <w:p>
            <w:pPr>
              <w:pStyle w:val="Compact"/>
              <w:jc w:val="left"/>
            </w:pPr>
            <w:r>
              <w:t xml:space="preserve">Reciprocal Rank Fusion score for document d</w:t>
            </w:r>
          </w:p>
        </w:tc>
        <w:tc>
          <w:tcPr/>
          <w:p>
            <w:pPr>
              <w:pStyle w:val="Compact"/>
              <w:jc w:val="left"/>
            </w:pPr>
            <w:r>
              <w:t xml:space="preserve">Section 15.3</w:t>
            </w:r>
          </w:p>
        </w:tc>
      </w:tr>
    </w:tbl>
    <w:bookmarkEnd w:id="183"/>
    <w:bookmarkStart w:id="184" w:name="Xc3d12d1f9edd22d52c31609d1a75c2825d68f4c"/>
    <w:p>
      <w:pPr>
        <w:pStyle w:val="Heading2"/>
      </w:pPr>
      <w:r>
        <w:t xml:space="preserve">Appendix B — Reading-Order Recovery: Reference Pseudocode</w:t>
      </w:r>
    </w:p>
    <w:p>
      <w:pPr>
        <w:pStyle w:val="SourceCode"/>
      </w:pPr>
      <w:r>
        <w:rPr>
          <w:rStyle w:val="VerbatimChar"/>
        </w:rPr>
        <w:t xml:space="preserve">function BUILD_READING_GRAPH(elements):</w:t>
      </w:r>
      <w:r>
        <w:br/>
      </w:r>
      <w:r>
        <w:rPr>
          <w:rStyle w:val="VerbatimChar"/>
        </w:rPr>
        <w:t xml:space="preserve">    V ← elements</w:t>
      </w:r>
      <w:r>
        <w:br/>
      </w:r>
      <w:r>
        <w:rPr>
          <w:rStyle w:val="VerbatimChar"/>
        </w:rPr>
        <w:t xml:space="preserve">    E ← {}</w:t>
      </w:r>
      <w:r>
        <w:br/>
      </w:r>
      <w:r>
        <w:rPr>
          <w:rStyle w:val="VerbatimChar"/>
        </w:rPr>
        <w:t xml:space="preserve">    for i in V:</w:t>
      </w:r>
      <w:r>
        <w:br/>
      </w:r>
      <w:r>
        <w:rPr>
          <w:rStyle w:val="VerbatimChar"/>
        </w:rPr>
        <w:t xml:space="preserve">        for j in V, j ≠ i:</w:t>
      </w:r>
      <w:r>
        <w:br/>
      </w:r>
      <w:r>
        <w:rPr>
          <w:rStyle w:val="VerbatimChar"/>
        </w:rPr>
        <w:t xml:space="preserve">            if IS_READING_FORWARD_SUCCESSOR(i, j):        # Definition 6.1</w:t>
      </w:r>
      <w:r>
        <w:br/>
      </w:r>
      <w:r>
        <w:rPr>
          <w:rStyle w:val="VerbatimChar"/>
        </w:rPr>
        <w:t xml:space="preserve">                d ← BOUNDARY_DISTANCE(i, j)</w:t>
      </w:r>
      <w:r>
        <w:br/>
      </w:r>
      <w:r>
        <w:rPr>
          <w:rStyle w:val="VerbatimChar"/>
        </w:rPr>
        <w:t xml:space="preserve">                if d ≤ tau_dist:</w:t>
      </w:r>
      <w:r>
        <w:br/>
      </w:r>
      <w:r>
        <w:rPr>
          <w:rStyle w:val="VerbatimChar"/>
        </w:rPr>
        <w:t xml:space="preserve">                    weight ← alpha * exp(-d / sigma)</w:t>
      </w:r>
      <w:r>
        <w:br/>
      </w:r>
      <w:r>
        <w:rPr>
          <w:rStyle w:val="VerbatimChar"/>
        </w:rPr>
        <w:t xml:space="preserve">                             + beta  * max(0, cos(ANGLE(i,j) - theta_flow))</w:t>
      </w:r>
      <w:r>
        <w:br/>
      </w:r>
      <w:r>
        <w:rPr>
          <w:rStyle w:val="VerbatimChar"/>
        </w:rPr>
        <w:t xml:space="preserve">                             + gamma * OVERLAP(i, j)</w:t>
      </w:r>
      <w:r>
        <w:br/>
      </w:r>
      <w:r>
        <w:rPr>
          <w:rStyle w:val="VerbatimChar"/>
        </w:rPr>
        <w:t xml:space="preserve">                    E.add((i, j, weight))</w:t>
      </w:r>
      <w:r>
        <w:br/>
      </w:r>
      <w:r>
        <w:rPr>
          <w:rStyle w:val="VerbatimChar"/>
        </w:rPr>
        <w:t xml:space="preserve">    return Graph(V, E)</w:t>
      </w:r>
      <w:r>
        <w:br/>
      </w:r>
      <w:r>
        <w:br/>
      </w:r>
      <w:r>
        <w:rPr>
          <w:rStyle w:val="VerbatimChar"/>
        </w:rPr>
        <w:t xml:space="preserve">function RECOVER_READING_ORDER(G):</w:t>
      </w:r>
      <w:r>
        <w:br/>
      </w:r>
      <w:r>
        <w:rPr>
          <w:rStyle w:val="VerbatimChar"/>
        </w:rPr>
        <w:t xml:space="preserve">    indegree ← compute in-degree for each v in G.V</w:t>
      </w:r>
      <w:r>
        <w:br/>
      </w:r>
      <w:r>
        <w:rPr>
          <w:rStyle w:val="VerbatimChar"/>
        </w:rPr>
        <w:t xml:space="preserve">    ready ← PriorityQueue(key = (y_min, x_min, node_id))</w:t>
      </w:r>
      <w:r>
        <w:br/>
      </w:r>
      <w:r>
        <w:rPr>
          <w:rStyle w:val="VerbatimChar"/>
        </w:rPr>
        <w:t xml:space="preserve">    for v in G.V where indegree[v] == 0:</w:t>
      </w:r>
      <w:r>
        <w:br/>
      </w:r>
      <w:r>
        <w:rPr>
          <w:rStyle w:val="VerbatimChar"/>
        </w:rPr>
        <w:t xml:space="preserve">        ready.push(v)</w:t>
      </w:r>
      <w:r>
        <w:br/>
      </w:r>
      <w:r>
        <w:rPr>
          <w:rStyle w:val="VerbatimChar"/>
        </w:rPr>
        <w:t xml:space="preserve">    S ← []</w:t>
      </w:r>
      <w:r>
        <w:br/>
      </w:r>
      <w:r>
        <w:rPr>
          <w:rStyle w:val="VerbatimChar"/>
        </w:rPr>
        <w:t xml:space="preserve">    while ready not empty:</w:t>
      </w:r>
      <w:r>
        <w:br/>
      </w:r>
      <w:r>
        <w:rPr>
          <w:rStyle w:val="VerbatimChar"/>
        </w:rPr>
        <w:t xml:space="preserve">        v ← ready.pop_min()</w:t>
      </w:r>
      <w:r>
        <w:br/>
      </w:r>
      <w:r>
        <w:rPr>
          <w:rStyle w:val="VerbatimChar"/>
        </w:rPr>
        <w:t xml:space="preserve">        S.append(v)</w:t>
      </w:r>
      <w:r>
        <w:br/>
      </w:r>
      <w:r>
        <w:rPr>
          <w:rStyle w:val="VerbatimChar"/>
        </w:rPr>
        <w:t xml:space="preserve">        for (v, u, w) in G.E where u not in S:</w:t>
      </w:r>
      <w:r>
        <w:br/>
      </w:r>
      <w:r>
        <w:rPr>
          <w:rStyle w:val="VerbatimChar"/>
        </w:rPr>
        <w:t xml:space="preserve">            indegree[u] -= 1</w:t>
      </w:r>
      <w:r>
        <w:br/>
      </w:r>
      <w:r>
        <w:rPr>
          <w:rStyle w:val="VerbatimChar"/>
        </w:rPr>
        <w:t xml:space="preserve">            if indegree[u] == 0:</w:t>
      </w:r>
      <w:r>
        <w:br/>
      </w:r>
      <w:r>
        <w:rPr>
          <w:rStyle w:val="VerbatimChar"/>
        </w:rPr>
        <w:t xml:space="preserve">                ready.push(u)</w:t>
      </w:r>
      <w:r>
        <w:br/>
      </w:r>
      <w:r>
        <w:rPr>
          <w:rStyle w:val="VerbatimChar"/>
        </w:rPr>
        <w:t xml:space="preserve">    assert len(S) == len(G.V)   # guaranteed by Theorem 6.1 (acyclicity)</w:t>
      </w:r>
      <w:r>
        <w:br/>
      </w:r>
      <w:r>
        <w:rPr>
          <w:rStyle w:val="VerbatimChar"/>
        </w:rPr>
        <w:t xml:space="preserve">    return S</w:t>
      </w:r>
    </w:p>
    <w:bookmarkEnd w:id="184"/>
    <w:bookmarkStart w:id="185" w:name="Xe9fee9e5fb4da9aa4a11af47cae20f22eb07395"/>
    <w:p>
      <w:pPr>
        <w:pStyle w:val="Heading2"/>
      </w:pPr>
      <w:r>
        <w:t xml:space="preserve">Appendix C — 0/1 Knapsack DP: Reference Pseudocode</w:t>
      </w:r>
    </w:p>
    <w:p>
      <w:pPr>
        <w:pStyle w:val="SourceCode"/>
      </w:pPr>
      <w:r>
        <w:rPr>
          <w:rStyle w:val="VerbatimChar"/>
        </w:rPr>
        <w:t xml:space="preserve">function PACK_CONTEXT(chunks, budget, max_dp_cells):</w:t>
      </w:r>
      <w:r>
        <w:br/>
      </w:r>
      <w:r>
        <w:rPr>
          <w:rStyle w:val="VerbatimChar"/>
        </w:rPr>
        <w:t xml:space="preserve">    N ← len(chunks)</w:t>
      </w:r>
      <w:r>
        <w:br/>
      </w:r>
      <w:r>
        <w:rPr>
          <w:rStyle w:val="VerbatimChar"/>
        </w:rPr>
        <w:t xml:space="preserve">    if N * budget &gt; max_dp_cells:</w:t>
      </w:r>
      <w:r>
        <w:br/>
      </w:r>
      <w:r>
        <w:rPr>
          <w:rStyle w:val="VerbatimChar"/>
        </w:rPr>
        <w:t xml:space="preserve">        return GREEDY_FALLBACK(chunks, budget)             # Theorem 9.1, 1/2-approx</w:t>
      </w:r>
      <w:r>
        <w:br/>
      </w:r>
      <w:r>
        <w:br/>
      </w:r>
      <w:r>
        <w:rPr>
          <w:rStyle w:val="VerbatimChar"/>
        </w:rPr>
        <w:t xml:space="preserve">    V ← array[0..N][0..budget]                             # O(N*budget) memory</w:t>
      </w:r>
      <w:r>
        <w:br/>
      </w:r>
      <w:r>
        <w:rPr>
          <w:rStyle w:val="VerbatimChar"/>
        </w:rPr>
        <w:t xml:space="preserve">    for i in 1..N:</w:t>
      </w:r>
      <w:r>
        <w:br/>
      </w:r>
      <w:r>
        <w:rPr>
          <w:rStyle w:val="VerbatimChar"/>
        </w:rPr>
        <w:t xml:space="preserve">        for q in 0..budget:</w:t>
      </w:r>
      <w:r>
        <w:br/>
      </w:r>
      <w:r>
        <w:rPr>
          <w:rStyle w:val="VerbatimChar"/>
        </w:rPr>
        <w:t xml:space="preserve">            if chunks[i].weight &gt; q:</w:t>
      </w:r>
      <w:r>
        <w:br/>
      </w:r>
      <w:r>
        <w:rPr>
          <w:rStyle w:val="VerbatimChar"/>
        </w:rPr>
        <w:t xml:space="preserve">                V[i][q] ← V[i-1][q]</w:t>
      </w:r>
      <w:r>
        <w:br/>
      </w:r>
      <w:r>
        <w:rPr>
          <w:rStyle w:val="VerbatimChar"/>
        </w:rPr>
        <w:t xml:space="preserve">            else:</w:t>
      </w:r>
      <w:r>
        <w:br/>
      </w:r>
      <w:r>
        <w:rPr>
          <w:rStyle w:val="VerbatimChar"/>
        </w:rPr>
        <w:t xml:space="preserve">                V[i][q] ← max(V[i-1][q],</w:t>
      </w:r>
      <w:r>
        <w:br/>
      </w:r>
      <w:r>
        <w:rPr>
          <w:rStyle w:val="VerbatimChar"/>
        </w:rPr>
        <w:t xml:space="preserve">                               chunks[i].value + V[i-1][q - chunks[i].weight])</w:t>
      </w:r>
      <w:r>
        <w:br/>
      </w:r>
      <w:r>
        <w:br/>
      </w:r>
      <w:r>
        <w:rPr>
          <w:rStyle w:val="VerbatimChar"/>
        </w:rPr>
        <w:t xml:space="preserve">    selected ← BACKTRACK(V, chunks, budget)</w:t>
      </w:r>
      <w:r>
        <w:br/>
      </w:r>
      <w:r>
        <w:rPr>
          <w:rStyle w:val="VerbatimChar"/>
        </w:rPr>
        <w:t xml:space="preserve">    selected ← SORT_BY_READING_ORDER(selected)               # Section 6.6</w:t>
      </w:r>
      <w:r>
        <w:br/>
      </w:r>
      <w:r>
        <w:rPr>
          <w:rStyle w:val="VerbatimChar"/>
        </w:rPr>
        <w:t xml:space="preserve">    return ExactResult(selected, exact=True)</w:t>
      </w:r>
      <w:r>
        <w:br/>
      </w:r>
      <w:r>
        <w:br/>
      </w:r>
      <w:r>
        <w:rPr>
          <w:rStyle w:val="VerbatimChar"/>
        </w:rPr>
        <w:t xml:space="preserve">function GREEDY_FALLBACK(chunks, budget):</w:t>
      </w:r>
      <w:r>
        <w:br/>
      </w:r>
      <w:r>
        <w:rPr>
          <w:rStyle w:val="VerbatimChar"/>
        </w:rPr>
        <w:t xml:space="preserve">    sorted_chunks ← sort(chunks, key = c -&gt; c.value / c.weight, descending)</w:t>
      </w:r>
      <w:r>
        <w:br/>
      </w:r>
      <w:r>
        <w:rPr>
          <w:rStyle w:val="VerbatimChar"/>
        </w:rPr>
        <w:t xml:space="preserve">    selected ← []</w:t>
      </w:r>
      <w:r>
        <w:br/>
      </w:r>
      <w:r>
        <w:rPr>
          <w:rStyle w:val="VerbatimChar"/>
        </w:rPr>
        <w:t xml:space="preserve">    remaining ← budget</w:t>
      </w:r>
      <w:r>
        <w:br/>
      </w:r>
      <w:r>
        <w:rPr>
          <w:rStyle w:val="VerbatimChar"/>
        </w:rPr>
        <w:t xml:space="preserve">    for c in sorted_chunks:</w:t>
      </w:r>
      <w:r>
        <w:br/>
      </w:r>
      <w:r>
        <w:rPr>
          <w:rStyle w:val="VerbatimChar"/>
        </w:rPr>
        <w:t xml:space="preserve">        if c.weight ≤ remaining:</w:t>
      </w:r>
      <w:r>
        <w:br/>
      </w:r>
      <w:r>
        <w:rPr>
          <w:rStyle w:val="VerbatimChar"/>
        </w:rPr>
        <w:t xml:space="preserve">            selected.append(c)</w:t>
      </w:r>
      <w:r>
        <w:br/>
      </w:r>
      <w:r>
        <w:rPr>
          <w:rStyle w:val="VerbatimChar"/>
        </w:rPr>
        <w:t xml:space="preserve">            remaining -= c.weight</w:t>
      </w:r>
      <w:r>
        <w:br/>
      </w:r>
      <w:r>
        <w:rPr>
          <w:rStyle w:val="VerbatimChar"/>
        </w:rPr>
        <w:t xml:space="preserve">    selected ← SORT_BY_READING_ORDER(selected)</w:t>
      </w:r>
      <w:r>
        <w:br/>
      </w:r>
      <w:r>
        <w:rPr>
          <w:rStyle w:val="VerbatimChar"/>
        </w:rPr>
        <w:t xml:space="preserve">    return ApproxResult(selected, exact=False, bound="≥ 1/2 · OPT")</w:t>
      </w:r>
    </w:p>
    <w:bookmarkEnd w:id="185"/>
    <w:bookmarkStart w:id="186" w:name="appendix-d-18-case-test-suite-manifest"/>
    <w:p>
      <w:pPr>
        <w:pStyle w:val="Heading2"/>
      </w:pPr>
      <w:r>
        <w:t xml:space="preserve">Appendix D — 18-Case Test Suite Manifest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Component</w:t>
            </w:r>
          </w:p>
        </w:tc>
        <w:tc>
          <w:tcPr/>
          <w:p>
            <w:pPr>
              <w:pStyle w:val="Compact"/>
              <w:jc w:val="left"/>
            </w:pPr>
            <w:r>
              <w:t xml:space="preserve">Property verified</w:t>
            </w:r>
          </w:p>
        </w:tc>
      </w:tr>
      <w:tr>
        <w:tc>
          <w:tcPr/>
          <w:p>
            <w:pPr>
              <w:pStyle w:val="Compact"/>
              <w:jc w:val="left"/>
            </w:pPr>
            <w:r>
              <w:t xml:space="preserve">1</w:t>
            </w:r>
          </w:p>
        </w:tc>
        <w:tc>
          <w:tcPr/>
          <w:p>
            <w:pPr>
              <w:pStyle w:val="Compact"/>
              <w:jc w:val="left"/>
            </w:pPr>
            <w:r>
              <w:t xml:space="preserve">Dense-grid stress (16 nodes)</w:t>
            </w:r>
          </w:p>
        </w:tc>
        <w:tc>
          <w:tcPr/>
          <w:p>
            <w:pPr>
              <w:pStyle w:val="Compact"/>
              <w:jc w:val="left"/>
            </w:pPr>
            <w:r>
              <w:t xml:space="preserve">Reading-order graph</w:t>
            </w:r>
          </w:p>
        </w:tc>
        <w:tc>
          <w:tcPr/>
          <w:p>
            <w:pPr>
              <w:pStyle w:val="Compact"/>
              <w:jc w:val="left"/>
            </w:pPr>
            <w:r>
              <w:t xml:space="preserve">Termination, single visit per node</w:t>
            </w:r>
          </w:p>
        </w:tc>
      </w:tr>
      <w:tr>
        <w:tc>
          <w:tcPr/>
          <w:p>
            <w:pPr>
              <w:pStyle w:val="Compact"/>
              <w:jc w:val="left"/>
            </w:pPr>
            <w:r>
              <w:t xml:space="preserve">2</w:t>
            </w:r>
          </w:p>
        </w:tc>
        <w:tc>
          <w:tcPr/>
          <w:p>
            <w:pPr>
              <w:pStyle w:val="Compact"/>
              <w:jc w:val="left"/>
            </w:pPr>
            <w:r>
              <w:t xml:space="preserve">Input-order reversal</w:t>
            </w:r>
          </w:p>
        </w:tc>
        <w:tc>
          <w:tcPr/>
          <w:p>
            <w:pPr>
              <w:pStyle w:val="Compact"/>
              <w:jc w:val="left"/>
            </w:pPr>
            <w:r>
              <w:t xml:space="preserve">Reading-order graph</w:t>
            </w:r>
          </w:p>
        </w:tc>
        <w:tc>
          <w:tcPr/>
          <w:p>
            <w:pPr>
              <w:pStyle w:val="Compact"/>
              <w:jc w:val="left"/>
            </w:pPr>
            <w:r>
              <w:t xml:space="preserve">Determinism (Theorem 6.2)</w:t>
            </w:r>
          </w:p>
        </w:tc>
      </w:tr>
      <w:tr>
        <w:tc>
          <w:tcPr/>
          <w:p>
            <w:pPr>
              <w:pStyle w:val="Compact"/>
              <w:jc w:val="left"/>
            </w:pPr>
            <w:r>
              <w:t xml:space="preserve">3</w:t>
            </w:r>
          </w:p>
        </w:tc>
        <w:tc>
          <w:tcPr/>
          <w:p>
            <w:pPr>
              <w:pStyle w:val="Compact"/>
              <w:jc w:val="left"/>
            </w:pPr>
            <w:r>
              <w:t xml:space="preserve">Same-row tie adversarial case</w:t>
            </w:r>
          </w:p>
        </w:tc>
        <w:tc>
          <w:tcPr/>
          <w:p>
            <w:pPr>
              <w:pStyle w:val="Compact"/>
              <w:jc w:val="left"/>
            </w:pPr>
            <w:r>
              <w:t xml:space="preserve">Reading-order graph</w:t>
            </w:r>
          </w:p>
        </w:tc>
        <w:tc>
          <w:tcPr/>
          <w:p>
            <w:pPr>
              <w:pStyle w:val="Compact"/>
              <w:jc w:val="left"/>
            </w:pPr>
            <w:r>
              <w:t xml:space="preserve">No bidirectional edge / no 2-cycle</w:t>
            </w:r>
          </w:p>
        </w:tc>
      </w:tr>
      <w:tr>
        <w:tc>
          <w:tcPr/>
          <w:p>
            <w:pPr>
              <w:pStyle w:val="Compact"/>
              <w:jc w:val="left"/>
            </w:pPr>
            <w:r>
              <w:t xml:space="preserve">4</w:t>
            </w:r>
          </w:p>
        </w:tc>
        <w:tc>
          <w:tcPr/>
          <w:p>
            <w:pPr>
              <w:pStyle w:val="Compact"/>
              <w:jc w:val="left"/>
            </w:pPr>
            <w:r>
              <w:t xml:space="preserve">Multi-column layout</w:t>
            </w:r>
          </w:p>
        </w:tc>
        <w:tc>
          <w:tcPr/>
          <w:p>
            <w:pPr>
              <w:pStyle w:val="Compact"/>
              <w:jc w:val="left"/>
            </w:pPr>
            <w:r>
              <w:t xml:space="preserve">Reading-order graph</w:t>
            </w:r>
          </w:p>
        </w:tc>
        <w:tc>
          <w:tcPr/>
          <w:p>
            <w:pPr>
              <w:pStyle w:val="Compact"/>
              <w:jc w:val="left"/>
            </w:pPr>
            <w:r>
              <w:t xml:space="preserve">Column-crossing edges suppressed (Φ term)</w:t>
            </w:r>
          </w:p>
        </w:tc>
      </w:tr>
      <w:tr>
        <w:tc>
          <w:tcPr/>
          <w:p>
            <w:pPr>
              <w:pStyle w:val="Compact"/>
              <w:jc w:val="left"/>
            </w:pPr>
            <w:r>
              <w:t xml:space="preserve">5</w:t>
            </w:r>
          </w:p>
        </w:tc>
        <w:tc>
          <w:tcPr/>
          <w:p>
            <w:pPr>
              <w:pStyle w:val="Compact"/>
              <w:jc w:val="left"/>
            </w:pPr>
            <w:r>
              <w:t xml:space="preserve">Protected-type adjacency</w:t>
            </w:r>
          </w:p>
        </w:tc>
        <w:tc>
          <w:tcPr/>
          <w:p>
            <w:pPr>
              <w:pStyle w:val="Compact"/>
              <w:jc w:val="left"/>
            </w:pPr>
            <w:r>
              <w:t xml:space="preserve">Elastic chunker</w:t>
            </w:r>
          </w:p>
        </w:tc>
        <w:tc>
          <w:tcPr/>
          <w:p>
            <w:pPr>
              <w:pStyle w:val="Compact"/>
              <w:jc w:val="left"/>
            </w:pPr>
            <w:r>
              <w:t xml:space="preserve">Table never merges with adjacent prose</w:t>
            </w:r>
          </w:p>
        </w:tc>
      </w:tr>
      <w:tr>
        <w:tc>
          <w:tcPr/>
          <w:p>
            <w:pPr>
              <w:pStyle w:val="Compact"/>
              <w:jc w:val="left"/>
            </w:pPr>
            <w:r>
              <w:t xml:space="preserve">6</w:t>
            </w:r>
          </w:p>
        </w:tc>
        <w:tc>
          <w:tcPr/>
          <w:p>
            <w:pPr>
              <w:pStyle w:val="Compact"/>
              <w:jc w:val="left"/>
            </w:pPr>
            <w:r>
              <w:t xml:space="preserve">Font-delta shift</w:t>
            </w:r>
          </w:p>
        </w:tc>
        <w:tc>
          <w:tcPr/>
          <w:p>
            <w:pPr>
              <w:pStyle w:val="Compact"/>
              <w:jc w:val="left"/>
            </w:pPr>
            <w:r>
              <w:t xml:space="preserve">Elastic chunker</w:t>
            </w:r>
          </w:p>
        </w:tc>
        <w:tc>
          <w:tcPr/>
          <w:p>
            <w:pPr>
              <w:pStyle w:val="Compact"/>
              <w:jc w:val="left"/>
            </w:pPr>
            <w:r>
              <w:t xml:space="preserve">Boundary drawn on heading/body transition</w:t>
            </w:r>
          </w:p>
        </w:tc>
      </w:tr>
      <w:tr>
        <w:tc>
          <w:tcPr/>
          <w:p>
            <w:pPr>
              <w:pStyle w:val="Compact"/>
              <w:jc w:val="left"/>
            </w:pPr>
            <w:r>
              <w:t xml:space="preserve">7</w:t>
            </w:r>
          </w:p>
        </w:tc>
        <w:tc>
          <w:tcPr/>
          <w:p>
            <w:pPr>
              <w:pStyle w:val="Compact"/>
              <w:jc w:val="left"/>
            </w:pPr>
            <w:r>
              <w:t xml:space="preserve">Similar-font sequence</w:t>
            </w:r>
          </w:p>
        </w:tc>
        <w:tc>
          <w:tcPr/>
          <w:p>
            <w:pPr>
              <w:pStyle w:val="Compact"/>
              <w:jc w:val="left"/>
            </w:pPr>
            <w:r>
              <w:t xml:space="preserve">Elastic chunker</w:t>
            </w:r>
          </w:p>
        </w:tc>
        <w:tc>
          <w:tcPr/>
          <w:p>
            <w:pPr>
              <w:pStyle w:val="Compact"/>
              <w:jc w:val="left"/>
            </w:pPr>
            <w:r>
              <w:t xml:space="preserve">No spurious boundary under budget</w:t>
            </w:r>
          </w:p>
        </w:tc>
      </w:tr>
      <w:tr>
        <w:tc>
          <w:tcPr/>
          <w:p>
            <w:pPr>
              <w:pStyle w:val="Compact"/>
              <w:jc w:val="left"/>
            </w:pPr>
            <w:r>
              <w:t xml:space="preserve">8</w:t>
            </w:r>
          </w:p>
        </w:tc>
        <w:tc>
          <w:tcPr/>
          <w:p>
            <w:pPr>
              <w:pStyle w:val="Compact"/>
              <w:jc w:val="left"/>
            </w:pPr>
            <w:r>
              <w:t xml:space="preserve">Long uniform text run</w:t>
            </w:r>
          </w:p>
        </w:tc>
        <w:tc>
          <w:tcPr/>
          <w:p>
            <w:pPr>
              <w:pStyle w:val="Compact"/>
              <w:jc w:val="left"/>
            </w:pPr>
            <w:r>
              <w:t xml:space="preserve">Elastic chunker</w:t>
            </w:r>
          </w:p>
        </w:tc>
        <w:tc>
          <w:tcPr/>
          <w:p>
            <w:pPr>
              <w:pStyle w:val="Compact"/>
              <w:jc w:val="left"/>
            </w:pPr>
            <w:r>
              <w:t xml:space="preserve">Boundary drawn once soft budget exceeded</w:t>
            </w:r>
          </w:p>
        </w:tc>
      </w:tr>
      <w:tr>
        <w:tc>
          <w:tcPr/>
          <w:p>
            <w:pPr>
              <w:pStyle w:val="Compact"/>
              <w:jc w:val="left"/>
            </w:pPr>
            <w:r>
              <w:t xml:space="preserve">9</w:t>
            </w:r>
          </w:p>
        </w:tc>
        <w:tc>
          <w:tcPr/>
          <w:p>
            <w:pPr>
              <w:pStyle w:val="Compact"/>
              <w:jc w:val="left"/>
            </w:pPr>
            <w:r>
              <w:t xml:space="preserve">Small-N brute force (N≤20)</w:t>
            </w:r>
          </w:p>
        </w:tc>
        <w:tc>
          <w:tcPr/>
          <w:p>
            <w:pPr>
              <w:pStyle w:val="Compact"/>
              <w:jc w:val="left"/>
            </w:pPr>
            <w:r>
              <w:t xml:space="preserve">Knapsack (exact)</w:t>
            </w:r>
          </w:p>
        </w:tc>
        <w:tc>
          <w:tcPr/>
          <w:p>
            <w:pPr>
              <w:pStyle w:val="Compact"/>
              <w:jc w:val="left"/>
            </w:pPr>
            <w:r>
              <w:t xml:space="preserve">Exact match vs. 2^N enumeration</w:t>
            </w:r>
          </w:p>
        </w:tc>
      </w:tr>
      <w:tr>
        <w:tc>
          <w:tcPr/>
          <w:p>
            <w:pPr>
              <w:pStyle w:val="Compact"/>
              <w:jc w:val="left"/>
            </w:pPr>
            <w:r>
              <w:t xml:space="preserve">10</w:t>
            </w:r>
          </w:p>
        </w:tc>
        <w:tc>
          <w:tcPr/>
          <w:p>
            <w:pPr>
              <w:pStyle w:val="Compact"/>
              <w:jc w:val="left"/>
            </w:pPr>
            <w:r>
              <w:t xml:space="preserve">Forced max_dp_cells trigger</w:t>
            </w:r>
          </w:p>
        </w:tc>
        <w:tc>
          <w:tcPr/>
          <w:p>
            <w:pPr>
              <w:pStyle w:val="Compact"/>
              <w:jc w:val="left"/>
            </w:pPr>
            <w:r>
              <w:t xml:space="preserve">Knapsack (fallback)</w:t>
            </w:r>
          </w:p>
        </w:tc>
        <w:tc>
          <w:tcPr/>
          <w:p>
            <w:pPr>
              <w:pStyle w:val="Compact"/>
              <w:jc w:val="left"/>
            </w:pPr>
            <w:r>
              <w:t xml:space="preserve">Hard budget respected under greedy path</w:t>
            </w:r>
          </w:p>
        </w:tc>
      </w:tr>
      <w:tr>
        <w:tc>
          <w:tcPr/>
          <w:p>
            <w:pPr>
              <w:pStyle w:val="Compact"/>
              <w:jc w:val="left"/>
            </w:pPr>
            <w:r>
              <w:t xml:space="preserve">11</w:t>
            </w:r>
          </w:p>
        </w:tc>
        <w:tc>
          <w:tcPr/>
          <w:p>
            <w:pPr>
              <w:pStyle w:val="Compact"/>
              <w:jc w:val="left"/>
            </w:pPr>
            <w:r>
              <w:t xml:space="preserve">Value-density ordering</w:t>
            </w:r>
          </w:p>
        </w:tc>
        <w:tc>
          <w:tcPr/>
          <w:p>
            <w:pPr>
              <w:pStyle w:val="Compact"/>
              <w:jc w:val="left"/>
            </w:pPr>
            <w:r>
              <w:t xml:space="preserve">Knapsack (fallback)</w:t>
            </w:r>
          </w:p>
        </w:tc>
        <w:tc>
          <w:tcPr/>
          <w:p>
            <w:pPr>
              <w:pStyle w:val="Compact"/>
              <w:jc w:val="left"/>
            </w:pPr>
            <w:r>
              <w:t xml:space="preserve">1/2-approximation bound holds</w:t>
            </w:r>
          </w:p>
        </w:tc>
      </w:tr>
      <w:tr>
        <w:tc>
          <w:tcPr/>
          <w:p>
            <w:pPr>
              <w:pStyle w:val="Compact"/>
              <w:jc w:val="left"/>
            </w:pPr>
            <w:r>
              <w:t xml:space="preserve">12</w:t>
            </w:r>
          </w:p>
        </w:tc>
        <w:tc>
          <w:tcPr/>
          <w:p>
            <w:pPr>
              <w:pStyle w:val="Compact"/>
              <w:jc w:val="left"/>
            </w:pPr>
            <w:r>
              <w:t xml:space="preserve">Reading-order re-sort</w:t>
            </w:r>
          </w:p>
        </w:tc>
        <w:tc>
          <w:tcPr/>
          <w:p>
            <w:pPr>
              <w:pStyle w:val="Compact"/>
              <w:jc w:val="left"/>
            </w:pPr>
            <w:r>
              <w:t xml:space="preserve">Context assembly</w:t>
            </w:r>
          </w:p>
        </w:tc>
        <w:tc>
          <w:tcPr/>
          <w:p>
            <w:pPr>
              <w:pStyle w:val="Compact"/>
              <w:jc w:val="left"/>
            </w:pPr>
            <w:r>
              <w:t xml:space="preserve">Packed output matches Section 6 order</w:t>
            </w:r>
          </w:p>
        </w:tc>
      </w:tr>
      <w:tr>
        <w:tc>
          <w:tcPr/>
          <w:p>
            <w:pPr>
              <w:pStyle w:val="Compact"/>
              <w:jc w:val="left"/>
            </w:pPr>
            <w:r>
              <w:t xml:space="preserve">13</w:t>
            </w:r>
          </w:p>
        </w:tc>
        <w:tc>
          <w:tcPr/>
          <w:p>
            <w:pPr>
              <w:pStyle w:val="Compact"/>
              <w:jc w:val="left"/>
            </w:pPr>
            <w:r>
              <w:t xml:space="preserve">Multi-tier brute force</w:t>
            </w:r>
          </w:p>
        </w:tc>
        <w:tc>
          <w:tcPr/>
          <w:p>
            <w:pPr>
              <w:pStyle w:val="Compact"/>
              <w:jc w:val="left"/>
            </w:pPr>
            <w:r>
              <w:t xml:space="preserve">Multi-choice knapsack</w:t>
            </w:r>
          </w:p>
        </w:tc>
        <w:tc>
          <w:tcPr/>
          <w:p>
            <w:pPr>
              <w:pStyle w:val="Compact"/>
              <w:jc w:val="left"/>
            </w:pPr>
            <w:r>
              <w:t xml:space="preserve">Exact match vs. tier-combination enumeration</w:t>
            </w:r>
          </w:p>
        </w:tc>
      </w:tr>
      <w:tr>
        <w:tc>
          <w:tcPr/>
          <w:p>
            <w:pPr>
              <w:pStyle w:val="Compact"/>
              <w:jc w:val="left"/>
            </w:pPr>
            <w:r>
              <w:t xml:space="preserve">14</w:t>
            </w:r>
          </w:p>
        </w:tc>
        <w:tc>
          <w:tcPr/>
          <w:p>
            <w:pPr>
              <w:pStyle w:val="Compact"/>
              <w:jc w:val="left"/>
            </w:pPr>
            <w:r>
              <w:t xml:space="preserve">At-most-one-tier constraint</w:t>
            </w:r>
          </w:p>
        </w:tc>
        <w:tc>
          <w:tcPr/>
          <w:p>
            <w:pPr>
              <w:pStyle w:val="Compact"/>
              <w:jc w:val="left"/>
            </w:pPr>
            <w:r>
              <w:t xml:space="preserve">Multi-choice knapsack</w:t>
            </w:r>
          </w:p>
        </w:tc>
        <w:tc>
          <w:tcPr/>
          <w:p>
            <w:pPr>
              <w:pStyle w:val="Compact"/>
              <w:jc w:val="left"/>
            </w:pPr>
            <w:r>
              <w:t xml:space="preserve">No group contributes two tiers</w:t>
            </w:r>
          </w:p>
        </w:tc>
      </w:tr>
      <w:tr>
        <w:tc>
          <w:tcPr/>
          <w:p>
            <w:pPr>
              <w:pStyle w:val="Compact"/>
              <w:jc w:val="left"/>
            </w:pPr>
            <w:r>
              <w:t xml:space="preserve">15</w:t>
            </w:r>
          </w:p>
        </w:tc>
        <w:tc>
          <w:tcPr/>
          <w:p>
            <w:pPr>
              <w:pStyle w:val="Compact"/>
              <w:jc w:val="left"/>
            </w:pPr>
            <w:r>
              <w:t xml:space="preserve">Weak-duality sandwich</w:t>
            </w:r>
          </w:p>
        </w:tc>
        <w:tc>
          <w:tcPr/>
          <w:p>
            <w:pPr>
              <w:pStyle w:val="Compact"/>
              <w:jc w:val="left"/>
            </w:pPr>
            <w:r>
              <w:t xml:space="preserve">Lagrangian solver</w:t>
            </w:r>
          </w:p>
        </w:tc>
        <w:tc>
          <w:tcPr/>
          <w:p>
            <w:pPr>
              <w:pStyle w:val="Compact"/>
              <w:jc w:val="left"/>
            </w:pPr>
            <w:r>
              <w:t xml:space="preserve">Dual bound ≥ optimum ≥ primal-feasible bound</w:t>
            </w:r>
          </w:p>
        </w:tc>
      </w:tr>
      <w:tr>
        <w:tc>
          <w:tcPr/>
          <w:p>
            <w:pPr>
              <w:pStyle w:val="Compact"/>
              <w:jc w:val="left"/>
            </w:pPr>
            <w:r>
              <w:t xml:space="preserve">16</w:t>
            </w:r>
          </w:p>
        </w:tc>
        <w:tc>
          <w:tcPr/>
          <w:p>
            <w:pPr>
              <w:pStyle w:val="Compact"/>
              <w:jc w:val="left"/>
            </w:pPr>
            <w:r>
              <w:t xml:space="preserve">Block-diagonal affinity</w:t>
            </w:r>
          </w:p>
        </w:tc>
        <w:tc>
          <w:tcPr/>
          <w:p>
            <w:pPr>
              <w:pStyle w:val="Compact"/>
              <w:jc w:val="left"/>
            </w:pPr>
            <w:r>
              <w:t xml:space="preserve">Spectral embedder</w:t>
            </w:r>
          </w:p>
        </w:tc>
        <w:tc>
          <w:tcPr/>
          <w:p>
            <w:pPr>
              <w:pStyle w:val="Compact"/>
              <w:jc w:val="left"/>
            </w:pPr>
            <w:r>
              <w:t xml:space="preserve">Correct cluster separation</w:t>
            </w:r>
          </w:p>
        </w:tc>
      </w:tr>
      <w:tr>
        <w:tc>
          <w:tcPr/>
          <w:p>
            <w:pPr>
              <w:pStyle w:val="Compact"/>
              <w:jc w:val="left"/>
            </w:pPr>
            <w:r>
              <w:t xml:space="preserve">17</w:t>
            </w:r>
          </w:p>
        </w:tc>
        <w:tc>
          <w:tcPr/>
          <w:p>
            <w:pPr>
              <w:pStyle w:val="Compact"/>
              <w:jc w:val="left"/>
            </w:pPr>
            <w:r>
              <w:t xml:space="preserve">Path-graph monotonicity</w:t>
            </w:r>
          </w:p>
        </w:tc>
        <w:tc>
          <w:tcPr/>
          <w:p>
            <w:pPr>
              <w:pStyle w:val="Compact"/>
              <w:jc w:val="left"/>
            </w:pPr>
            <w:r>
              <w:t xml:space="preserve">Hitting-time score</w:t>
            </w:r>
          </w:p>
        </w:tc>
        <w:tc>
          <w:tcPr/>
          <w:p>
            <w:pPr>
              <w:pStyle w:val="Compact"/>
              <w:jc w:val="left"/>
            </w:pPr>
            <w:r>
              <w:t xml:space="preserve">Score increases with graph distance</w:t>
            </w:r>
          </w:p>
        </w:tc>
      </w:tr>
      <w:tr>
        <w:tc>
          <w:tcPr/>
          <w:p>
            <w:pPr>
              <w:pStyle w:val="Compact"/>
              <w:jc w:val="left"/>
            </w:pPr>
            <w:r>
              <w:t xml:space="preserve">18</w:t>
            </w:r>
          </w:p>
        </w:tc>
        <w:tc>
          <w:tcPr/>
          <w:p>
            <w:pPr>
              <w:pStyle w:val="Compact"/>
              <w:jc w:val="left"/>
            </w:pPr>
            <w:r>
              <w:t xml:space="preserve">End-to-end synthetic document</w:t>
            </w:r>
          </w:p>
        </w:tc>
        <w:tc>
          <w:tcPr/>
          <w:p>
            <w:pPr>
              <w:pStyle w:val="Compact"/>
              <w:jc w:val="left"/>
            </w:pPr>
            <w:r>
              <w:t xml:space="preserve">Full pipeline</w:t>
            </w:r>
          </w:p>
        </w:tc>
        <w:tc>
          <w:tcPr/>
          <w:p>
            <w:pPr>
              <w:pStyle w:val="Compact"/>
              <w:jc w:val="left"/>
            </w:pPr>
            <w:r>
              <w:t xml:space="preserve">Ingestion → packed context, no stage failure</w:t>
            </w:r>
          </w:p>
        </w:tc>
      </w:tr>
    </w:tbl>
    <w:bookmarkEnd w:id="186"/>
    <w:bookmarkStart w:id="187" w:name="X70f406c5aa779ac94c39fad1e6f0967694d36bd"/>
    <w:p>
      <w:pPr>
        <w:pStyle w:val="Heading2"/>
      </w:pPr>
      <w:r>
        <w:t xml:space="preserve">Appendix E — Engine and Component Implementation-Status Matrix</w:t>
      </w:r>
    </w:p>
    <w:p>
      <w:pPr>
        <w:pStyle w:val="FirstParagraph"/>
      </w:pPr>
      <w:r>
        <w:t xml:space="preserve">Consistent with Section 1.4’s evidentiary-tagging commitment, this table summarizes verification status across every major component discussed in this monograph, distinguishing</w:t>
      </w:r>
      <w:r>
        <w:t xml:space="preserve"> </w:t>
      </w:r>
      <w:r>
        <w:rPr>
          <w:iCs/>
          <w:i/>
        </w:rPr>
        <w:t xml:space="preserve">hardened</w:t>
      </w:r>
      <w:r>
        <w:t xml:space="preserve"> </w:t>
      </w:r>
      <w:r>
        <w:t xml:space="preserve">(implemented and unit-tested, Sections 6–9, 11),</w:t>
      </w:r>
      <w:r>
        <w:t xml:space="preserve"> </w:t>
      </w:r>
      <w:r>
        <w:rPr>
          <w:iCs/>
          <w:i/>
        </w:rPr>
        <w:t xml:space="preserve">structurally verified</w:t>
      </w:r>
      <w:r>
        <w:t xml:space="preserve"> </w:t>
      </w:r>
      <w:r>
        <w:t xml:space="preserve">(implemented and tested for structural/interface correctness but not semantic quality, Section 12), and</w:t>
      </w:r>
      <w:r>
        <w:t xml:space="preserve"> </w:t>
      </w:r>
      <w:r>
        <w:rPr>
          <w:iCs/>
          <w:i/>
        </w:rPr>
        <w:t xml:space="preserve">proposed</w:t>
      </w:r>
      <w:r>
        <w:t xml:space="preserve"> </w:t>
      </w:r>
      <w:r>
        <w:t xml:space="preserve">(specified but not implemented in the current reference codebase, Section 23).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Section</w:t>
            </w:r>
          </w:p>
        </w:tc>
      </w:tr>
      <w:tr>
        <w:tc>
          <w:tcPr/>
          <w:p>
            <w:pPr>
              <w:pStyle w:val="Compact"/>
              <w:jc w:val="left"/>
            </w:pPr>
            <w:r>
              <w:t xml:space="preserve">Reading-order graph construction &amp; recovery</w:t>
            </w:r>
          </w:p>
        </w:tc>
        <w:tc>
          <w:tcPr/>
          <w:p>
            <w:pPr>
              <w:pStyle w:val="Compact"/>
              <w:jc w:val="left"/>
            </w:pPr>
            <w:r>
              <w:t xml:space="preserve">Hardened</w:t>
            </w:r>
          </w:p>
        </w:tc>
        <w:tc>
          <w:tcPr/>
          <w:p>
            <w:pPr>
              <w:pStyle w:val="Compact"/>
              <w:jc w:val="left"/>
            </w:pPr>
            <w:r>
              <w:t xml:space="preserve">6, 11.2</w:t>
            </w:r>
          </w:p>
        </w:tc>
      </w:tr>
      <w:tr>
        <w:tc>
          <w:tcPr/>
          <w:p>
            <w:pPr>
              <w:pStyle w:val="Compact"/>
              <w:jc w:val="left"/>
            </w:pPr>
            <w:r>
              <w:t xml:space="preserve">Elastic chunker (4-rule boundary detection)</w:t>
            </w:r>
          </w:p>
        </w:tc>
        <w:tc>
          <w:tcPr/>
          <w:p>
            <w:pPr>
              <w:pStyle w:val="Compact"/>
              <w:jc w:val="left"/>
            </w:pPr>
            <w:r>
              <w:t xml:space="preserve">Hardened</w:t>
            </w:r>
          </w:p>
        </w:tc>
        <w:tc>
          <w:tcPr/>
          <w:p>
            <w:pPr>
              <w:pStyle w:val="Compact"/>
              <w:jc w:val="left"/>
            </w:pPr>
            <w:r>
              <w:t xml:space="preserve">7, 11.3</w:t>
            </w:r>
          </w:p>
        </w:tc>
      </w:tr>
      <w:tr>
        <w:tc>
          <w:tcPr/>
          <w:p>
            <w:pPr>
              <w:pStyle w:val="Compact"/>
              <w:jc w:val="left"/>
            </w:pPr>
            <w:r>
              <w:t xml:space="preserve">0/1 knapsack exact solver + greedy fallback</w:t>
            </w:r>
          </w:p>
        </w:tc>
        <w:tc>
          <w:tcPr/>
          <w:p>
            <w:pPr>
              <w:pStyle w:val="Compact"/>
              <w:jc w:val="left"/>
            </w:pPr>
            <w:r>
              <w:t xml:space="preserve">Hardened</w:t>
            </w:r>
          </w:p>
        </w:tc>
        <w:tc>
          <w:tcPr/>
          <w:p>
            <w:pPr>
              <w:pStyle w:val="Compact"/>
              <w:jc w:val="left"/>
            </w:pPr>
            <w:r>
              <w:t xml:space="preserve">9, 11.4</w:t>
            </w:r>
          </w:p>
        </w:tc>
      </w:tr>
      <w:tr>
        <w:tc>
          <w:tcPr/>
          <w:p>
            <w:pPr>
              <w:pStyle w:val="Compact"/>
              <w:jc w:val="left"/>
            </w:pPr>
            <w:r>
              <w:t xml:space="preserve">Multi-choice knapsack solver</w:t>
            </w:r>
          </w:p>
        </w:tc>
        <w:tc>
          <w:tcPr/>
          <w:p>
            <w:pPr>
              <w:pStyle w:val="Compact"/>
              <w:jc w:val="left"/>
            </w:pPr>
            <w:r>
              <w:t xml:space="preserve">Hardened</w:t>
            </w:r>
          </w:p>
        </w:tc>
        <w:tc>
          <w:tcPr/>
          <w:p>
            <w:pPr>
              <w:pStyle w:val="Compact"/>
              <w:jc w:val="left"/>
            </w:pPr>
            <w:r>
              <w:t xml:space="preserve">12.1</w:t>
            </w:r>
          </w:p>
        </w:tc>
      </w:tr>
      <w:tr>
        <w:tc>
          <w:tcPr/>
          <w:p>
            <w:pPr>
              <w:pStyle w:val="Compact"/>
              <w:jc w:val="left"/>
            </w:pPr>
            <w:r>
              <w:t xml:space="preserve">Lagrangian relaxation solver</w:t>
            </w:r>
          </w:p>
        </w:tc>
        <w:tc>
          <w:tcPr/>
          <w:p>
            <w:pPr>
              <w:pStyle w:val="Compact"/>
              <w:jc w:val="left"/>
            </w:pPr>
            <w:r>
              <w:t xml:space="preserve">Hardened</w:t>
            </w:r>
          </w:p>
        </w:tc>
        <w:tc>
          <w:tcPr/>
          <w:p>
            <w:pPr>
              <w:pStyle w:val="Compact"/>
              <w:jc w:val="left"/>
            </w:pPr>
            <w:r>
              <w:t xml:space="preserve">12.2</w:t>
            </w:r>
          </w:p>
        </w:tc>
      </w:tr>
      <w:tr>
        <w:tc>
          <w:tcPr/>
          <w:p>
            <w:pPr>
              <w:pStyle w:val="Compact"/>
              <w:jc w:val="left"/>
            </w:pPr>
            <w:r>
              <w:t xml:space="preserve">Spectral embedder (structural grouping)</w:t>
            </w:r>
          </w:p>
        </w:tc>
        <w:tc>
          <w:tcPr/>
          <w:p>
            <w:pPr>
              <w:pStyle w:val="Compact"/>
              <w:jc w:val="left"/>
            </w:pPr>
            <w:r>
              <w:t xml:space="preserve">Hardened</w:t>
            </w:r>
          </w:p>
        </w:tc>
        <w:tc>
          <w:tcPr/>
          <w:p>
            <w:pPr>
              <w:pStyle w:val="Compact"/>
              <w:jc w:val="left"/>
            </w:pPr>
            <w:r>
              <w:t xml:space="preserve">12.4</w:t>
            </w:r>
          </w:p>
        </w:tc>
      </w:tr>
      <w:tr>
        <w:tc>
          <w:tcPr/>
          <w:p>
            <w:pPr>
              <w:pStyle w:val="Compact"/>
              <w:jc w:val="left"/>
            </w:pPr>
            <w:r>
              <w:t xml:space="preserve">Hitting-time score</w:t>
            </w:r>
          </w:p>
        </w:tc>
        <w:tc>
          <w:tcPr/>
          <w:p>
            <w:pPr>
              <w:pStyle w:val="Compact"/>
              <w:jc w:val="left"/>
            </w:pPr>
            <w:r>
              <w:t xml:space="preserve">Hardened</w:t>
            </w:r>
          </w:p>
        </w:tc>
        <w:tc>
          <w:tcPr/>
          <w:p>
            <w:pPr>
              <w:pStyle w:val="Compact"/>
              <w:jc w:val="left"/>
            </w:pPr>
            <w:r>
              <w:t xml:space="preserve">12.5</w:t>
            </w:r>
          </w:p>
        </w:tc>
      </w:tr>
      <w:tr>
        <w:tc>
          <w:tcPr/>
          <w:p>
            <w:pPr>
              <w:pStyle w:val="Compact"/>
              <w:jc w:val="left"/>
            </w:pPr>
            <w:r>
              <w:t xml:space="preserve">Tabular compiler (relational coordinate invariance)</w:t>
            </w:r>
          </w:p>
        </w:tc>
        <w:tc>
          <w:tcPr/>
          <w:p>
            <w:pPr>
              <w:pStyle w:val="Compact"/>
              <w:jc w:val="left"/>
            </w:pPr>
            <w:r>
              <w:t xml:space="preserve">Hardened</w:t>
            </w:r>
          </w:p>
        </w:tc>
        <w:tc>
          <w:tcPr/>
          <w:p>
            <w:pPr>
              <w:pStyle w:val="Compact"/>
              <w:jc w:val="left"/>
            </w:pPr>
            <w:r>
              <w:t xml:space="preserve">12.7</w:t>
            </w:r>
          </w:p>
        </w:tc>
      </w:tr>
      <w:tr>
        <w:tc>
          <w:tcPr/>
          <w:p>
            <w:pPr>
              <w:pStyle w:val="Compact"/>
              <w:jc w:val="left"/>
            </w:pPr>
            <w:r>
              <w:t xml:space="preserve">Fiedler-vector reading order</w:t>
            </w:r>
          </w:p>
        </w:tc>
        <w:tc>
          <w:tcPr/>
          <w:p>
            <w:pPr>
              <w:pStyle w:val="Compact"/>
              <w:jc w:val="left"/>
            </w:pPr>
            <w:r>
              <w:t xml:space="preserve">Rejected (documented, not adopted)</w:t>
            </w:r>
          </w:p>
        </w:tc>
        <w:tc>
          <w:tcPr/>
          <w:p>
            <w:pPr>
              <w:pStyle w:val="Compact"/>
              <w:jc w:val="left"/>
            </w:pPr>
            <w:r>
              <w:t xml:space="preserve">12.6</w:t>
            </w:r>
          </w:p>
        </w:tc>
      </w:tr>
      <w:tr>
        <w:tc>
          <w:tcPr/>
          <w:p>
            <w:pPr>
              <w:pStyle w:val="Compact"/>
              <w:jc w:val="left"/>
            </w:pPr>
            <w:r>
              <w:t xml:space="preserve">LinUCB contextual-bandit router</w:t>
            </w:r>
          </w:p>
        </w:tc>
        <w:tc>
          <w:tcPr/>
          <w:p>
            <w:pPr>
              <w:pStyle w:val="Compact"/>
              <w:jc w:val="left"/>
            </w:pPr>
            <w:r>
              <w:t xml:space="preserve">Hardened (simulated-feedback convergence)</w:t>
            </w:r>
          </w:p>
        </w:tc>
        <w:tc>
          <w:tcPr/>
          <w:p>
            <w:pPr>
              <w:pStyle w:val="Compact"/>
              <w:jc w:val="left"/>
            </w:pPr>
            <w:r>
              <w:t xml:space="preserve">13.5</w:t>
            </w:r>
          </w:p>
        </w:tc>
      </w:tr>
      <w:tr>
        <w:tc>
          <w:tcPr/>
          <w:p>
            <w:pPr>
              <w:pStyle w:val="Compact"/>
              <w:jc w:val="left"/>
            </w:pPr>
            <w:r>
              <w:t xml:space="preserve">Semantic (LayoutLM-class) encoder</w:t>
            </w:r>
          </w:p>
        </w:tc>
        <w:tc>
          <w:tcPr/>
          <w:p>
            <w:pPr>
              <w:pStyle w:val="Compact"/>
              <w:jc w:val="left"/>
            </w:pPr>
            <w:r>
              <w:t xml:space="preserve">Proposed / mock in place</w:t>
            </w:r>
          </w:p>
        </w:tc>
        <w:tc>
          <w:tcPr/>
          <w:p>
            <w:pPr>
              <w:pStyle w:val="Compact"/>
              <w:jc w:val="left"/>
            </w:pPr>
            <w:r>
              <w:t xml:space="preserve">5.6, 22.4, 23</w:t>
            </w:r>
          </w:p>
        </w:tc>
      </w:tr>
      <w:tr>
        <w:tc>
          <w:tcPr/>
          <w:p>
            <w:pPr>
              <w:pStyle w:val="Compact"/>
              <w:jc w:val="left"/>
            </w:pPr>
            <w:r>
              <w:t xml:space="preserve">Image / flowchart encoders</w:t>
            </w:r>
          </w:p>
        </w:tc>
        <w:tc>
          <w:tcPr/>
          <w:p>
            <w:pPr>
              <w:pStyle w:val="Compact"/>
              <w:jc w:val="left"/>
            </w:pPr>
            <w:r>
              <w:t xml:space="preserve">Structurally verified, semantically untrained</w:t>
            </w:r>
          </w:p>
        </w:tc>
        <w:tc>
          <w:tcPr/>
          <w:p>
            <w:pPr>
              <w:pStyle w:val="Compact"/>
              <w:jc w:val="left"/>
            </w:pPr>
            <w:r>
              <w:t xml:space="preserve">12.3, 22.4</w:t>
            </w:r>
          </w:p>
        </w:tc>
      </w:tr>
      <w:tr>
        <w:tc>
          <w:tcPr/>
          <w:p>
            <w:pPr>
              <w:pStyle w:val="Compact"/>
              <w:jc w:val="left"/>
            </w:pPr>
            <w:r>
              <w:t xml:space="preserve">Topology engine (persistent homology)</w:t>
            </w:r>
          </w:p>
        </w:tc>
        <w:tc>
          <w:tcPr/>
          <w:p>
            <w:pPr>
              <w:pStyle w:val="Compact"/>
              <w:jc w:val="left"/>
            </w:pPr>
            <w:r>
              <w:t xml:space="preserve">Proposed, not yet evaluated</w:t>
            </w:r>
          </w:p>
        </w:tc>
        <w:tc>
          <w:tcPr/>
          <w:p>
            <w:pPr>
              <w:pStyle w:val="Compact"/>
              <w:jc w:val="left"/>
            </w:pPr>
            <w:r>
              <w:t xml:space="preserve">5.4, 23</w:t>
            </w:r>
          </w:p>
        </w:tc>
      </w:tr>
      <w:tr>
        <w:tc>
          <w:tcPr/>
          <w:p>
            <w:pPr>
              <w:pStyle w:val="Compact"/>
              <w:jc w:val="left"/>
            </w:pPr>
            <w:r>
              <w:t xml:space="preserve">Tensor engine (Tucker/CP/TT decomposition)</w:t>
            </w:r>
          </w:p>
        </w:tc>
        <w:tc>
          <w:tcPr/>
          <w:p>
            <w:pPr>
              <w:pStyle w:val="Compact"/>
              <w:jc w:val="left"/>
            </w:pPr>
            <w:r>
              <w:t xml:space="preserve">Documented mathematical contract; not covered by Section 11 tests</w:t>
            </w:r>
          </w:p>
        </w:tc>
        <w:tc>
          <w:tcPr/>
          <w:p>
            <w:pPr>
              <w:pStyle w:val="Compact"/>
              <w:jc w:val="left"/>
            </w:pPr>
            <w:r>
              <w:t xml:space="preserve">5.4</w:t>
            </w:r>
          </w:p>
        </w:tc>
      </w:tr>
      <w:tr>
        <w:tc>
          <w:tcPr/>
          <w:p>
            <w:pPr>
              <w:pStyle w:val="Compact"/>
              <w:jc w:val="left"/>
            </w:pPr>
            <w:r>
              <w:t xml:space="preserve">Full distributed production topology</w:t>
            </w:r>
          </w:p>
        </w:tc>
        <w:tc>
          <w:tcPr/>
          <w:p>
            <w:pPr>
              <w:pStyle w:val="Compact"/>
              <w:jc w:val="left"/>
            </w:pPr>
            <w:r>
              <w:t xml:space="preserve">Proposed / architecture target</w:t>
            </w:r>
          </w:p>
        </w:tc>
        <w:tc>
          <w:tcPr/>
          <w:p>
            <w:pPr>
              <w:pStyle w:val="Compact"/>
              <w:jc w:val="left"/>
            </w:pPr>
            <w:r>
              <w:t xml:space="preserve">4.3, 20.3, 22.2</w:t>
            </w:r>
          </w:p>
        </w:tc>
      </w:tr>
      <w:tr>
        <w:tc>
          <w:tcPr/>
          <w:p>
            <w:pPr>
              <w:pStyle w:val="Compact"/>
              <w:jc w:val="left"/>
            </w:pPr>
            <w:r>
              <w:t xml:space="preserve">End-to-end benchmark evaluation (Section 21 protocol)</w:t>
            </w:r>
          </w:p>
        </w:tc>
        <w:tc>
          <w:tcPr/>
          <w:p>
            <w:pPr>
              <w:pStyle w:val="Compact"/>
              <w:jc w:val="left"/>
            </w:pPr>
            <w:r>
              <w:t xml:space="preserve">Proposed, not yet executed</w:t>
            </w:r>
          </w:p>
        </w:tc>
        <w:tc>
          <w:tcPr/>
          <w:p>
            <w:pPr>
              <w:pStyle w:val="Compact"/>
              <w:jc w:val="left"/>
            </w:pPr>
            <w:r>
              <w:t xml:space="preserve">21, 23</w:t>
            </w:r>
          </w:p>
        </w:tc>
      </w:tr>
    </w:tbl>
    <w:bookmarkEnd w:id="187"/>
    <w:bookmarkStart w:id="195" w:name="Xfc65b0915e7d9d3f410e41cf7b9c540711e7afc"/>
    <w:p>
      <w:pPr>
        <w:pStyle w:val="Heading2"/>
      </w:pPr>
      <w:r>
        <w:t xml:space="preserve">Appendix F — Worked Numerical Example: Ingestion Through Packed Context</w:t>
      </w:r>
    </w:p>
    <w:p>
      <w:pPr>
        <w:pStyle w:val="FirstParagraph"/>
      </w:pPr>
      <w:r>
        <w:t xml:space="preserve">This appendix traces a single synthetic page through the hardened pipeline stages of Sections 6, 7, and 9, with concrete numbers, to make the abstract formalism tangible. The page contains five elements: a title, two columns of body text, a table, and a footer.</w:t>
      </w:r>
    </w:p>
    <w:bookmarkStart w:id="188" w:name="f.1-input-elements"/>
    <w:p>
      <w:pPr>
        <w:pStyle w:val="Heading3"/>
      </w:pPr>
      <w:r>
        <w:t xml:space="preserve">F.1 Input Elements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Type</w:t>
            </w:r>
          </w:p>
        </w:tc>
        <w:tc>
          <w:tcPr/>
          <w:p>
            <w:pPr>
              <w:pStyle w:val="Compact"/>
              <w:jc w:val="left"/>
            </w:pPr>
            <w:r>
              <w:t xml:space="preserve">Normalized bbox (x,y,w,h)</w:t>
            </w:r>
          </w:p>
        </w:tc>
        <w:tc>
          <w:tcPr/>
          <w:p>
            <w:pPr>
              <w:pStyle w:val="Compact"/>
              <w:jc w:val="left"/>
            </w:pPr>
            <w:r>
              <w:t xml:space="preserve">Font size</w:t>
            </w:r>
          </w:p>
        </w:tc>
        <w:tc>
          <w:tcPr/>
          <w:p>
            <w:pPr>
              <w:pStyle w:val="Compact"/>
              <w:jc w:val="left"/>
            </w:pPr>
            <w:r>
              <w:t xml:space="preserve">Token count</w:t>
            </w:r>
          </w:p>
        </w:tc>
      </w:tr>
      <w:tr>
        <w:tc>
          <w:tcPr/>
          <w:p>
            <w:pPr>
              <w:pStyle w:val="Compact"/>
              <w:jc w:val="left"/>
            </w:pPr>
            <w:r>
              <w:t xml:space="preserve">E1</w:t>
            </w:r>
          </w:p>
        </w:tc>
        <w:tc>
          <w:tcPr/>
          <w:p>
            <w:pPr>
              <w:pStyle w:val="Compact"/>
              <w:jc w:val="left"/>
            </w:pPr>
            <w:r>
              <w:t xml:space="preserve">Title</w:t>
            </w:r>
          </w:p>
        </w:tc>
        <w:tc>
          <w:tcPr/>
          <w:p>
            <w:pPr>
              <w:pStyle w:val="Compact"/>
              <w:jc w:val="left"/>
            </w:pPr>
            <w:r>
              <w:t xml:space="preserve">(0.05, 0.02, 0.90, 0.06)</w:t>
            </w:r>
          </w:p>
        </w:tc>
        <w:tc>
          <w:tcPr/>
          <w:p>
            <w:pPr>
              <w:pStyle w:val="Compact"/>
              <w:jc w:val="left"/>
            </w:pPr>
            <w:r>
              <w:t xml:space="preserve">18pt</w:t>
            </w:r>
          </w:p>
        </w:tc>
        <w:tc>
          <w:tcPr/>
          <w:p>
            <w:pPr>
              <w:pStyle w:val="Compact"/>
              <w:jc w:val="left"/>
            </w:pPr>
            <w:r>
              <w:t xml:space="preserve">8</w:t>
            </w:r>
          </w:p>
        </w:tc>
      </w:tr>
      <w:tr>
        <w:tc>
          <w:tcPr/>
          <w:p>
            <w:pPr>
              <w:pStyle w:val="Compact"/>
              <w:jc w:val="left"/>
            </w:pPr>
            <w:r>
              <w:t xml:space="preserve">E2</w:t>
            </w:r>
          </w:p>
        </w:tc>
        <w:tc>
          <w:tcPr/>
          <w:p>
            <w:pPr>
              <w:pStyle w:val="Compact"/>
              <w:jc w:val="left"/>
            </w:pPr>
            <w:r>
              <w:t xml:space="preserve">Body (col. A)</w:t>
            </w:r>
          </w:p>
        </w:tc>
        <w:tc>
          <w:tcPr/>
          <w:p>
            <w:pPr>
              <w:pStyle w:val="Compact"/>
              <w:jc w:val="left"/>
            </w:pPr>
            <w:r>
              <w:t xml:space="preserve">(0.05, 0.12, 0.42, 0.55)</w:t>
            </w:r>
          </w:p>
        </w:tc>
        <w:tc>
          <w:tcPr/>
          <w:p>
            <w:pPr>
              <w:pStyle w:val="Compact"/>
              <w:jc w:val="left"/>
            </w:pPr>
            <w:r>
              <w:t xml:space="preserve">11pt</w:t>
            </w:r>
          </w:p>
        </w:tc>
        <w:tc>
          <w:tcPr/>
          <w:p>
            <w:pPr>
              <w:pStyle w:val="Compact"/>
              <w:jc w:val="left"/>
            </w:pPr>
            <w:r>
              <w:t xml:space="preserve">340</w:t>
            </w:r>
          </w:p>
        </w:tc>
      </w:tr>
      <w:tr>
        <w:tc>
          <w:tcPr/>
          <w:p>
            <w:pPr>
              <w:pStyle w:val="Compact"/>
              <w:jc w:val="left"/>
            </w:pPr>
            <w:r>
              <w:t xml:space="preserve">E3</w:t>
            </w:r>
          </w:p>
        </w:tc>
        <w:tc>
          <w:tcPr/>
          <w:p>
            <w:pPr>
              <w:pStyle w:val="Compact"/>
              <w:jc w:val="left"/>
            </w:pPr>
            <w:r>
              <w:t xml:space="preserve">Body (col. B)</w:t>
            </w:r>
          </w:p>
        </w:tc>
        <w:tc>
          <w:tcPr/>
          <w:p>
            <w:pPr>
              <w:pStyle w:val="Compact"/>
              <w:jc w:val="left"/>
            </w:pPr>
            <w:r>
              <w:t xml:space="preserve">(0.53, 0.12, 0.42, 0.55)</w:t>
            </w:r>
          </w:p>
        </w:tc>
        <w:tc>
          <w:tcPr/>
          <w:p>
            <w:pPr>
              <w:pStyle w:val="Compact"/>
              <w:jc w:val="left"/>
            </w:pPr>
            <w:r>
              <w:t xml:space="preserve">11pt</w:t>
            </w:r>
          </w:p>
        </w:tc>
        <w:tc>
          <w:tcPr/>
          <w:p>
            <w:pPr>
              <w:pStyle w:val="Compact"/>
              <w:jc w:val="left"/>
            </w:pPr>
            <w:r>
              <w:t xml:space="preserve">355</w:t>
            </w:r>
          </w:p>
        </w:tc>
      </w:tr>
      <w:tr>
        <w:tc>
          <w:tcPr/>
          <w:p>
            <w:pPr>
              <w:pStyle w:val="Compact"/>
              <w:jc w:val="left"/>
            </w:pPr>
            <w:r>
              <w:t xml:space="preserve">E4</w:t>
            </w:r>
          </w:p>
        </w:tc>
        <w:tc>
          <w:tcPr/>
          <w:p>
            <w:pPr>
              <w:pStyle w:val="Compact"/>
              <w:jc w:val="left"/>
            </w:pPr>
            <w:r>
              <w:t xml:space="preserve">Table</w:t>
            </w:r>
          </w:p>
        </w:tc>
        <w:tc>
          <w:tcPr/>
          <w:p>
            <w:pPr>
              <w:pStyle w:val="Compact"/>
              <w:jc w:val="left"/>
            </w:pPr>
            <w:r>
              <w:t xml:space="preserve">(0.05, 0.70, 0.90, 0.20)</w:t>
            </w:r>
          </w:p>
        </w:tc>
        <w:tc>
          <w:tcPr/>
          <w:p>
            <w:pPr>
              <w:pStyle w:val="Compact"/>
              <w:jc w:val="left"/>
            </w:pPr>
            <w:r>
              <w:t xml:space="preserve">10pt</w:t>
            </w:r>
          </w:p>
        </w:tc>
        <w:tc>
          <w:tcPr/>
          <w:p>
            <w:pPr>
              <w:pStyle w:val="Compact"/>
              <w:jc w:val="left"/>
            </w:pPr>
            <w:r>
              <w:t xml:space="preserve">210</w:t>
            </w:r>
          </w:p>
        </w:tc>
      </w:tr>
      <w:tr>
        <w:tc>
          <w:tcPr/>
          <w:p>
            <w:pPr>
              <w:pStyle w:val="Compact"/>
              <w:jc w:val="left"/>
            </w:pPr>
            <w:r>
              <w:t xml:space="preserve">E5</w:t>
            </w:r>
          </w:p>
        </w:tc>
        <w:tc>
          <w:tcPr/>
          <w:p>
            <w:pPr>
              <w:pStyle w:val="Compact"/>
              <w:jc w:val="left"/>
            </w:pPr>
            <w:r>
              <w:t xml:space="preserve">Footer</w:t>
            </w:r>
          </w:p>
        </w:tc>
        <w:tc>
          <w:tcPr/>
          <w:p>
            <w:pPr>
              <w:pStyle w:val="Compact"/>
              <w:jc w:val="left"/>
            </w:pPr>
            <w:r>
              <w:t xml:space="preserve">(0.05, 0.95, 0.90, 0.03)</w:t>
            </w:r>
          </w:p>
        </w:tc>
        <w:tc>
          <w:tcPr/>
          <w:p>
            <w:pPr>
              <w:pStyle w:val="Compact"/>
              <w:jc w:val="left"/>
            </w:pPr>
            <w:r>
              <w:t xml:space="preserve">8pt</w:t>
            </w:r>
          </w:p>
        </w:tc>
        <w:tc>
          <w:tcPr/>
          <w:p>
            <w:pPr>
              <w:pStyle w:val="Compact"/>
              <w:jc w:val="left"/>
            </w:pPr>
            <w:r>
              <w:t xml:space="preserve">12</w:t>
            </w:r>
          </w:p>
        </w:tc>
      </w:tr>
    </w:tbl>
    <w:bookmarkEnd w:id="188"/>
    <w:bookmarkStart w:id="189" w:name="X362810eab7cd11923ba6c24edbcce4d4d4383f9"/>
    <w:p>
      <w:pPr>
        <w:pStyle w:val="Heading3"/>
      </w:pPr>
      <w:r>
        <w:t xml:space="preserve">F.2 Reading-Order Graph Construction (Section 6)</w:t>
      </w:r>
    </w:p>
    <w:p>
      <w:pPr>
        <w:pStyle w:val="FirstParagraph"/>
      </w:pPr>
      <w:r>
        <w:t xml:space="preserve">Applying Definition 6.1: E1 is a reading-forward predecessor of both E2 and E3 (both lie on a strictly lower row band). Within the row band shared by E2 and E3, E2 (x=0.05) precedes E3 (x=0.53) by the same-row, left-to-right rule. Both E2 and E3 precede E4 (lower row band), and E4 precedes E5. The horizontal overlap coefficient Φ suppresses a spurious direct edge from E2 to E3’s</w:t>
      </w:r>
      <w:r>
        <w:t xml:space="preserve"> </w:t>
      </w:r>
      <w:r>
        <w:rPr>
          <w:iCs/>
          <w:i/>
        </w:rPr>
        <w:t xml:space="preserve">interior</w:t>
      </w:r>
      <w:r>
        <w:t xml:space="preserve"> </w:t>
      </w:r>
      <w:r>
        <w:t xml:space="preserve">rows (they do not project onto the same horizontal band except at the row where the columns start), preventing the column-crossing failure mode Section 6.2 exists to avoid. Kahn’s algorithm yields the deterministic order:</w:t>
      </w:r>
    </w:p>
    <w:p>
      <w:pPr>
        <w:pStyle w:val="BodyText"/>
      </w:pPr>
      <w:r>
        <w:rPr>
          <w:bCs/>
          <w:b/>
        </w:rPr>
        <w:t xml:space="preserve">S = (E1, E2, E3, E4, E5)</w:t>
      </w:r>
    </w:p>
    <w:bookmarkEnd w:id="189"/>
    <w:bookmarkStart w:id="190" w:name="f.3-elastic-chunking-section-7"/>
    <w:p>
      <w:pPr>
        <w:pStyle w:val="Heading3"/>
      </w:pPr>
      <w:r>
        <w:t xml:space="preserve">F.3 Elastic Chunking (Section 7)</w:t>
      </w:r>
    </w:p>
    <w:p>
      <w:pPr>
        <w:pStyle w:val="FirstParagraph"/>
      </w:pPr>
      <w:r>
        <w:t xml:space="preserve">Walking S under the four boundary rules: E1→E2 draws a boundary (font-delta rule: 18pt vs. 11pt exceeds threshold). E2→E3 draws a boundary despite similar font size, because the soft-budget rule fires once E2 alone (340 tokens) approaches the configured per-chunk soft budget (illustrative value: 400 tokens), and because E2 and E3 are not vertically adjacent in the same column flow. E3→E4 draws a hard boundary (protected-type rule: E4 is a table). E4→E5 draws a hard boundary (protected-type rule, applied on the table’s trailing edge) and additionally a font-delta boundary. Result: four chunks, c1={E1}, c2={E2}, c3={E3}, c4={E4}, c5={E5} — five elements collapse to five chunks in this adversarial small example because every adjacent pair triggers at least one rule; a longer, more homogeneous document would show more merging.</w:t>
      </w:r>
    </w:p>
    <w:bookmarkEnd w:id="190"/>
    <w:bookmarkStart w:id="191" w:name="f.4-value-scoring-section-8.2"/>
    <w:p>
      <w:pPr>
        <w:pStyle w:val="Heading3"/>
      </w:pPr>
      <w:r>
        <w:t xml:space="preserve">F.4 Value Scoring (Section 8.2)</w:t>
      </w:r>
    </w:p>
    <w:p>
      <w:pPr>
        <w:pStyle w:val="FirstParagraph"/>
      </w:pPr>
      <w:r>
        <w:t xml:space="preserve">For an illustrative query</w:t>
      </w:r>
      <w:r>
        <w:t xml:space="preserve"> </w:t>
      </w:r>
      <w:r>
        <w:t xml:space="preserve">“</w:t>
      </w:r>
      <w:r>
        <w:t xml:space="preserve">What were the reported figures in the results table?</w:t>
      </w:r>
      <w:r>
        <w:t xml:space="preserve">”</w:t>
      </w:r>
      <w:r>
        <w:t xml:space="preserve">, suppose the blended value function (Section 8.2, w1=0.6, w2=0.3, w3=0.1) yields: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Chunk</w:t>
            </w:r>
          </w:p>
        </w:tc>
        <w:tc>
          <w:tcPr/>
          <w:p>
            <w:pPr>
              <w:pStyle w:val="Compact"/>
              <w:jc w:val="left"/>
            </w:pPr>
            <w:r>
              <w:t xml:space="preserve">Cosine sim.</w:t>
            </w:r>
          </w:p>
        </w:tc>
        <w:tc>
          <w:tcPr/>
          <w:p>
            <w:pPr>
              <w:pStyle w:val="Compact"/>
              <w:jc w:val="left"/>
            </w:pPr>
            <w:r>
              <w:t xml:space="preserve">Structural flag M</w:t>
            </w:r>
          </w:p>
        </w:tc>
        <w:tc>
          <w:tcPr/>
          <w:p>
            <w:pPr>
              <w:pStyle w:val="Compact"/>
              <w:jc w:val="left"/>
            </w:pPr>
            <w:r>
              <w:t xml:space="preserve">Recency</w:t>
            </w:r>
          </w:p>
        </w:tc>
        <w:tc>
          <w:tcPr/>
          <w:p>
            <w:pPr>
              <w:pStyle w:val="Compact"/>
              <w:jc w:val="left"/>
            </w:pPr>
            <w:r>
              <w:t xml:space="preserve">V_i(q)</w:t>
            </w:r>
          </w:p>
        </w:tc>
        <w:tc>
          <w:tcPr/>
          <w:p>
            <w:pPr>
              <w:pStyle w:val="Compact"/>
              <w:jc w:val="left"/>
            </w:pPr>
            <w:r>
              <w:t xml:space="preserve">W_i (tokens)</w:t>
            </w:r>
          </w:p>
        </w:tc>
      </w:tr>
      <w:tr>
        <w:tc>
          <w:tcPr/>
          <w:p>
            <w:pPr>
              <w:pStyle w:val="Compact"/>
              <w:jc w:val="left"/>
            </w:pPr>
            <w:r>
              <w:t xml:space="preserve">c1 (title)</w:t>
            </w:r>
          </w:p>
        </w:tc>
        <w:tc>
          <w:tcPr/>
          <w:p>
            <w:pPr>
              <w:pStyle w:val="Compact"/>
              <w:jc w:val="left"/>
            </w:pPr>
            <w:r>
              <w:t xml:space="preserve">0.31</w:t>
            </w:r>
          </w:p>
        </w:tc>
        <w:tc>
          <w:tcPr/>
          <w:p>
            <w:pPr>
              <w:pStyle w:val="Compact"/>
              <w:jc w:val="left"/>
            </w:pPr>
            <w:r>
              <w:t xml:space="preserve">0.1</w:t>
            </w:r>
          </w:p>
        </w:tc>
        <w:tc>
          <w:tcPr/>
          <w:p>
            <w:pPr>
              <w:pStyle w:val="Compact"/>
              <w:jc w:val="left"/>
            </w:pPr>
            <w:r>
              <w:t xml:space="preserve">1.0</w:t>
            </w:r>
          </w:p>
        </w:tc>
        <w:tc>
          <w:tcPr/>
          <w:p>
            <w:pPr>
              <w:pStyle w:val="Compact"/>
              <w:jc w:val="left"/>
            </w:pPr>
            <w:r>
              <w:t xml:space="preserve">0.319</w:t>
            </w:r>
          </w:p>
        </w:tc>
        <w:tc>
          <w:tcPr/>
          <w:p>
            <w:pPr>
              <w:pStyle w:val="Compact"/>
              <w:jc w:val="left"/>
            </w:pPr>
            <w:r>
              <w:t xml:space="preserve">8</w:t>
            </w:r>
          </w:p>
        </w:tc>
      </w:tr>
      <w:tr>
        <w:tc>
          <w:tcPr/>
          <w:p>
            <w:pPr>
              <w:pStyle w:val="Compact"/>
              <w:jc w:val="left"/>
            </w:pPr>
            <w:r>
              <w:t xml:space="preserve">c2 (col. A)</w:t>
            </w:r>
          </w:p>
        </w:tc>
        <w:tc>
          <w:tcPr/>
          <w:p>
            <w:pPr>
              <w:pStyle w:val="Compact"/>
              <w:jc w:val="left"/>
            </w:pPr>
            <w:r>
              <w:t xml:space="preserve">0.42</w:t>
            </w:r>
          </w:p>
        </w:tc>
        <w:tc>
          <w:tcPr/>
          <w:p>
            <w:pPr>
              <w:pStyle w:val="Compact"/>
              <w:jc w:val="left"/>
            </w:pPr>
            <w:r>
              <w:t xml:space="preserve">0.2</w:t>
            </w:r>
          </w:p>
        </w:tc>
        <w:tc>
          <w:tcPr/>
          <w:p>
            <w:pPr>
              <w:pStyle w:val="Compact"/>
              <w:jc w:val="left"/>
            </w:pPr>
            <w:r>
              <w:t xml:space="preserve">1.0</w:t>
            </w:r>
          </w:p>
        </w:tc>
        <w:tc>
          <w:tcPr/>
          <w:p>
            <w:pPr>
              <w:pStyle w:val="Compact"/>
              <w:jc w:val="left"/>
            </w:pPr>
            <w:r>
              <w:t xml:space="preserve">0.412</w:t>
            </w:r>
          </w:p>
        </w:tc>
        <w:tc>
          <w:tcPr/>
          <w:p>
            <w:pPr>
              <w:pStyle w:val="Compact"/>
              <w:jc w:val="left"/>
            </w:pPr>
            <w:r>
              <w:t xml:space="preserve">340</w:t>
            </w:r>
          </w:p>
        </w:tc>
      </w:tr>
      <w:tr>
        <w:tc>
          <w:tcPr/>
          <w:p>
            <w:pPr>
              <w:pStyle w:val="Compact"/>
              <w:jc w:val="left"/>
            </w:pPr>
            <w:r>
              <w:t xml:space="preserve">c3 (col. B)</w:t>
            </w:r>
          </w:p>
        </w:tc>
        <w:tc>
          <w:tcPr/>
          <w:p>
            <w:pPr>
              <w:pStyle w:val="Compact"/>
              <w:jc w:val="left"/>
            </w:pPr>
            <w:r>
              <w:t xml:space="preserve">0.38</w:t>
            </w:r>
          </w:p>
        </w:tc>
        <w:tc>
          <w:tcPr/>
          <w:p>
            <w:pPr>
              <w:pStyle w:val="Compact"/>
              <w:jc w:val="left"/>
            </w:pPr>
            <w:r>
              <w:t xml:space="preserve">0.2</w:t>
            </w:r>
          </w:p>
        </w:tc>
        <w:tc>
          <w:tcPr/>
          <w:p>
            <w:pPr>
              <w:pStyle w:val="Compact"/>
              <w:jc w:val="left"/>
            </w:pPr>
            <w:r>
              <w:t xml:space="preserve">1.0</w:t>
            </w:r>
          </w:p>
        </w:tc>
        <w:tc>
          <w:tcPr/>
          <w:p>
            <w:pPr>
              <w:pStyle w:val="Compact"/>
              <w:jc w:val="left"/>
            </w:pPr>
            <w:r>
              <w:t xml:space="preserve">0.388</w:t>
            </w:r>
          </w:p>
        </w:tc>
        <w:tc>
          <w:tcPr/>
          <w:p>
            <w:pPr>
              <w:pStyle w:val="Compact"/>
              <w:jc w:val="left"/>
            </w:pPr>
            <w:r>
              <w:t xml:space="preserve">355</w:t>
            </w:r>
          </w:p>
        </w:tc>
      </w:tr>
      <w:tr>
        <w:tc>
          <w:tcPr/>
          <w:p>
            <w:pPr>
              <w:pStyle w:val="Compact"/>
              <w:jc w:val="left"/>
            </w:pPr>
            <w:r>
              <w:t xml:space="preserve">c4 (table)</w:t>
            </w:r>
          </w:p>
        </w:tc>
        <w:tc>
          <w:tcPr/>
          <w:p>
            <w:pPr>
              <w:pStyle w:val="Compact"/>
              <w:jc w:val="left"/>
            </w:pPr>
            <w:r>
              <w:t xml:space="preserve">0.55</w:t>
            </w:r>
          </w:p>
        </w:tc>
        <w:tc>
          <w:tcPr/>
          <w:p>
            <w:pPr>
              <w:pStyle w:val="Compact"/>
              <w:jc w:val="left"/>
            </w:pPr>
            <w:r>
              <w:t xml:space="preserve">0.9</w:t>
            </w:r>
          </w:p>
        </w:tc>
        <w:tc>
          <w:tcPr/>
          <w:p>
            <w:pPr>
              <w:pStyle w:val="Compact"/>
              <w:jc w:val="left"/>
            </w:pPr>
            <w:r>
              <w:t xml:space="preserve">1.0</w:t>
            </w:r>
          </w:p>
        </w:tc>
        <w:tc>
          <w:tcPr/>
          <w:p>
            <w:pPr>
              <w:pStyle w:val="Compact"/>
              <w:jc w:val="left"/>
            </w:pPr>
            <w:r>
              <w:t xml:space="preserve">0.700</w:t>
            </w:r>
          </w:p>
        </w:tc>
        <w:tc>
          <w:tcPr/>
          <w:p>
            <w:pPr>
              <w:pStyle w:val="Compact"/>
              <w:jc w:val="left"/>
            </w:pPr>
            <w:r>
              <w:t xml:space="preserve">210</w:t>
            </w:r>
          </w:p>
        </w:tc>
      </w:tr>
      <w:tr>
        <w:tc>
          <w:tcPr/>
          <w:p>
            <w:pPr>
              <w:pStyle w:val="Compact"/>
              <w:jc w:val="left"/>
            </w:pPr>
            <w:r>
              <w:t xml:space="preserve">c5 (footer)</w:t>
            </w:r>
          </w:p>
        </w:tc>
        <w:tc>
          <w:tcPr/>
          <w:p>
            <w:pPr>
              <w:pStyle w:val="Compact"/>
              <w:jc w:val="left"/>
            </w:pPr>
            <w:r>
              <w:t xml:space="preserve">0.05</w:t>
            </w:r>
          </w:p>
        </w:tc>
        <w:tc>
          <w:tcPr/>
          <w:p>
            <w:pPr>
              <w:pStyle w:val="Compact"/>
              <w:jc w:val="left"/>
            </w:pPr>
            <w:r>
              <w:t xml:space="preserve">0.0</w:t>
            </w:r>
          </w:p>
        </w:tc>
        <w:tc>
          <w:tcPr/>
          <w:p>
            <w:pPr>
              <w:pStyle w:val="Compact"/>
              <w:jc w:val="left"/>
            </w:pPr>
            <w:r>
              <w:t xml:space="preserve">1.0</w:t>
            </w:r>
          </w:p>
        </w:tc>
        <w:tc>
          <w:tcPr/>
          <w:p>
            <w:pPr>
              <w:pStyle w:val="Compact"/>
              <w:jc w:val="left"/>
            </w:pPr>
            <w:r>
              <w:t xml:space="preserve">0.030</w:t>
            </w:r>
          </w:p>
        </w:tc>
        <w:tc>
          <w:tcPr/>
          <w:p>
            <w:pPr>
              <w:pStyle w:val="Compact"/>
              <w:jc w:val="left"/>
            </w:pPr>
            <w:r>
              <w:t xml:space="preserve">12</w:t>
            </w:r>
          </w:p>
        </w:tc>
      </w:tr>
    </w:tbl>
    <w:bookmarkEnd w:id="191"/>
    <w:bookmarkStart w:id="192" w:name="f.5-knapsack-packing-section-9.2"/>
    <w:p>
      <w:pPr>
        <w:pStyle w:val="Heading3"/>
      </w:pPr>
      <w:r>
        <w:t xml:space="preserve">F.5 Knapsack Packing (Section 9.2)</w:t>
      </w:r>
    </w:p>
    <w:p>
      <w:pPr>
        <w:pStyle w:val="FirstParagraph"/>
      </w:pPr>
      <w:r>
        <w:t xml:space="preserve">Given a small illustrative token budget C = 400 (chosen deliberately tight to force a nontrivial selection), the exact DP solver evaluates all combinations. The single highest-density item is c4 (0.700/210 ≈ 0.00333 value/token), which alone consumes 210 of the 400-token budget, leaving 190 tokens. Neither c2 (340) nor c3 (355) fits in the remaining 190 tokens. c1 (8 tokens, value 0.319) and c5 (12 tokens, value 0.030) both fit. The value-maximizing feasible combination is</w:t>
      </w:r>
      <w:r>
        <w:t xml:space="preserve"> </w:t>
      </w:r>
      <w:r>
        <w:rPr>
          <w:bCs/>
          <w:b/>
        </w:rPr>
        <w:t xml:space="preserve">{c1, c4, c5}</w:t>
      </w:r>
      <w:r>
        <w:t xml:space="preserve">, total value 0.700+0.319+0.030 = 1.049, total weight 230 ≤ 400. Contrast this with naive top-k-similarity truncation at the same budget: sorted by raw cosine similarity alone (c4=0.55, c2=0.42, c3=0.38, c1=0.31, c5=0.05), greedy top-k truncation would select c4 (210 tokens) then attempt c2 (340 tokens) — which does not fit in the remaining 190 — and stop, or (depending on implementation) truncate c2 mid-chunk to fit, violating the protected-type rule’s intent at the packing stage. The knapsack formulation instead recognizes that c1 and c5, individually low-value, are nearly free in token cost and can be included alongside c4 without displacing it, strictly increasing delivered value over any single-large-chunk-plus-truncation alternative.</w:t>
      </w:r>
    </w:p>
    <w:bookmarkEnd w:id="192"/>
    <w:bookmarkStart w:id="193" w:name="Xd84e848c1a6e04b2101134acb5cb304dd432e55"/>
    <w:p>
      <w:pPr>
        <w:pStyle w:val="Heading3"/>
      </w:pPr>
      <w:r>
        <w:t xml:space="preserve">F.6 Final Reading-Order Re-Sort (Section 6.6)</w:t>
      </w:r>
    </w:p>
    <w:p>
      <w:pPr>
        <w:pStyle w:val="FirstParagraph"/>
      </w:pPr>
      <w:r>
        <w:t xml:space="preserve">The selected set {c1, c4, c5} is re-sorted into reading order before reaching the language model:</w:t>
      </w:r>
      <w:r>
        <w:t xml:space="preserve"> </w:t>
      </w:r>
      <w:r>
        <w:rPr>
          <w:bCs/>
          <w:b/>
        </w:rPr>
        <w:t xml:space="preserve">c1 (title) → c4 (table) → c5 (footer)</w:t>
      </w:r>
      <w:r>
        <w:t xml:space="preserve"> </w:t>
      </w:r>
      <w:r>
        <w:t xml:space="preserve">— skipping the two body columns entirely, since neither fit the illustrative budget, but preserving the human-intended top-to-bottom sequence among what</w:t>
      </w:r>
      <w:r>
        <w:t xml:space="preserve"> </w:t>
      </w:r>
      <w:r>
        <w:rPr>
          <w:iCs/>
          <w:i/>
        </w:rPr>
        <w:t xml:space="preserve">was</w:t>
      </w:r>
      <w:r>
        <w:t xml:space="preserve"> </w:t>
      </w:r>
      <w:r>
        <w:t xml:space="preserve">selected, rather than presenting the table before the title simply because the table scored higher.</w:t>
      </w:r>
    </w:p>
    <w:bookmarkEnd w:id="193"/>
    <w:bookmarkStart w:id="194" w:name="f.7-interpretation"/>
    <w:p>
      <w:pPr>
        <w:pStyle w:val="Heading3"/>
      </w:pPr>
      <w:r>
        <w:t xml:space="preserve">F.7 Interpretation</w:t>
      </w:r>
    </w:p>
    <w:p>
      <w:pPr>
        <w:pStyle w:val="FirstParagraph"/>
      </w:pPr>
      <w:r>
        <w:t xml:space="preserve">This worked example is illustrative, not a benchmark result — the token budget (400) was chosen specifically small enough to force a nontrivial selection within a five-element page, which real documents and real context windows (thousands to hundreds of thousands of tokens) will rarely resemble at this granularity. Its purpose is to make concrete, with traceable numbers, the qualitative claims of Sections 6, 7, and 9: that reading order is recovered deterministically and without ambiguity even under a mixed-layout page, that chunk boundaries respect structural type before token count, and that budget-aware packing can strictly dominate naive top-k truncation by recognizing when small, cheap, moderately-relevant chunks can be included alongside a large, expensive, highly-relevant one rather than displaced by it.</w:t>
      </w:r>
    </w:p>
    <w:bookmarkEnd w:id="194"/>
    <w:bookmarkEnd w:id="195"/>
    <w:bookmarkStart w:id="198" w:name="appendix-g-engine-interface-contracts"/>
    <w:p>
      <w:pPr>
        <w:pStyle w:val="Heading2"/>
      </w:pPr>
      <w:r>
        <w:t xml:space="preserve">Appendix G — Engine Interface Contracts</w:t>
      </w:r>
    </w:p>
    <w:p>
      <w:pPr>
        <w:pStyle w:val="FirstParagraph"/>
      </w:pPr>
      <w:r>
        <w:t xml:space="preserve">This appendix specifies, for each of the twelve engines introduced in Section 5, the minimal input/output contract a downstream consumer (fusion, retrieval, or the packing stages) can rely on — independent of internal implementation — consistent with the operating-system framing of Section 4.1: a downstream agent should be able to consume any engine’s output through a stable interface without knowing that engine’s internals.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Engine</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Consumed by</w:t>
            </w:r>
          </w:p>
        </w:tc>
      </w:tr>
      <w:tr>
        <w:tc>
          <w:tcPr/>
          <w:p>
            <w:pPr>
              <w:pStyle w:val="Compact"/>
              <w:jc w:val="left"/>
            </w:pPr>
            <w:r>
              <w:t xml:space="preserve">Geometry</w:t>
            </w:r>
          </w:p>
        </w:tc>
        <w:tc>
          <w:tcPr/>
          <w:p>
            <w:pPr>
              <w:pStyle w:val="Compact"/>
              <w:jc w:val="left"/>
            </w:pPr>
            <w:r>
              <w:t xml:space="preserve">Element bounding-box set {b_i}</w:t>
            </w:r>
          </w:p>
        </w:tc>
        <w:tc>
          <w:tcPr/>
          <w:p>
            <w:pPr>
              <w:pStyle w:val="Compact"/>
              <w:jc w:val="left"/>
            </w:pPr>
            <w:r>
              <w:t xml:space="preserve">Pairwise distance matrix D, alignment scores A(i,j), area ratios AR_i</w:t>
            </w:r>
          </w:p>
        </w:tc>
        <w:tc>
          <w:tcPr/>
          <w:p>
            <w:pPr>
              <w:pStyle w:val="Compact"/>
              <w:jc w:val="left"/>
            </w:pPr>
            <w:r>
              <w:t xml:space="preserve">Spatial graph construction (Sec. 6.2)</w:t>
            </w:r>
          </w:p>
        </w:tc>
      </w:tr>
      <w:tr>
        <w:tc>
          <w:tcPr/>
          <w:p>
            <w:pPr>
              <w:pStyle w:val="Compact"/>
              <w:jc w:val="left"/>
            </w:pPr>
            <w:r>
              <w:t xml:space="preserve">Matrix</w:t>
            </w:r>
          </w:p>
        </w:tc>
        <w:tc>
          <w:tcPr/>
          <w:p>
            <w:pPr>
              <w:pStyle w:val="Compact"/>
              <w:jc w:val="left"/>
            </w:pPr>
            <w:r>
              <w:t xml:space="preserve">Detected table cell grid</w:t>
            </w:r>
          </w:p>
        </w:tc>
        <w:tc>
          <w:tcPr/>
          <w:p>
            <w:pPr>
              <w:pStyle w:val="Compact"/>
              <w:jc w:val="left"/>
            </w:pPr>
            <w:r>
              <w:t xml:space="preserve">Cell matrix M, summary statistics (μ, σ², ρ), cell-adjacency map</w:t>
            </w:r>
          </w:p>
        </w:tc>
        <w:tc>
          <w:tcPr/>
          <w:p>
            <w:pPr>
              <w:pStyle w:val="Compact"/>
              <w:jc w:val="left"/>
            </w:pPr>
            <w:r>
              <w:t xml:space="preserve">Tabular compiler (Sec. 12.7), retrieval (Sec. 15.1)</w:t>
            </w:r>
          </w:p>
        </w:tc>
      </w:tr>
      <w:tr>
        <w:tc>
          <w:tcPr/>
          <w:p>
            <w:pPr>
              <w:pStyle w:val="Compact"/>
              <w:jc w:val="left"/>
            </w:pPr>
            <w:r>
              <w:t xml:space="preserve">Template</w:t>
            </w:r>
          </w:p>
        </w:tc>
        <w:tc>
          <w:tcPr/>
          <w:p>
            <w:pPr>
              <w:pStyle w:val="Compact"/>
              <w:jc w:val="left"/>
            </w:pPr>
            <w:r>
              <w:t xml:space="preserve">Per-page element-type counts and margins</w:t>
            </w:r>
          </w:p>
        </w:tc>
        <w:tc>
          <w:tcPr/>
          <w:p>
            <w:pPr>
              <w:pStyle w:val="Compact"/>
              <w:jc w:val="left"/>
            </w:pPr>
            <w:r>
              <w:t xml:space="preserve">Fingerprint tuple T, pairwise template similarity TS</w:t>
            </w:r>
          </w:p>
        </w:tc>
        <w:tc>
          <w:tcPr/>
          <w:p>
            <w:pPr>
              <w:pStyle w:val="Compact"/>
              <w:jc w:val="left"/>
            </w:pPr>
            <w:r>
              <w:t xml:space="preserve">Recurring-layout deduplication, retrieval (Sec. 15.1)</w:t>
            </w:r>
          </w:p>
        </w:tc>
      </w:tr>
      <w:tr>
        <w:tc>
          <w:tcPr/>
          <w:p>
            <w:pPr>
              <w:pStyle w:val="Compact"/>
              <w:jc w:val="left"/>
            </w:pPr>
            <w:r>
              <w:t xml:space="preserve">Frequency</w:t>
            </w:r>
          </w:p>
        </w:tc>
        <w:tc>
          <w:tcPr/>
          <w:p>
            <w:pPr>
              <w:pStyle w:val="Compact"/>
              <w:jc w:val="left"/>
            </w:pPr>
            <w:r>
              <w:t xml:space="preserve">Tokenized element text</w:t>
            </w:r>
          </w:p>
        </w:tc>
        <w:tc>
          <w:tcPr/>
          <w:p>
            <w:pPr>
              <w:pStyle w:val="Compact"/>
              <w:jc w:val="left"/>
            </w:pPr>
            <w:r>
              <w:t xml:space="preserve">TF-IDF / BM25 weights, importance function I_f(x)</w:t>
            </w:r>
          </w:p>
        </w:tc>
        <w:tc>
          <w:tcPr/>
          <w:p>
            <w:pPr>
              <w:pStyle w:val="Compact"/>
              <w:jc w:val="left"/>
            </w:pPr>
            <w:r>
              <w:t xml:space="preserve">Lexical retrieval (Sec. 15.2), value scoring (Sec. 8.2)</w:t>
            </w:r>
          </w:p>
        </w:tc>
      </w:tr>
      <w:tr>
        <w:tc>
          <w:tcPr/>
          <w:p>
            <w:pPr>
              <w:pStyle w:val="Compact"/>
              <w:jc w:val="left"/>
            </w:pPr>
            <w:r>
              <w:t xml:space="preserve">Recurrence</w:t>
            </w:r>
          </w:p>
        </w:tc>
        <w:tc>
          <w:tcPr/>
          <w:p>
            <w:pPr>
              <w:pStyle w:val="Compact"/>
              <w:jc w:val="left"/>
            </w:pPr>
            <w:r>
              <w:t xml:space="preserve">Element hash set {H_i}</w:t>
            </w:r>
          </w:p>
        </w:tc>
        <w:tc>
          <w:tcPr/>
          <w:p>
            <w:pPr>
              <w:pStyle w:val="Compact"/>
              <w:jc w:val="left"/>
            </w:pPr>
            <w:r>
              <w:t xml:space="preserve">Recurrence frequency f(H_i), canonical-form mapping</w:t>
            </w:r>
          </w:p>
        </w:tc>
        <w:tc>
          <w:tcPr/>
          <w:p>
            <w:pPr>
              <w:pStyle w:val="Compact"/>
              <w:jc w:val="left"/>
            </w:pPr>
            <w:r>
              <w:t xml:space="preserve">Boilerplate elimination (Sec. 5.4, Thm. 5.4), token economy (Sec. 16.2)</w:t>
            </w:r>
          </w:p>
        </w:tc>
      </w:tr>
      <w:tr>
        <w:tc>
          <w:tcPr/>
          <w:p>
            <w:pPr>
              <w:pStyle w:val="Compact"/>
              <w:jc w:val="left"/>
            </w:pPr>
            <w:r>
              <w:t xml:space="preserve">Semantic</w:t>
            </w:r>
          </w:p>
        </w:tc>
        <w:tc>
          <w:tcPr/>
          <w:p>
            <w:pPr>
              <w:pStyle w:val="Compact"/>
              <w:jc w:val="left"/>
            </w:pPr>
            <w:r>
              <w:t xml:space="preserve">Element text + bbox</w:t>
            </w:r>
          </w:p>
        </w:tc>
        <w:tc>
          <w:tcPr/>
          <w:p>
            <w:pPr>
              <w:pStyle w:val="Compact"/>
              <w:jc w:val="left"/>
            </w:pPr>
            <w:r>
              <w:t xml:space="preserve">Dense embedding vector d_i ∈ ℝ^d</w:t>
            </w:r>
          </w:p>
        </w:tc>
        <w:tc>
          <w:tcPr/>
          <w:p>
            <w:pPr>
              <w:pStyle w:val="Compact"/>
              <w:jc w:val="left"/>
            </w:pPr>
            <w:r>
              <w:t xml:space="preserve">Value scoring (Sec. 8.1–8.2), semantic retrieval (Sec. 15.1)</w:t>
            </w:r>
          </w:p>
        </w:tc>
      </w:tr>
      <w:tr>
        <w:tc>
          <w:tcPr/>
          <w:p>
            <w:pPr>
              <w:pStyle w:val="Compact"/>
              <w:jc w:val="left"/>
            </w:pPr>
            <w:r>
              <w:t xml:space="preserve">Graph</w:t>
            </w:r>
          </w:p>
        </w:tc>
        <w:tc>
          <w:tcPr/>
          <w:p>
            <w:pPr>
              <w:pStyle w:val="Compact"/>
              <w:jc w:val="left"/>
            </w:pPr>
            <w:r>
              <w:t xml:space="preserve">Element adjacency candidates</w:t>
            </w:r>
          </w:p>
        </w:tc>
        <w:tc>
          <w:tcPr/>
          <w:p>
            <w:pPr>
              <w:pStyle w:val="Compact"/>
              <w:jc w:val="left"/>
            </w:pPr>
            <w:r>
              <w:t xml:space="preserve">Directed graph G=(V,E), PageRank PR(v), reading sequence S</w:t>
            </w:r>
          </w:p>
        </w:tc>
        <w:tc>
          <w:tcPr/>
          <w:p>
            <w:pPr>
              <w:pStyle w:val="Compact"/>
              <w:jc w:val="left"/>
            </w:pPr>
            <w:r>
              <w:t xml:space="preserve">Reading order (Sec. 6), retrieval (Sec. 15.1)</w:t>
            </w:r>
          </w:p>
        </w:tc>
      </w:tr>
      <w:tr>
        <w:tc>
          <w:tcPr/>
          <w:p>
            <w:pPr>
              <w:pStyle w:val="Compact"/>
              <w:jc w:val="left"/>
            </w:pPr>
            <w:r>
              <w:t xml:space="preserve">Topology</w:t>
            </w:r>
          </w:p>
        </w:tc>
        <w:tc>
          <w:tcPr/>
          <w:p>
            <w:pPr>
              <w:pStyle w:val="Compact"/>
              <w:jc w:val="left"/>
            </w:pPr>
            <w:r>
              <w:t xml:space="preserve">Structural graph G</w:t>
            </w:r>
          </w:p>
        </w:tc>
        <w:tc>
          <w:tcPr/>
          <w:p>
            <w:pPr>
              <w:pStyle w:val="Compact"/>
              <w:jc w:val="left"/>
            </w:pPr>
            <w:r>
              <w:t xml:space="preserve">Betti numbers, persistence diagram</w:t>
            </w:r>
          </w:p>
        </w:tc>
        <w:tc>
          <w:tcPr/>
          <w:p>
            <w:pPr>
              <w:pStyle w:val="Compact"/>
              <w:jc w:val="left"/>
            </w:pPr>
            <w:r>
              <w:t xml:space="preserve">Tabular-grid detection (proposed, Sec. 23)</w:t>
            </w:r>
          </w:p>
        </w:tc>
      </w:tr>
      <w:tr>
        <w:tc>
          <w:tcPr/>
          <w:p>
            <w:pPr>
              <w:pStyle w:val="Compact"/>
              <w:jc w:val="left"/>
            </w:pPr>
            <w:r>
              <w:t xml:space="preserve">Spectral</w:t>
            </w:r>
          </w:p>
        </w:tc>
        <w:tc>
          <w:tcPr/>
          <w:p>
            <w:pPr>
              <w:pStyle w:val="Compact"/>
              <w:jc w:val="left"/>
            </w:pPr>
            <w:r>
              <w:t xml:space="preserve">Graph Laplacian of G</w:t>
            </w:r>
          </w:p>
        </w:tc>
        <w:tc>
          <w:tcPr/>
          <w:p>
            <w:pPr>
              <w:pStyle w:val="Compact"/>
              <w:jc w:val="left"/>
            </w:pPr>
            <w:r>
              <w:t xml:space="preserve">Low-order eigenvectors, cluster assignment</w:t>
            </w:r>
          </w:p>
        </w:tc>
        <w:tc>
          <w:tcPr/>
          <w:p>
            <w:pPr>
              <w:pStyle w:val="Compact"/>
              <w:jc w:val="left"/>
            </w:pPr>
            <w:r>
              <w:t xml:space="preserve">Structural grouping (Sec. 12.4)</w:t>
            </w:r>
          </w:p>
        </w:tc>
      </w:tr>
      <w:tr>
        <w:tc>
          <w:tcPr/>
          <w:p>
            <w:pPr>
              <w:pStyle w:val="Compact"/>
              <w:jc w:val="left"/>
            </w:pPr>
            <w:r>
              <w:t xml:space="preserve">Tensor</w:t>
            </w:r>
          </w:p>
        </w:tc>
        <w:tc>
          <w:tcPr/>
          <w:p>
            <w:pPr>
              <w:pStyle w:val="Compact"/>
              <w:jc w:val="left"/>
            </w:pPr>
            <w:r>
              <w:t xml:space="preserve">Multi-way data array (e.g., table corpus)</w:t>
            </w:r>
          </w:p>
        </w:tc>
        <w:tc>
          <w:tcPr/>
          <w:p>
            <w:pPr>
              <w:pStyle w:val="Compact"/>
              <w:jc w:val="left"/>
            </w:pPr>
            <w:r>
              <w:t xml:space="preserve">Tucker/CP/TT factor matrices</w:t>
            </w:r>
          </w:p>
        </w:tc>
        <w:tc>
          <w:tcPr/>
          <w:p>
            <w:pPr>
              <w:pStyle w:val="Compact"/>
              <w:jc w:val="left"/>
            </w:pPr>
            <w:r>
              <w:t xml:space="preserve">Cross-document compression (Sec. 5.4)</w:t>
            </w:r>
          </w:p>
        </w:tc>
      </w:tr>
      <w:tr>
        <w:tc>
          <w:tcPr/>
          <w:p>
            <w:pPr>
              <w:pStyle w:val="Compact"/>
              <w:jc w:val="left"/>
            </w:pPr>
            <w:r>
              <w:t xml:space="preserve">Info Physics</w:t>
            </w:r>
          </w:p>
        </w:tc>
        <w:tc>
          <w:tcPr/>
          <w:p>
            <w:pPr>
              <w:pStyle w:val="Compact"/>
              <w:jc w:val="left"/>
            </w:pPr>
            <w:r>
              <w:t xml:space="preserve">Entropy-weighted element set</w:t>
            </w:r>
          </w:p>
        </w:tc>
        <w:tc>
          <w:tcPr/>
          <w:p>
            <w:pPr>
              <w:pStyle w:val="Compact"/>
              <w:jc w:val="left"/>
            </w:pPr>
            <w:r>
              <w:t xml:space="preserve">Relevance-decay field values</w:t>
            </w:r>
          </w:p>
        </w:tc>
        <w:tc>
          <w:tcPr/>
          <w:p>
            <w:pPr>
              <w:pStyle w:val="Compact"/>
              <w:jc w:val="left"/>
            </w:pPr>
            <w:r>
              <w:t xml:space="preserve">Attention allocation heuristics (Sec. 5.4)</w:t>
            </w:r>
          </w:p>
        </w:tc>
      </w:tr>
      <w:tr>
        <w:tc>
          <w:tcPr/>
          <w:p>
            <w:pPr>
              <w:pStyle w:val="Compact"/>
              <w:jc w:val="left"/>
            </w:pPr>
            <w:r>
              <w:t xml:space="preserve">Retrieval</w:t>
            </w:r>
          </w:p>
        </w:tc>
        <w:tc>
          <w:tcPr/>
          <w:p>
            <w:pPr>
              <w:pStyle w:val="Compact"/>
              <w:jc w:val="left"/>
            </w:pPr>
            <w:r>
              <w:t xml:space="preserve">All above engine outputs + query</w:t>
            </w:r>
          </w:p>
        </w:tc>
        <w:tc>
          <w:tcPr/>
          <w:p>
            <w:pPr>
              <w:pStyle w:val="Compact"/>
              <w:jc w:val="left"/>
            </w:pPr>
            <w:r>
              <w:t xml:space="preserve">Fused ranked candidate list</w:t>
            </w:r>
          </w:p>
        </w:tc>
        <w:tc>
          <w:tcPr/>
          <w:p>
            <w:pPr>
              <w:pStyle w:val="Compact"/>
              <w:jc w:val="left"/>
            </w:pPr>
            <w:r>
              <w:t xml:space="preserve">Context builder (Sec. 9)</w:t>
            </w:r>
          </w:p>
        </w:tc>
      </w:tr>
    </w:tbl>
    <w:bookmarkStart w:id="196" w:name="g.1-stability-guarantees"/>
    <w:p>
      <w:pPr>
        <w:pStyle w:val="Heading3"/>
      </w:pPr>
      <w:r>
        <w:t xml:space="preserve">G.1 Stability Guarantees</w:t>
      </w:r>
    </w:p>
    <w:p>
      <w:pPr>
        <w:pStyle w:val="FirstParagraph"/>
      </w:pPr>
      <w:r>
        <w:t xml:space="preserve">Two guarantees hold across every engine’s contract, both load-bearing for the operating-system framing of Section 4.1: first, every engine’s output references the same underlying element-ID space established at ingestion (Section 5.1’s master document tuple), so a consumer can always correlate a geometry-engine distance with a semantic-engine embedding for the</w:t>
      </w:r>
      <w:r>
        <w:t xml:space="preserve"> </w:t>
      </w:r>
      <w:r>
        <w:rPr>
          <w:iCs/>
          <w:i/>
        </w:rPr>
        <w:t xml:space="preserve">same</w:t>
      </w:r>
      <w:r>
        <w:t xml:space="preserve"> </w:t>
      </w:r>
      <w:r>
        <w:t xml:space="preserve">element without a separate join or lookup step; second, every engine’s output is a pure function of the document’s synchronized representation D and, where applicable, the query — no engine mutates shared state as a side effect of being invoked, which is what permits the parallel, independent invocation of multiple engines described in Section 15’s hybrid retrieval pipeline without a coordination or locking protocol between them.</w:t>
      </w:r>
    </w:p>
    <w:bookmarkEnd w:id="196"/>
    <w:bookmarkStart w:id="197" w:name="X886dd8e312991f99e8f9d86e667297983dc6de4"/>
    <w:p>
      <w:pPr>
        <w:pStyle w:val="Heading3"/>
      </w:pPr>
      <w:r>
        <w:t xml:space="preserve">G.2 Versioning and Backward Compatibility</w:t>
      </w:r>
    </w:p>
    <w:p>
      <w:pPr>
        <w:pStyle w:val="FirstParagraph"/>
      </w:pPr>
      <w:r>
        <w:t xml:space="preserve">Where an engine’s internal algorithm changes (e.g., the reading-order graph construction’s Section 11.2 fix from recursive DFS to Kahn’s algorithm), the interface contract in the table above is designed to remain unchanged — the Graph engine’s output was, both before and after the fix,</w:t>
      </w:r>
      <w:r>
        <w:t xml:space="preserve"> </w:t>
      </w:r>
      <w:r>
        <w:t xml:space="preserve">“</w:t>
      </w:r>
      <w:r>
        <w:t xml:space="preserve">a directed graph G and a reading sequence S</w:t>
      </w:r>
      <w:r>
        <w:t xml:space="preserve">”</w:t>
      </w:r>
      <w:r>
        <w:t xml:space="preserve"> </w:t>
      </w:r>
      <w:r>
        <w:t xml:space="preserve">— so that downstream consumers (the chunker, the packer) do not require modification when an upstream engine is hardened or replaced. This separation between contract and implementation is what allowed Section 11’s four fixes to be applied without a corresponding change to Sections 7–9’s consumer-side logic; the elastic chunker in Section 7 and the knapsack packer in Section 9 depend only on the</w:t>
      </w:r>
      <w:r>
        <w:t xml:space="preserve"> </w:t>
      </w:r>
      <w:r>
        <w:rPr>
          <w:iCs/>
          <w:i/>
        </w:rPr>
        <w:t xml:space="preserve">shape</w:t>
      </w:r>
      <w:r>
        <w:t xml:space="preserve"> </w:t>
      </w:r>
      <w:r>
        <w:t xml:space="preserve">of the graph engine’s output, not its construction method.</w:t>
      </w:r>
    </w:p>
    <w:bookmarkEnd w:id="197"/>
    <w:bookmarkEnd w:id="198"/>
    <w:bookmarkEnd w:id="19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61" Target="media/rId61.png" /><Relationship Type="http://schemas.openxmlformats.org/officeDocument/2006/relationships/image" Id="rId83" Target="media/rId83.png" /><Relationship Type="http://schemas.openxmlformats.org/officeDocument/2006/relationships/image" Id="rId123" Target="media/rId123.png" /><Relationship Type="http://schemas.openxmlformats.org/officeDocument/2006/relationships/image" Id="rId133" Target="media/rId1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2026-07-16T03:19:55Z</dcterms:created>
  <dcterms:modified xsi:type="dcterms:W3CDTF">2026-07-16T03:19:55Z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A Pre-LLM Document Intelligence Operating System: Mathematical Foundations, Reference Architecture, Implementation Hardening, and Evaluation Protocol — Second Edition, Extended Technical Monograph</vt:lpwstr>
  </property>
</Properties>
</file>