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AEGIS-DocIntel</w:t>
      </w:r>
      <w:r>
        <w:t xml:space="preserve"> </w:t>
      </w:r>
      <w:r>
        <w:t xml:space="preserve">/</w:t>
      </w:r>
      <w:r>
        <w:t xml:space="preserve"> </w:t>
      </w:r>
      <w:r>
        <w:t xml:space="preserve">AMDI-OS</w:t>
      </w:r>
    </w:p>
    <w:p>
      <w:pPr>
        <w:pStyle w:val="Subtitle"/>
      </w:pPr>
      <w:r>
        <w:t xml:space="preserve">Implementation</w:t>
      </w:r>
      <w:r>
        <w:t xml:space="preserve"> </w:t>
      </w:r>
      <w:r>
        <w:t xml:space="preserve">Specification:</w:t>
      </w:r>
      <w:r>
        <w:t xml:space="preserve"> </w:t>
      </w:r>
      <w:r>
        <w:t xml:space="preserve">Turning</w:t>
      </w:r>
      <w:r>
        <w:t xml:space="preserve"> </w:t>
      </w:r>
      <w:r>
        <w:t xml:space="preserve">Enhancement</w:t>
      </w:r>
      <w:r>
        <w:t xml:space="preserve"> </w:t>
      </w:r>
      <w:r>
        <w:t xml:space="preserve">Concepts</w:t>
      </w:r>
      <w:r>
        <w:t xml:space="preserve"> </w:t>
      </w:r>
      <w:r>
        <w:t xml:space="preserve">into</w:t>
      </w:r>
      <w:r>
        <w:t xml:space="preserve"> </w:t>
      </w:r>
      <w:r>
        <w:t xml:space="preserve">Working</w:t>
      </w:r>
      <w:r>
        <w:t xml:space="preserve"> </w:t>
      </w:r>
      <w:r>
        <w:t xml:space="preserve">Components</w:t>
      </w:r>
    </w:p>
    <w:p>
      <w:pPr>
        <w:pStyle w:val="Author"/>
      </w:pPr>
      <w:r>
        <w:t xml:space="preserve">Sahil</w:t>
      </w:r>
      <w:r>
        <w:t xml:space="preserve"> </w:t>
      </w:r>
      <w:r>
        <w:t xml:space="preserve">Khutey,</w:t>
      </w:r>
      <w:r>
        <w:t xml:space="preserve"> </w:t>
      </w:r>
      <w:r>
        <w:t xml:space="preserve">with</w:t>
      </w:r>
      <w:r>
        <w:t xml:space="preserve"> </w:t>
      </w:r>
      <w:r>
        <w:t xml:space="preserve">AI</w:t>
      </w:r>
      <w:r>
        <w:t xml:space="preserve"> </w:t>
      </w:r>
      <w:r>
        <w:t xml:space="preserve">Research</w:t>
      </w:r>
      <w:r>
        <w:t xml:space="preserve"> </w:t>
      </w:r>
      <w:r>
        <w:t xml:space="preserve">Collaborator</w:t>
      </w:r>
      <w:r>
        <w:t xml:space="preserve"> </w:t>
      </w:r>
      <w:r>
        <w:t xml:space="preserve">(Gensouls</w:t>
      </w:r>
      <w:r>
        <w:t xml:space="preserve"> </w:t>
      </w:r>
      <w:r>
        <w:t xml:space="preserve">Lab)</w:t>
      </w:r>
    </w:p>
    <w:p>
      <w:pPr>
        <w:pStyle w:val="Date"/>
      </w:pPr>
      <w:r>
        <w:t xml:space="preserve">July</w:t>
      </w:r>
      <w:r>
        <w:t xml:space="preserve"> </w:t>
      </w:r>
      <w:r>
        <w:t xml:space="preserve">2026</w:t>
      </w:r>
    </w:p>
    <w:bookmarkStart w:id="20" w:name="table-of-contents"/>
    <w:p>
      <w:pPr>
        <w:pStyle w:val="Heading1"/>
      </w:pPr>
      <w:r>
        <w:t xml:space="preserve">Table of Contents</w:t>
      </w:r>
    </w:p>
    <w:p>
      <w:pPr>
        <w:pStyle w:val="FirstParagraph"/>
      </w:pPr>
      <w:r>
        <w:t xml:space="preserve">Executive Summary ……………………………………………………. 3</w:t>
      </w:r>
      <w:r>
        <w:br/>
      </w:r>
      <w:r>
        <w:t xml:space="preserve">1. Implementation Framework …………………………………………… 4</w:t>
      </w:r>
      <w:r>
        <w:br/>
      </w:r>
      <w:r>
        <w:t xml:space="preserve">2. Feature Group A: Near-Term Features …………………………………. 6</w:t>
      </w:r>
      <w:r>
        <w:br/>
      </w:r>
      <w:r>
        <w:t xml:space="preserve">3. Feature Group B: Mid-Term Features ………………………………….. 10</w:t>
      </w:r>
      <w:r>
        <w:br/>
      </w:r>
      <w:r>
        <w:t xml:space="preserve">4. Feature Group C: Long-Term Features …………………………………. 17</w:t>
      </w:r>
      <w:r>
        <w:br/>
      </w:r>
      <w:r>
        <w:t xml:space="preserve">5. Cross-Cutting Infrastructure ……………………………………….. 22</w:t>
      </w:r>
      <w:r>
        <w:br/>
      </w:r>
      <w:r>
        <w:t xml:space="preserve">6. Master Feature Traceability Matrix ………………………………….. 24</w:t>
      </w:r>
      <w:r>
        <w:br/>
      </w:r>
      <w:r>
        <w:t xml:space="preserve">7. Implementation Sequencing Plan ……………………………………… 25</w:t>
      </w:r>
      <w:r>
        <w:br/>
      </w:r>
      <w:r>
        <w:t xml:space="preserve">Conclusion ………………………………………………………….. 27</w:t>
      </w:r>
    </w:p>
    <w:bookmarkEnd w:id="20"/>
    <w:bookmarkStart w:id="50" w:name="executive-summary"/>
    <w:p>
      <w:pPr>
        <w:pStyle w:val="Heading1"/>
      </w:pPr>
      <w:r>
        <w:t xml:space="preserve">Executive Summary</w:t>
      </w:r>
    </w:p>
    <w:p>
      <w:pPr>
        <w:pStyle w:val="FirstParagraph"/>
      </w:pPr>
      <w:r>
        <w:t xml:space="preserve">The Enhancement Research Report identified six mathematically-grounded techniques and staged them into a near/mid/long-term roadmap. This document is the next step down: for each technique, a concrete engineering specification — data structures, algorithms stated as implementable pseudocode, module boundaries and function signatures consistent with the interface-contract discipline of the monograph’s Appendix G, integration points naming the exact pipeline stage each feature attaches to, required dependencies, and a test plan extending the Feasibility and Validation Report’s existing verification matrix rather than starting a parallel one.</w:t>
      </w:r>
    </w:p>
    <w:p>
      <w:pPr>
        <w:pStyle w:val="BodyText"/>
      </w:pPr>
      <w:r>
        <w:t xml:space="preserve">Nine features are specified, organized into the same three risk tiers the Enhancement Research Report established: two near-term (Feature Group A), four mid-term (Feature Group B), and three long-term (Feature Group C). Each feature specification follows an identical seven-part template (Section 1.2), so an engineer picking up any one feature has the same checklist regardless of which technique it implements. A tenth section addresses the cross-cutting infrastructure every feature shares — module layout, test-harness extension, and observability hooks — so that adding a feature does not require re-deriving how it plugs into the existing codebase each time.</w:t>
      </w:r>
    </w:p>
    <w:p>
      <w:pPr>
        <w:pStyle w:val="BodyText"/>
      </w:pPr>
      <w:r>
        <w:t xml:space="preserve">This document does not repeat the mathematical derivations already given in the Enhancement Research Report; it assumes that report as prerequisite reading and cites it by section number throughout. Its own contribution is strictly the translation from</w:t>
      </w:r>
      <w:r>
        <w:t xml:space="preserve"> </w:t>
      </w:r>
      <w:r>
        <w:t xml:space="preserve">“</w:t>
      </w:r>
      <w:r>
        <w:t xml:space="preserve">this technique is mathematically sound and mapped to a component</w:t>
      </w:r>
      <w:r>
        <w:t xml:space="preserve">”</w:t>
      </w:r>
      <w:r>
        <w:t xml:space="preserve"> </w:t>
      </w:r>
      <w:r>
        <w:t xml:space="preserve">to</w:t>
      </w:r>
      <w:r>
        <w:t xml:space="preserve"> </w:t>
      </w:r>
      <w:r>
        <w:t xml:space="preserve">“</w:t>
      </w:r>
      <w:r>
        <w:t xml:space="preserve">here is the code that would make it real, here is where it lives, and here is the test that would tell you whether it works.</w:t>
      </w:r>
      <w:r>
        <w:t xml:space="preserve">”</w:t>
      </w:r>
    </w:p>
    <w:bookmarkStart w:id="25" w:name="implementation-framework"/>
    <w:p>
      <w:pPr>
        <w:pStyle w:val="Heading2"/>
      </w:pPr>
      <w:r>
        <w:t xml:space="preserve">1. Implementation Framework</w:t>
      </w:r>
    </w:p>
    <w:bookmarkStart w:id="21" w:name="purpose-of-a-common-template"/>
    <w:p>
      <w:pPr>
        <w:pStyle w:val="Heading3"/>
      </w:pPr>
      <w:r>
        <w:t xml:space="preserve">1.1 Purpose of a Common Template</w:t>
      </w:r>
    </w:p>
    <w:p>
      <w:pPr>
        <w:pStyle w:val="FirstParagraph"/>
      </w:pPr>
      <w:r>
        <w:t xml:space="preserve">Nine features spanning six distinct mathematical techniques risk becoming nine incompatible one-off implementations unless every one of them is specified against the same skeleton. This section fixes that skeleton once, so Sections 2-4 can each apply it without re-explaining it.</w:t>
      </w:r>
    </w:p>
    <w:bookmarkEnd w:id="21"/>
    <w:bookmarkStart w:id="22" w:name="the-seven-part-feature-template"/>
    <w:p>
      <w:pPr>
        <w:pStyle w:val="Heading3"/>
      </w:pPr>
      <w:r>
        <w:t xml:space="preserve">1.2 The Seven-Part Feature Template</w:t>
      </w:r>
    </w:p>
    <w:p>
      <w:pPr>
        <w:pStyle w:val="FirstParagraph"/>
      </w:pPr>
      <w:r>
        <w:t xml:space="preserve">Every feature in Sections 2-4 of this document is specified using exactly these seven parts, in this order:</w:t>
      </w:r>
    </w:p>
    <w:p>
      <w:pPr>
        <w:numPr>
          <w:ilvl w:val="0"/>
          <w:numId w:val="1001"/>
        </w:numPr>
        <w:pStyle w:val="Compact"/>
      </w:pPr>
      <w:r>
        <w:rPr>
          <w:bCs/>
          <w:b/>
        </w:rPr>
        <w:t xml:space="preserve">What it does</w:t>
      </w:r>
      <w:r>
        <w:t xml:space="preserve"> </w:t>
      </w:r>
      <w:r>
        <w:t xml:space="preserve">— a plain-language description of the capability being added, with a before/after contrast against AEGIS’s current behavior.</w:t>
      </w:r>
    </w:p>
    <w:p>
      <w:pPr>
        <w:numPr>
          <w:ilvl w:val="0"/>
          <w:numId w:val="1001"/>
        </w:numPr>
        <w:pStyle w:val="Compact"/>
      </w:pPr>
      <w:r>
        <w:rPr>
          <w:bCs/>
          <w:b/>
        </w:rPr>
        <w:t xml:space="preserve">Data structures</w:t>
      </w:r>
      <w:r>
        <w:t xml:space="preserve"> </w:t>
      </w:r>
      <w:r>
        <w:t xml:space="preserve">— the concrete types, fields, and shapes the feature introduces or consumes, given in typed pseudocode close enough to Python to be transcribed directly.</w:t>
      </w:r>
    </w:p>
    <w:p>
      <w:pPr>
        <w:numPr>
          <w:ilvl w:val="0"/>
          <w:numId w:val="1001"/>
        </w:numPr>
        <w:pStyle w:val="Compact"/>
      </w:pPr>
      <w:r>
        <w:rPr>
          <w:bCs/>
          <w:b/>
        </w:rPr>
        <w:t xml:space="preserve">Algorithm</w:t>
      </w:r>
      <w:r>
        <w:t xml:space="preserve"> </w:t>
      </w:r>
      <w:r>
        <w:t xml:space="preserve">— numbered, implementable steps (or pseudocode where the logic is non-trivial), stated at the level of detail a competent engineer could code against without needing to re-derive the underlying mathematics from the Enhancement Research Report.</w:t>
      </w:r>
    </w:p>
    <w:p>
      <w:pPr>
        <w:numPr>
          <w:ilvl w:val="0"/>
          <w:numId w:val="1001"/>
        </w:numPr>
        <w:pStyle w:val="Compact"/>
      </w:pPr>
      <w:r>
        <w:rPr>
          <w:bCs/>
          <w:b/>
        </w:rPr>
        <w:t xml:space="preserve">Module and interface</w:t>
      </w:r>
      <w:r>
        <w:t xml:space="preserve"> </w:t>
      </w:r>
      <w:r>
        <w:t xml:space="preserve">— where the code lives in AEGIS’s existing engine structure (monograph Section 5.4’s twelve engines, Appendix G’s interface-contract table) and the function signature(s) exposed to callers, following Appendix G’s stability guarantee that a consumer depends only on the contract’s shape, not its internals.</w:t>
      </w:r>
    </w:p>
    <w:p>
      <w:pPr>
        <w:numPr>
          <w:ilvl w:val="0"/>
          <w:numId w:val="1001"/>
        </w:numPr>
        <w:pStyle w:val="Compact"/>
      </w:pPr>
      <w:r>
        <w:rPr>
          <w:bCs/>
          <w:b/>
        </w:rPr>
        <w:t xml:space="preserve">Integration point</w:t>
      </w:r>
      <w:r>
        <w:t xml:space="preserve"> </w:t>
      </w:r>
      <w:r>
        <w:t xml:space="preserve">— the exact upstream and downstream pipeline stages (by monograph section number) this feature reads from and writes to, so it is clear what breaks if the feature is removed and what the feature depends on being present first.</w:t>
      </w:r>
    </w:p>
    <w:p>
      <w:pPr>
        <w:numPr>
          <w:ilvl w:val="0"/>
          <w:numId w:val="1001"/>
        </w:numPr>
        <w:pStyle w:val="Compact"/>
      </w:pPr>
      <w:r>
        <w:rPr>
          <w:bCs/>
          <w:b/>
        </w:rPr>
        <w:t xml:space="preserve">Dependencies</w:t>
      </w:r>
      <w:r>
        <w:t xml:space="preserve"> </w:t>
      </w:r>
      <w:r>
        <w:t xml:space="preserve">— the specific external libraries, datasets, or trained models the implementation requires, flagged explicitly where a dependency does not yet exist in AEGIS’s current stack.</w:t>
      </w:r>
    </w:p>
    <w:p>
      <w:pPr>
        <w:numPr>
          <w:ilvl w:val="0"/>
          <w:numId w:val="1001"/>
        </w:numPr>
        <w:pStyle w:val="Compact"/>
      </w:pPr>
      <w:r>
        <w:rPr>
          <w:bCs/>
          <w:b/>
        </w:rPr>
        <w:t xml:space="preserve">Test plan</w:t>
      </w:r>
      <w:r>
        <w:t xml:space="preserve"> </w:t>
      </w:r>
      <w:r>
        <w:t xml:space="preserve">— new test cases, numbered in continuation of the Implementation and Credibility Test Cases document’s TC-01 through TC-19 sequence (as TC-E-01, TC-E-02, … —</w:t>
      </w:r>
      <w:r>
        <w:t xml:space="preserve"> </w:t>
      </w:r>
      <w:r>
        <w:t xml:space="preserve">“</w:t>
      </w:r>
      <w:r>
        <w:t xml:space="preserve">E</w:t>
      </w:r>
      <w:r>
        <w:t xml:space="preserve">”</w:t>
      </w:r>
      <w:r>
        <w:t xml:space="preserve"> </w:t>
      </w:r>
      <w:r>
        <w:t xml:space="preserve">for</w:t>
      </w:r>
      <w:r>
        <w:t xml:space="preserve"> </w:t>
      </w:r>
      <w:r>
        <w:t xml:space="preserve">“</w:t>
      </w:r>
      <w:r>
        <w:t xml:space="preserve">Enhancement</w:t>
      </w:r>
      <w:r>
        <w:t xml:space="preserve">”</w:t>
      </w:r>
      <w:r>
        <w:t xml:space="preserve">), each following that document’s seven-field template (claim under test, preconditions, input, procedure, expected result), stated here as a plan rather than an executed result, consistent with this document’s own status as a specification, not an implementation report.</w:t>
      </w:r>
    </w:p>
    <w:bookmarkEnd w:id="22"/>
    <w:bookmarkStart w:id="23" w:name="risk-tier-grouping-retained"/>
    <w:p>
      <w:pPr>
        <w:pStyle w:val="Heading3"/>
      </w:pPr>
      <w:r>
        <w:t xml:space="preserve">1.3 Risk-Tier Grouping Retained</w:t>
      </w:r>
    </w:p>
    <w:p>
      <w:pPr>
        <w:pStyle w:val="FirstParagraph"/>
      </w:pPr>
      <w:r>
        <w:t xml:space="preserve">Sections 2, 3, and 4 correspond exactly to the Enhancement Research Report’s near-term, mid-term, and long-term tiers (that report’s Sections 9.2-9.4), preserving the same gating logic: a Section 3 (mid-term) feature’s test plan may reference a Section 2 (near-term) feature’s output as a precondition, but never the reverse, and no Section 4 (long-term) feature’s implementation should begin before its corresponding gating pilot (named explicitly in each Section 4 feature’s specification) has produced a result.</w:t>
      </w:r>
    </w:p>
    <w:bookmarkEnd w:id="23"/>
    <w:bookmarkStart w:id="24" w:name="numbering-convention"/>
    <w:p>
      <w:pPr>
        <w:pStyle w:val="Heading3"/>
      </w:pPr>
      <w:r>
        <w:t xml:space="preserve">1.4 Numbering Convention</w:t>
      </w:r>
    </w:p>
    <w:p>
      <w:pPr>
        <w:pStyle w:val="FirstParagraph"/>
      </w:pPr>
      <w:r>
        <w:t xml:space="preserve">Features are numbered A1-A2 (Section 2), B1-B4 (Section 3), and C1-C3 (Section 4), matching their Enhancement Research Report technique number in parentheses at each feature’s heading, so a reader can trace any feature back to the mathematical derivation that motivates it without this document needing to restate that derivation.</w:t>
      </w:r>
    </w:p>
    <w:bookmarkEnd w:id="24"/>
    <w:bookmarkEnd w:id="25"/>
    <w:bookmarkStart w:id="28" w:name="feature-group-a-near-term-features"/>
    <w:p>
      <w:pPr>
        <w:pStyle w:val="Heading2"/>
      </w:pPr>
      <w:r>
        <w:t xml:space="preserve">2. Feature Group A: Near-Term Features</w:t>
      </w:r>
    </w:p>
    <w:bookmarkStart w:id="26" w:name="X97e9e0a51763cc41d2f3ace5816e7986004583c"/>
    <w:p>
      <w:pPr>
        <w:pStyle w:val="Heading3"/>
      </w:pPr>
      <w:r>
        <w:t xml:space="preserve">2.1 Feature A1 — Graded Reading-Order Quality Metric (Order-Preserving Wasserstein Distance)</w:t>
      </w:r>
    </w:p>
    <w:p>
      <w:pPr>
        <w:pStyle w:val="FirstParagraph"/>
      </w:pPr>
      <w:r>
        <w:rPr>
          <w:bCs/>
          <w:b/>
        </w:rPr>
        <w:t xml:space="preserve">What it does.</w:t>
      </w:r>
      <w:r>
        <w:t xml:space="preserve"> </w:t>
      </w:r>
      <w:r>
        <w:t xml:space="preserve">Adds a continuous, differentiable quality score for a recovered reading order against a reference order, complementing the monograph’s existing binary RHM hit-rate metric (Section 21.4) with a graded distance. Before: AEGIS can only report whether a recovered order exactly matches a reference (hit) or not (miss). After: AEGIS reports how far off a near-miss actually was, distinguishing a reading order that is one adjacent-pair swap away from correct from one that is completely scrambled.</w:t>
      </w:r>
    </w:p>
    <w:p>
      <w:pPr>
        <w:pStyle w:val="BodyText"/>
      </w:pPr>
      <w:r>
        <w:rPr>
          <w:bCs/>
          <w:b/>
        </w:rPr>
        <w:t xml:space="preserve">Data structures.</w:t>
      </w:r>
    </w:p>
    <w:p>
      <w:pPr>
        <w:pStyle w:val="SourceCode"/>
      </w:pPr>
      <w:r>
        <w:rPr>
          <w:rStyle w:val="VerbatimChar"/>
        </w:rPr>
        <w:t xml:space="preserve">OrderedSequence = List[ElementID]              # output of Kahn's algorithm, Sec. 6.4</w:t>
      </w:r>
      <w:r>
        <w:br/>
      </w:r>
      <w:r>
        <w:rPr>
          <w:rStyle w:val="VerbatimChar"/>
        </w:rPr>
        <w:t xml:space="preserve">ReferenceOrder  = List[ElementID]               # human-annotated ground truth (e.g. OmniDocBench)</w:t>
      </w:r>
      <w:r>
        <w:br/>
      </w:r>
      <w:r>
        <w:rPr>
          <w:rStyle w:val="VerbatimChar"/>
        </w:rPr>
        <w:t xml:space="preserve">OPWConfig = {</w:t>
      </w:r>
      <w:r>
        <w:br/>
      </w:r>
      <w:r>
        <w:rPr>
          <w:rStyle w:val="VerbatimChar"/>
        </w:rPr>
        <w:t xml:space="preserve">    lambda1: float,        # sequence-order regularization weight (typical: 1.0)</w:t>
      </w:r>
      <w:r>
        <w:br/>
      </w:r>
      <w:r>
        <w:rPr>
          <w:rStyle w:val="VerbatimChar"/>
        </w:rPr>
        <w:t xml:space="preserve">    lambda2: float,        # entropic regularization weight (typical: 0.1)</w:t>
      </w:r>
      <w:r>
        <w:br/>
      </w:r>
      <w:r>
        <w:rPr>
          <w:rStyle w:val="VerbatimChar"/>
        </w:rPr>
        <w:t xml:space="preserve">    max_iter: int,         # Sinkhorn iteration cap (typical: 50)</w:t>
      </w:r>
      <w:r>
        <w:br/>
      </w:r>
      <w:r>
        <w:rPr>
          <w:rStyle w:val="VerbatimChar"/>
        </w:rPr>
        <w:t xml:space="preserve">}</w:t>
      </w:r>
      <w:r>
        <w:br/>
      </w:r>
      <w:r>
        <w:rPr>
          <w:rStyle w:val="VerbatimChar"/>
        </w:rPr>
        <w:t xml:space="preserve">OPWResult = {</w:t>
      </w:r>
      <w:r>
        <w:br/>
      </w:r>
      <w:r>
        <w:rPr>
          <w:rStyle w:val="VerbatimChar"/>
        </w:rPr>
        <w:t xml:space="preserve">    distance: float,               # scalar OPW distance, lower = better match</w:t>
      </w:r>
      <w:r>
        <w:br/>
      </w:r>
      <w:r>
        <w:rPr>
          <w:rStyle w:val="VerbatimChar"/>
        </w:rPr>
        <w:t xml:space="preserve">    transport_plan: Matrix[float], # n x m coupling matrix, for diagnostic visualization</w:t>
      </w:r>
      <w:r>
        <w:br/>
      </w:r>
      <w:r>
        <w:rPr>
          <w:rStyle w:val="VerbatimChar"/>
        </w:rPr>
        <w:t xml:space="preserve">}</w:t>
      </w:r>
    </w:p>
    <w:p>
      <w:pPr>
        <w:pStyle w:val="FirstParagraph"/>
      </w:pPr>
      <w:r>
        <w:rPr>
          <w:bCs/>
          <w:b/>
        </w:rPr>
        <w:t xml:space="preserve">Algorithm.</w:t>
      </w:r>
      <w:r>
        <w:t xml:space="preserve"> </w:t>
      </w:r>
      <w:r>
        <w:t xml:space="preserve">1. Represent</w:t>
      </w:r>
      <w:r>
        <w:t xml:space="preserve"> </w:t>
      </w:r>
      <w:r>
        <w:rPr>
          <w:rStyle w:val="VerbatimChar"/>
        </w:rPr>
        <w:t xml:space="preserve">OrderedSequence</w:t>
      </w:r>
      <w:r>
        <w:t xml:space="preserve"> </w:t>
      </w:r>
      <w:r>
        <w:t xml:space="preserve">and</w:t>
      </w:r>
      <w:r>
        <w:t xml:space="preserve"> </w:t>
      </w:r>
      <w:r>
        <w:rPr>
          <w:rStyle w:val="VerbatimChar"/>
        </w:rPr>
        <w:t xml:space="preserve">ReferenceOrder</w:t>
      </w:r>
      <w:r>
        <w:t xml:space="preserve"> </w:t>
      </w:r>
      <w:r>
        <w:t xml:space="preserve">as two discrete distributions over their respective element sets, each with uniform mass 1/n.</w:t>
      </w:r>
      <w:r>
        <w:t xml:space="preserve"> </w:t>
      </w:r>
      <w:r>
        <w:t xml:space="preserve">2. Build the ground cost matrix C[i,j] = element-dissimilarity(recovered[i], reference[j]) — for AEGIS, reuse the existing element-embedding distance already computed by the Semantic Engine (monograph Section 5.4) rather than introducing a new embedding.</w:t>
      </w:r>
      <w:r>
        <w:t xml:space="preserve"> </w:t>
      </w:r>
      <w:r>
        <w:t xml:space="preserve">3. Build the sequence-position penalty matrix P[i,j] = |i/n − j/m|² (this is the</w:t>
      </w:r>
      <w:r>
        <w:t xml:space="preserve"> </w:t>
      </w:r>
      <w:r>
        <w:t xml:space="preserve">“</w:t>
      </w:r>
      <w:r>
        <w:t xml:space="preserve">order-preserving</w:t>
      </w:r>
      <w:r>
        <w:t xml:space="preserve">”</w:t>
      </w:r>
      <w:r>
        <w:t xml:space="preserve"> </w:t>
      </w:r>
      <w:r>
        <w:t xml:space="preserve">term — it penalizes matching a recovered-order position far from its reference position).</w:t>
      </w:r>
      <w:r>
        <w:t xml:space="preserve"> </w:t>
      </w:r>
      <w:r>
        <w:t xml:space="preserve">4. Combine: total cost matrix = C + λ1·P.</w:t>
      </w:r>
      <w:r>
        <w:t xml:space="preserve"> </w:t>
      </w:r>
      <w:r>
        <w:t xml:space="preserve">5. Solve the entropy-regularized optimal transport problem via Sinkhorn-Knopp matrix scaling (iterative row/column normalization of exp(−cost/λ2)) for</w:t>
      </w:r>
      <w:r>
        <w:t xml:space="preserve"> </w:t>
      </w:r>
      <w:r>
        <w:rPr>
          <w:rStyle w:val="VerbatimChar"/>
        </w:rPr>
        <w:t xml:space="preserve">max_iter</w:t>
      </w:r>
      <w:r>
        <w:t xml:space="preserve"> </w:t>
      </w:r>
      <w:r>
        <w:t xml:space="preserve">iterations or until convergence.</w:t>
      </w:r>
      <w:r>
        <w:t xml:space="preserve"> </w:t>
      </w:r>
      <w:r>
        <w:t xml:space="preserve">6. Return the resulting transport cost as</w:t>
      </w:r>
      <w:r>
        <w:t xml:space="preserve"> </w:t>
      </w:r>
      <w:r>
        <w:rPr>
          <w:rStyle w:val="VerbatimChar"/>
        </w:rPr>
        <w:t xml:space="preserve">distance</w:t>
      </w:r>
      <w:r>
        <w:t xml:space="preserve">, and the coupling matrix as</w:t>
      </w:r>
      <w:r>
        <w:t xml:space="preserve"> </w:t>
      </w:r>
      <w:r>
        <w:rPr>
          <w:rStyle w:val="VerbatimChar"/>
        </w:rPr>
        <w:t xml:space="preserve">transport_plan</w:t>
      </w:r>
      <w:r>
        <w:t xml:space="preserve"> </w:t>
      </w:r>
      <w:r>
        <w:t xml:space="preserve">for diagnostic use.</w:t>
      </w:r>
    </w:p>
    <w:p>
      <w:pPr>
        <w:pStyle w:val="BodyText"/>
      </w:pPr>
      <w:r>
        <w:rPr>
          <w:bCs/>
          <w:b/>
        </w:rPr>
        <w:t xml:space="preserve">Module and interface.</w:t>
      </w:r>
      <w:r>
        <w:t xml:space="preserve"> </w:t>
      </w:r>
      <w:r>
        <w:t xml:space="preserve">Lives alongside the Graph Engine (monograph Section 5.4), as a new evaluation-only submodule — it does not modify Section 6’s graph construction or Kahn’s-algorithm recovery, only scores an already-recovered sequence.</w:t>
      </w:r>
    </w:p>
    <w:p>
      <w:pPr>
        <w:pStyle w:val="SourceCode"/>
      </w:pPr>
      <w:r>
        <w:rPr>
          <w:rStyle w:val="VerbatimChar"/>
        </w:rPr>
        <w:t xml:space="preserve">def compute_opw_distance(</w:t>
      </w:r>
      <w:r>
        <w:br/>
      </w:r>
      <w:r>
        <w:rPr>
          <w:rStyle w:val="VerbatimChar"/>
        </w:rPr>
        <w:t xml:space="preserve">    recovered: OrderedSequence,</w:t>
      </w:r>
      <w:r>
        <w:br/>
      </w:r>
      <w:r>
        <w:rPr>
          <w:rStyle w:val="VerbatimChar"/>
        </w:rPr>
        <w:t xml:space="preserve">    reference: ReferenceOrder,</w:t>
      </w:r>
      <w:r>
        <w:br/>
      </w:r>
      <w:r>
        <w:rPr>
          <w:rStyle w:val="VerbatimChar"/>
        </w:rPr>
        <w:t xml:space="preserve">    config: OPWConfig = default_config,</w:t>
      </w:r>
      <w:r>
        <w:br/>
      </w:r>
      <w:r>
        <w:rPr>
          <w:rStyle w:val="VerbatimChar"/>
        </w:rPr>
        <w:t xml:space="preserve">) -&gt; OPWResult:</w:t>
      </w:r>
      <w:r>
        <w:br/>
      </w:r>
      <w:r>
        <w:rPr>
          <w:rStyle w:val="VerbatimChar"/>
        </w:rPr>
        <w:t xml:space="preserve">    ...</w:t>
      </w:r>
    </w:p>
    <w:p>
      <w:pPr>
        <w:pStyle w:val="FirstParagraph"/>
      </w:pPr>
      <w:r>
        <w:rPr>
          <w:bCs/>
          <w:b/>
        </w:rPr>
        <w:t xml:space="preserve">Integration point.</w:t>
      </w:r>
      <w:r>
        <w:t xml:space="preserve"> </w:t>
      </w:r>
      <w:r>
        <w:t xml:space="preserve">Reads the output of Section 6.4 (Kahn’s-algorithm reading order recovery); writes into the evaluation/observability layer (monograph Section 19.5) as a new metric alongside RHM, and optionally into Section 13’s contextual-bandit reward signal (Section 13.3) as a graded component of the router’s composite reward, per the Enhancement Research Report’s Section 4.2 recommendation.</w:t>
      </w:r>
    </w:p>
    <w:p>
      <w:pPr>
        <w:pStyle w:val="BodyText"/>
      </w:pPr>
      <w:r>
        <w:rPr>
          <w:bCs/>
          <w:b/>
        </w:rPr>
        <w:t xml:space="preserve">Dependencies.</w:t>
      </w:r>
      <w:r>
        <w:t xml:space="preserve"> </w:t>
      </w:r>
      <w:r>
        <w:t xml:space="preserve">The Python Optimal Transport library (POT), which implements Sinkhorn-Knopp and order-preserving variants directly — no new trained model, no new training data. This is a new third-party dependency for AEGIS’s stack (not currently listed among the monograph’s referenced libraries) but a mature, widely-used one.</w:t>
      </w:r>
    </w:p>
    <w:p>
      <w:pPr>
        <w:pStyle w:val="BodyText"/>
      </w:pPr>
      <w:r>
        <w:rPr>
          <w:bCs/>
          <w:b/>
        </w:rPr>
        <w:t xml:space="preserve">Test plan.</w:t>
      </w:r>
      <w:r>
        <w:t xml:space="preserve"> </w:t>
      </w:r>
      <w:r>
        <w:t xml:space="preserve">-</w:t>
      </w:r>
      <w:r>
        <w:t xml:space="preserve"> </w:t>
      </w:r>
      <w:r>
        <w:rPr>
          <w:bCs/>
          <w:b/>
        </w:rPr>
        <w:t xml:space="preserve">TC-E-01</w:t>
      </w:r>
      <w:r>
        <w:t xml:space="preserve">: Identical-sequence sanity check. Input:</w:t>
      </w:r>
      <w:r>
        <w:t xml:space="preserve"> </w:t>
      </w:r>
      <w:r>
        <w:rPr>
          <w:rStyle w:val="VerbatimChar"/>
        </w:rPr>
        <w:t xml:space="preserve">recovered == reference</w:t>
      </w:r>
      <w:r>
        <w:t xml:space="preserve">. Expected:</w:t>
      </w:r>
      <w:r>
        <w:t xml:space="preserve"> </w:t>
      </w:r>
      <w:r>
        <w:rPr>
          <w:rStyle w:val="VerbatimChar"/>
        </w:rPr>
        <w:t xml:space="preserve">distance == 0</w:t>
      </w:r>
      <w:r>
        <w:t xml:space="preserve"> </w:t>
      </w:r>
      <w:r>
        <w:t xml:space="preserve">(within floating-point tolerance).</w:t>
      </w:r>
      <w:r>
        <w:t xml:space="preserve"> </w:t>
      </w:r>
      <w:r>
        <w:t xml:space="preserve">-</w:t>
      </w:r>
      <w:r>
        <w:t xml:space="preserve"> </w:t>
      </w:r>
      <w:r>
        <w:rPr>
          <w:bCs/>
          <w:b/>
        </w:rPr>
        <w:t xml:space="preserve">TC-E-02</w:t>
      </w:r>
      <w:r>
        <w:t xml:space="preserve">: Single-swap sensitivity. Input: reference order with exactly one adjacent pair swapped in</w:t>
      </w:r>
      <w:r>
        <w:t xml:space="preserve"> </w:t>
      </w:r>
      <w:r>
        <w:rPr>
          <w:rStyle w:val="VerbatimChar"/>
        </w:rPr>
        <w:t xml:space="preserve">recovered</w:t>
      </w:r>
      <w:r>
        <w:t xml:space="preserve">. Expected:</w:t>
      </w:r>
      <w:r>
        <w:t xml:space="preserve"> </w:t>
      </w:r>
      <w:r>
        <w:rPr>
          <w:rStyle w:val="VerbatimChar"/>
        </w:rPr>
        <w:t xml:space="preserve">distance</w:t>
      </w:r>
      <w:r>
        <w:t xml:space="preserve"> </w:t>
      </w:r>
      <w:r>
        <w:t xml:space="preserve">is small and positive, strictly less than the distance produced by a fully-reversed sequence (TC-E-03).</w:t>
      </w:r>
      <w:r>
        <w:t xml:space="preserve"> </w:t>
      </w:r>
      <w:r>
        <w:t xml:space="preserve">-</w:t>
      </w:r>
      <w:r>
        <w:t xml:space="preserve"> </w:t>
      </w:r>
      <w:r>
        <w:rPr>
          <w:bCs/>
          <w:b/>
        </w:rPr>
        <w:t xml:space="preserve">TC-E-03</w:t>
      </w:r>
      <w:r>
        <w:t xml:space="preserve">: Full-reversal upper bound. Input:</w:t>
      </w:r>
      <w:r>
        <w:t xml:space="preserve"> </w:t>
      </w:r>
      <w:r>
        <w:rPr>
          <w:rStyle w:val="VerbatimChar"/>
        </w:rPr>
        <w:t xml:space="preserve">recovered</w:t>
      </w:r>
      <w:r>
        <w:t xml:space="preserve"> </w:t>
      </w:r>
      <w:r>
        <w:t xml:space="preserve">is the exact reverse of</w:t>
      </w:r>
      <w:r>
        <w:t xml:space="preserve"> </w:t>
      </w:r>
      <w:r>
        <w:rPr>
          <w:rStyle w:val="VerbatimChar"/>
        </w:rPr>
        <w:t xml:space="preserve">reference</w:t>
      </w:r>
      <w:r>
        <w:t xml:space="preserve">. Expected:</w:t>
      </w:r>
      <w:r>
        <w:t xml:space="preserve"> </w:t>
      </w:r>
      <w:r>
        <w:rPr>
          <w:rStyle w:val="VerbatimChar"/>
        </w:rPr>
        <w:t xml:space="preserve">distance</w:t>
      </w:r>
      <w:r>
        <w:t xml:space="preserve"> </w:t>
      </w:r>
      <w:r>
        <w:t xml:space="preserve">is the largest value observed across a battery of corrupted-order test sequences, confirming the metric’s monotonic sensitivity to disorder.</w:t>
      </w:r>
      <w:r>
        <w:t xml:space="preserve"> </w:t>
      </w:r>
      <w:r>
        <w:t xml:space="preserve">-</w:t>
      </w:r>
      <w:r>
        <w:t xml:space="preserve"> </w:t>
      </w:r>
      <w:r>
        <w:rPr>
          <w:bCs/>
          <w:b/>
        </w:rPr>
        <w:t xml:space="preserve">TC-E-04</w:t>
      </w:r>
      <w:r>
        <w:t xml:space="preserve">: Consistency with RHM. Input: the same test fixtures used in the Comparative Landscape Report’s recommended OmniDocBench evaluation. Expected: sequences RHM scores as</w:t>
      </w:r>
      <w:r>
        <w:t xml:space="preserve"> </w:t>
      </w:r>
      <w:r>
        <w:t xml:space="preserve">“</w:t>
      </w:r>
      <w:r>
        <w:t xml:space="preserve">hit</w:t>
      </w:r>
      <w:r>
        <w:t xml:space="preserve">”</w:t>
      </w:r>
      <w:r>
        <w:t xml:space="preserve"> </w:t>
      </w:r>
      <w:r>
        <w:t xml:space="preserve">should cluster at low OPW distance, and</w:t>
      </w:r>
      <w:r>
        <w:t xml:space="preserve"> </w:t>
      </w:r>
      <w:r>
        <w:t xml:space="preserve">“</w:t>
      </w:r>
      <w:r>
        <w:t xml:space="preserve">miss</w:t>
      </w:r>
      <w:r>
        <w:t xml:space="preserve">”</w:t>
      </w:r>
      <w:r>
        <w:t xml:space="preserve"> </w:t>
      </w:r>
      <w:r>
        <w:t xml:space="preserve">sequences at higher distance, confirming the two metrics are consistent rather than contradictory on the same data.</w:t>
      </w:r>
    </w:p>
    <w:p>
      <w:r>
        <w:pict>
          <v:rect style="width:0;height:1.5pt" o:hralign="center" o:hrstd="t" o:hr="t"/>
        </w:pict>
      </w:r>
    </w:p>
    <w:bookmarkEnd w:id="26"/>
    <w:bookmarkStart w:id="27" w:name="Xbf524992ca38cb7f3758546a0ca4f1fe488b2a0"/>
    <w:p>
      <w:pPr>
        <w:pStyle w:val="Heading3"/>
      </w:pPr>
      <w:r>
        <w:t xml:space="preserve">2.2 Feature A2 — Topology Engine via Persistent Homology (Table Structure Detection)</w:t>
      </w:r>
    </w:p>
    <w:p>
      <w:pPr>
        <w:pStyle w:val="FirstParagraph"/>
      </w:pPr>
      <w:r>
        <w:rPr>
          <w:bCs/>
          <w:b/>
        </w:rPr>
        <w:t xml:space="preserve">What it does.</w:t>
      </w:r>
      <w:r>
        <w:t xml:space="preserve"> </w:t>
      </w:r>
      <w:r>
        <w:t xml:space="preserve">Implements the monograph’s currently-unbuilt Topology Engine (Section 5.4, flagged unimplemented in Section 23) for its first concrete use case: detecting a table’s row/column topology directly from cell-adjacency structure, without relying on explicit ruling lines. Before: AEGIS’s Matrix Engine assumes table structure has already been detected by an upstream parser; there is no AEGIS-native mechanism to detect or verify that structure. After: AEGIS can independently confirm or flag a table’s topology from its own persistent-homology computation over the Matrix Engine’s existing cell-adjacency map.</w:t>
      </w:r>
    </w:p>
    <w:p>
      <w:pPr>
        <w:pStyle w:val="BodyText"/>
      </w:pPr>
      <w:r>
        <w:rPr>
          <w:bCs/>
          <w:b/>
        </w:rPr>
        <w:t xml:space="preserve">Data structures.</w:t>
      </w:r>
    </w:p>
    <w:p>
      <w:pPr>
        <w:pStyle w:val="SourceCode"/>
      </w:pPr>
      <w:r>
        <w:rPr>
          <w:rStyle w:val="VerbatimChar"/>
        </w:rPr>
        <w:t xml:space="preserve">CellAdjacencyGraph = Graph[CellID, AdjacencyEdge]   # already computed by Matrix Engine, Sec 5.4</w:t>
      </w:r>
      <w:r>
        <w:br/>
      </w:r>
      <w:r>
        <w:rPr>
          <w:rStyle w:val="VerbatimChar"/>
        </w:rPr>
        <w:t xml:space="preserve">Filtration = List[Tuple[threshold: float, Graph]]    # nested sequence of graphs at increasing distance threshold</w:t>
      </w:r>
      <w:r>
        <w:br/>
      </w:r>
      <w:r>
        <w:rPr>
          <w:rStyle w:val="VerbatimChar"/>
        </w:rPr>
        <w:t xml:space="preserve">PersistenceBarcode = List[Tuple[birth: float, death: float, dimension: int]]</w:t>
      </w:r>
      <w:r>
        <w:br/>
      </w:r>
      <w:r>
        <w:rPr>
          <w:rStyle w:val="VerbatimChar"/>
        </w:rPr>
        <w:t xml:space="preserve">TopologyReport = {</w:t>
      </w:r>
      <w:r>
        <w:br/>
      </w:r>
      <w:r>
        <w:rPr>
          <w:rStyle w:val="VerbatimChar"/>
        </w:rPr>
        <w:t xml:space="preserve">    betti_0: int,             # connected components (expected: 1 for a well-formed table)</w:t>
      </w:r>
      <w:r>
        <w:br/>
      </w:r>
      <w:r>
        <w:rPr>
          <w:rStyle w:val="VerbatimChar"/>
        </w:rPr>
        <w:t xml:space="preserve">    betti_1: int,             # independent loops (expected: 0 for a simple grid; &gt;0 flags irregular merges)</w:t>
      </w:r>
      <w:r>
        <w:br/>
      </w:r>
      <w:r>
        <w:rPr>
          <w:rStyle w:val="VerbatimChar"/>
        </w:rPr>
        <w:t xml:space="preserve">    barcode: PersistenceBarcode,</w:t>
      </w:r>
      <w:r>
        <w:br/>
      </w:r>
      <w:r>
        <w:rPr>
          <w:rStyle w:val="VerbatimChar"/>
        </w:rPr>
        <w:t xml:space="preserve">    anomaly_flag: bool,       # True if betti numbers deviate from the expected simple-grid signature</w:t>
      </w:r>
      <w:r>
        <w:br/>
      </w:r>
      <w:r>
        <w:rPr>
          <w:rStyle w:val="VerbatimChar"/>
        </w:rPr>
        <w:t xml:space="preserve">}</w:t>
      </w:r>
    </w:p>
    <w:p>
      <w:pPr>
        <w:pStyle w:val="FirstParagraph"/>
      </w:pPr>
      <w:r>
        <w:rPr>
          <w:bCs/>
          <w:b/>
        </w:rPr>
        <w:t xml:space="preserve">Algorithm.</w:t>
      </w:r>
      <w:r>
        <w:t xml:space="preserve"> </w:t>
      </w:r>
      <w:r>
        <w:t xml:space="preserve">1. Take the Matrix Engine’s existing cell-adjacency graph (monograph Section 5.4) as the base structure.</w:t>
      </w:r>
      <w:r>
        <w:t xml:space="preserve"> </w:t>
      </w:r>
      <w:r>
        <w:t xml:space="preserve">2. Build a filtration by varying an adjacency-strength threshold from 0 (only the strongest, most confident adjacencies included) to 1 (all detected candidate adjacencies included) in K steps (default K=20).</w:t>
      </w:r>
      <w:r>
        <w:t xml:space="preserve"> </w:t>
      </w:r>
      <w:r>
        <w:t xml:space="preserve">3. At each filtration step, compute the simplicial complex’s homology (Betti numbers) using a standard persistent-homology library (Dependencies, below) — this yields, for each topological feature (connected component, loop), the threshold at which it is</w:t>
      </w:r>
      <w:r>
        <w:t xml:space="preserve"> </w:t>
      </w:r>
      <w:r>
        <w:t xml:space="preserve">“</w:t>
      </w:r>
      <w:r>
        <w:t xml:space="preserve">born</w:t>
      </w:r>
      <w:r>
        <w:t xml:space="preserve">”</w:t>
      </w:r>
      <w:r>
        <w:t xml:space="preserve"> </w:t>
      </w:r>
      <w:r>
        <w:t xml:space="preserve">and the threshold at which it</w:t>
      </w:r>
      <w:r>
        <w:t xml:space="preserve"> </w:t>
      </w:r>
      <w:r>
        <w:t xml:space="preserve">“</w:t>
      </w:r>
      <w:r>
        <w:t xml:space="preserve">dies</w:t>
      </w:r>
      <w:r>
        <w:t xml:space="preserve">”</w:t>
      </w:r>
      <w:r>
        <w:t xml:space="preserve"> </w:t>
      </w:r>
      <w:r>
        <w:t xml:space="preserve">(merges with another feature or disappears).</w:t>
      </w:r>
      <w:r>
        <w:t xml:space="preserve"> </w:t>
      </w:r>
      <w:r>
        <w:t xml:space="preserve">4. Assemble the resulting birth-death pairs into the</w:t>
      </w:r>
      <w:r>
        <w:t xml:space="preserve"> </w:t>
      </w:r>
      <w:r>
        <w:rPr>
          <w:rStyle w:val="VerbatimChar"/>
        </w:rPr>
        <w:t xml:space="preserve">PersistenceBarcode</w:t>
      </w:r>
      <w:r>
        <w:t xml:space="preserve">.</w:t>
      </w:r>
      <w:r>
        <w:t xml:space="preserve"> </w:t>
      </w:r>
      <w:r>
        <w:t xml:space="preserve">5. Compute final Betti numbers at a default</w:t>
      </w:r>
      <w:r>
        <w:t xml:space="preserve"> </w:t>
      </w:r>
      <w:r>
        <w:t xml:space="preserve">“</w:t>
      </w:r>
      <w:r>
        <w:t xml:space="preserve">canonical</w:t>
      </w:r>
      <w:r>
        <w:t xml:space="preserve">”</w:t>
      </w:r>
      <w:r>
        <w:t xml:space="preserve"> </w:t>
      </w:r>
      <w:r>
        <w:t xml:space="preserve">threshold (the midpoint of the filtration range, or a value tuned against a validation set per the test plan below).</w:t>
      </w:r>
      <w:r>
        <w:t xml:space="preserve"> </w:t>
      </w:r>
      <w:r>
        <w:t xml:space="preserve">6. Flag</w:t>
      </w:r>
      <w:r>
        <w:t xml:space="preserve"> </w:t>
      </w:r>
      <w:r>
        <w:rPr>
          <w:rStyle w:val="VerbatimChar"/>
        </w:rPr>
        <w:t xml:space="preserve">anomaly_flag = True</w:t>
      </w:r>
      <w:r>
        <w:t xml:space="preserve"> </w:t>
      </w:r>
      <w:r>
        <w:t xml:space="preserve">if</w:t>
      </w:r>
      <w:r>
        <w:t xml:space="preserve"> </w:t>
      </w:r>
      <w:r>
        <w:rPr>
          <w:rStyle w:val="VerbatimChar"/>
        </w:rPr>
        <w:t xml:space="preserve">betti_0 != 1</w:t>
      </w:r>
      <w:r>
        <w:t xml:space="preserve"> </w:t>
      </w:r>
      <w:r>
        <w:t xml:space="preserve">(the table is not a single connected structure — possible mis-detected boundary) or</w:t>
      </w:r>
      <w:r>
        <w:t xml:space="preserve"> </w:t>
      </w:r>
      <w:r>
        <w:rPr>
          <w:rStyle w:val="VerbatimChar"/>
        </w:rPr>
        <w:t xml:space="preserve">betti_1 &gt; expected_header_hierarchy_loops</w:t>
      </w:r>
      <w:r>
        <w:t xml:space="preserve"> </w:t>
      </w:r>
      <w:r>
        <w:t xml:space="preserve">(unexpected loop structure, possible merged-cell misdetection).</w:t>
      </w:r>
    </w:p>
    <w:p>
      <w:pPr>
        <w:pStyle w:val="BodyText"/>
      </w:pPr>
      <w:r>
        <w:rPr>
          <w:bCs/>
          <w:b/>
        </w:rPr>
        <w:t xml:space="preserve">Module and interface.</w:t>
      </w:r>
      <w:r>
        <w:t xml:space="preserve"> </w:t>
      </w:r>
      <w:r>
        <w:t xml:space="preserve">New engine module implementing the Topology Engine’s contract as specified in Appendix G’s interface table (Input: structural graph G; Output: Betti numbers, persistence diagram):</w:t>
      </w:r>
    </w:p>
    <w:p>
      <w:pPr>
        <w:pStyle w:val="SourceCode"/>
      </w:pPr>
      <w:r>
        <w:rPr>
          <w:rStyle w:val="VerbatimChar"/>
        </w:rPr>
        <w:t xml:space="preserve">def compute_table_topology(</w:t>
      </w:r>
      <w:r>
        <w:br/>
      </w:r>
      <w:r>
        <w:rPr>
          <w:rStyle w:val="VerbatimChar"/>
        </w:rPr>
        <w:t xml:space="preserve">    cell_graph: CellAdjacencyGraph,</w:t>
      </w:r>
      <w:r>
        <w:br/>
      </w:r>
      <w:r>
        <w:rPr>
          <w:rStyle w:val="VerbatimChar"/>
        </w:rPr>
        <w:t xml:space="preserve">    num_filtration_steps: int = 20,</w:t>
      </w:r>
      <w:r>
        <w:br/>
      </w:r>
      <w:r>
        <w:rPr>
          <w:rStyle w:val="VerbatimChar"/>
        </w:rPr>
        <w:t xml:space="preserve">) -&gt; TopologyReport:</w:t>
      </w:r>
      <w:r>
        <w:br/>
      </w:r>
      <w:r>
        <w:rPr>
          <w:rStyle w:val="VerbatimChar"/>
        </w:rPr>
        <w:t xml:space="preserve">    ...</w:t>
      </w:r>
    </w:p>
    <w:p>
      <w:pPr>
        <w:pStyle w:val="FirstParagraph"/>
      </w:pPr>
      <w:r>
        <w:rPr>
          <w:bCs/>
          <w:b/>
        </w:rPr>
        <w:t xml:space="preserve">Integration point.</w:t>
      </w:r>
      <w:r>
        <w:t xml:space="preserve"> </w:t>
      </w:r>
      <w:r>
        <w:t xml:space="preserve">Reads the Matrix Engine’s cell-adjacency graph (monograph Section 5.4); writes an anomaly flag consumable by the same verification stage that already handles OCR-confidence flagging (monograph Section 19.3), so a topologically anomalous table is surfaced through AEGIS’s existing confidence-scoring pathway rather than requiring a new alerting mechanism.</w:t>
      </w:r>
    </w:p>
    <w:p>
      <w:pPr>
        <w:pStyle w:val="BodyText"/>
      </w:pPr>
      <w:r>
        <w:rPr>
          <w:bCs/>
          <w:b/>
        </w:rPr>
        <w:t xml:space="preserve">Dependencies.</w:t>
      </w:r>
      <w:r>
        <w:t xml:space="preserve"> </w:t>
      </w:r>
      <w:r>
        <w:t xml:space="preserve">A persistent-homology computation library — GUDHI or Ripser are the two standard open-source options, both training-free (pure computational-topology libraries, not trained models). No new training data required.</w:t>
      </w:r>
    </w:p>
    <w:p>
      <w:pPr>
        <w:pStyle w:val="BodyText"/>
      </w:pPr>
      <w:r>
        <w:rPr>
          <w:bCs/>
          <w:b/>
        </w:rPr>
        <w:t xml:space="preserve">Test plan.</w:t>
      </w:r>
      <w:r>
        <w:t xml:space="preserve"> </w:t>
      </w:r>
      <w:r>
        <w:t xml:space="preserve">-</w:t>
      </w:r>
      <w:r>
        <w:t xml:space="preserve"> </w:t>
      </w:r>
      <w:r>
        <w:rPr>
          <w:bCs/>
          <w:b/>
        </w:rPr>
        <w:t xml:space="preserve">TC-E-05</w:t>
      </w:r>
      <w:r>
        <w:t xml:space="preserve">: Simple-grid sanity check. Input: a synthetic 4×4 table with no merged cells. Expected:</w:t>
      </w:r>
      <w:r>
        <w:t xml:space="preserve"> </w:t>
      </w:r>
      <w:r>
        <w:rPr>
          <w:rStyle w:val="VerbatimChar"/>
        </w:rPr>
        <w:t xml:space="preserve">betti_0 == 1</w:t>
      </w:r>
      <w:r>
        <w:t xml:space="preserve">,</w:t>
      </w:r>
      <w:r>
        <w:t xml:space="preserve"> </w:t>
      </w:r>
      <w:r>
        <w:rPr>
          <w:rStyle w:val="VerbatimChar"/>
        </w:rPr>
        <w:t xml:space="preserve">betti_1 == 0</w:t>
      </w:r>
      <w:r>
        <w:t xml:space="preserve">,</w:t>
      </w:r>
      <w:r>
        <w:t xml:space="preserve"> </w:t>
      </w:r>
      <w:r>
        <w:rPr>
          <w:rStyle w:val="VerbatimChar"/>
        </w:rPr>
        <w:t xml:space="preserve">anomaly_flag == False</w:t>
      </w:r>
      <w:r>
        <w:t xml:space="preserve">.</w:t>
      </w:r>
      <w:r>
        <w:t xml:space="preserve"> </w:t>
      </w:r>
      <w:r>
        <w:t xml:space="preserve">-</w:t>
      </w:r>
      <w:r>
        <w:t xml:space="preserve"> </w:t>
      </w:r>
      <w:r>
        <w:rPr>
          <w:bCs/>
          <w:b/>
        </w:rPr>
        <w:t xml:space="preserve">TC-E-06</w:t>
      </w:r>
      <w:r>
        <w:t xml:space="preserve">: Merged-header detection. Input: a synthetic table with one header cell spanning three columns. Expected: the persistence barcode shows a distinct short-lived loop feature corresponding to the merge, with</w:t>
      </w:r>
      <w:r>
        <w:t xml:space="preserve"> </w:t>
      </w:r>
      <w:r>
        <w:rPr>
          <w:rStyle w:val="VerbatimChar"/>
        </w:rPr>
        <w:t xml:space="preserve">anomaly_flag</w:t>
      </w:r>
      <w:r>
        <w:t xml:space="preserve"> </w:t>
      </w:r>
      <w:r>
        <w:t xml:space="preserve">correctly remaining</w:t>
      </w:r>
      <w:r>
        <w:t xml:space="preserve"> </w:t>
      </w:r>
      <w:r>
        <w:rPr>
          <w:rStyle w:val="VerbatimChar"/>
        </w:rPr>
        <w:t xml:space="preserve">False</w:t>
      </w:r>
      <w:r>
        <w:t xml:space="preserve"> </w:t>
      </w:r>
      <w:r>
        <w:t xml:space="preserve">(a legitimate merge, not an error) when tuned against a labeled validation set.</w:t>
      </w:r>
      <w:r>
        <w:t xml:space="preserve"> </w:t>
      </w:r>
      <w:r>
        <w:t xml:space="preserve">-</w:t>
      </w:r>
      <w:r>
        <w:t xml:space="preserve"> </w:t>
      </w:r>
      <w:r>
        <w:rPr>
          <w:bCs/>
          <w:b/>
        </w:rPr>
        <w:t xml:space="preserve">TC-E-07</w:t>
      </w:r>
      <w:r>
        <w:t xml:space="preserve">: Malformed-table detection. Input: a synthetic table with a genuinely disconnected region (a parsing error that split one table into two unconnected fragments). Expected:</w:t>
      </w:r>
      <w:r>
        <w:t xml:space="preserve"> </w:t>
      </w:r>
      <w:r>
        <w:rPr>
          <w:rStyle w:val="VerbatimChar"/>
        </w:rPr>
        <w:t xml:space="preserve">betti_0 == 2</w:t>
      </w:r>
      <w:r>
        <w:t xml:space="preserve">,</w:t>
      </w:r>
      <w:r>
        <w:t xml:space="preserve"> </w:t>
      </w:r>
      <w:r>
        <w:rPr>
          <w:rStyle w:val="VerbatimChar"/>
        </w:rPr>
        <w:t xml:space="preserve">anomaly_flag == True</w:t>
      </w:r>
      <w:r>
        <w:t xml:space="preserve">.</w:t>
      </w:r>
      <w:r>
        <w:t xml:space="preserve"> </w:t>
      </w:r>
      <w:r>
        <w:t xml:space="preserve">-</w:t>
      </w:r>
      <w:r>
        <w:t xml:space="preserve"> </w:t>
      </w:r>
      <w:r>
        <w:rPr>
          <w:bCs/>
          <w:b/>
        </w:rPr>
        <w:t xml:space="preserve">TC-E-08</w:t>
      </w:r>
      <w:r>
        <w:t xml:space="preserve">: Real-corpus validation. Input: a sample of tables from the PubTables-1M or a comparably-sized labeled table-structure-recognition benchmark (cross-referencing the Comparative Landscape Report’s Section 3.2 sources). Expected: anomaly-flag precision and recall reported against the benchmark’s ground-truth table-boundary annotations — this is the specific test that would move this feature from</w:t>
      </w:r>
      <w:r>
        <w:t xml:space="preserve"> </w:t>
      </w:r>
      <w:r>
        <w:t xml:space="preserve">“</w:t>
      </w:r>
      <w:r>
        <w:t xml:space="preserve">implemented</w:t>
      </w:r>
      <w:r>
        <w:t xml:space="preserve">”</w:t>
      </w:r>
      <w:r>
        <w:t xml:space="preserve"> </w:t>
      </w:r>
      <w:r>
        <w:t xml:space="preserve">to</w:t>
      </w:r>
      <w:r>
        <w:t xml:space="preserve"> </w:t>
      </w:r>
      <w:r>
        <w:t xml:space="preserve">“</w:t>
      </w:r>
      <w:r>
        <w:t xml:space="preserve">validated against real data,</w:t>
      </w:r>
      <w:r>
        <w:t xml:space="preserve">”</w:t>
      </w:r>
      <w:r>
        <w:t xml:space="preserve"> </w:t>
      </w:r>
      <w:r>
        <w:t xml:space="preserve">per this document’s Section 1’s evidentiary standard.</w:t>
      </w:r>
    </w:p>
    <w:bookmarkEnd w:id="27"/>
    <w:bookmarkEnd w:id="28"/>
    <w:bookmarkStart w:id="33" w:name="feature-group-b-mid-term-features"/>
    <w:p>
      <w:pPr>
        <w:pStyle w:val="Heading2"/>
      </w:pPr>
      <w:r>
        <w:t xml:space="preserve">3. Feature Group B: Mid-Term Features</w:t>
      </w:r>
    </w:p>
    <w:bookmarkStart w:id="29" w:name="X4088cd90fed6e3e10a05192fdccb85726d80b34"/>
    <w:p>
      <w:pPr>
        <w:pStyle w:val="Heading3"/>
      </w:pPr>
      <w:r>
        <w:t xml:space="preserve">3.1 Feature B1 — Submodular Knapsack-Constrained Context Packer</w:t>
      </w:r>
    </w:p>
    <w:p>
      <w:pPr>
        <w:pStyle w:val="FirstParagraph"/>
      </w:pPr>
      <w:r>
        <w:rPr>
          <w:bCs/>
          <w:b/>
        </w:rPr>
        <w:t xml:space="preserve">What it does.</w:t>
      </w:r>
      <w:r>
        <w:t xml:space="preserve"> </w:t>
      </w:r>
      <w:r>
        <w:t xml:space="preserve">Replaces the current two-stage pipeline (Section 15.4’s MMR diversity filter, followed by Section 9’s independent-value knapsack packer) with a single knapsack-constrained monotone submodular maximization stage, per the Enhancement Research Report’s Section 2. Before: redundancy is handled heuristically upstream of packing, with no combined guarantee across the two stages. After: one stage, one objective, one proven (1−1/e) bound.</w:t>
      </w:r>
    </w:p>
    <w:p>
      <w:pPr>
        <w:pStyle w:val="BodyText"/>
      </w:pPr>
      <w:r>
        <w:rPr>
          <w:bCs/>
          <w:b/>
        </w:rPr>
        <w:t xml:space="preserve">Data structures.</w:t>
      </w:r>
    </w:p>
    <w:p>
      <w:pPr>
        <w:pStyle w:val="SourceCode"/>
      </w:pPr>
      <w:r>
        <w:rPr>
          <w:rStyle w:val="VerbatimChar"/>
        </w:rPr>
        <w:t xml:space="preserve">Concept = str                                     # a query-relevant concept ID (entity, key phrase)</w:t>
      </w:r>
      <w:r>
        <w:br/>
      </w:r>
      <w:r>
        <w:rPr>
          <w:rStyle w:val="VerbatimChar"/>
        </w:rPr>
        <w:t xml:space="preserve">ConceptWeight = Dict[Concept, float]               # w_c, importance of each concept</w:t>
      </w:r>
      <w:r>
        <w:br/>
      </w:r>
      <w:r>
        <w:rPr>
          <w:rStyle w:val="VerbatimChar"/>
        </w:rPr>
        <w:t xml:space="preserve">ChunkConceptCoverage = Dict[ChunkID, Set[Concept]] # which concepts each candidate chunk covers</w:t>
      </w:r>
      <w:r>
        <w:br/>
      </w:r>
      <w:r>
        <w:rPr>
          <w:rStyle w:val="VerbatimChar"/>
        </w:rPr>
        <w:t xml:space="preserve">SubmodularPackingResult = {</w:t>
      </w:r>
      <w:r>
        <w:br/>
      </w:r>
      <w:r>
        <w:rPr>
          <w:rStyle w:val="VerbatimChar"/>
        </w:rPr>
        <w:t xml:space="preserve">    selected: List[ChunkID],</w:t>
      </w:r>
      <w:r>
        <w:br/>
      </w:r>
      <w:r>
        <w:rPr>
          <w:rStyle w:val="VerbatimChar"/>
        </w:rPr>
        <w:t xml:space="preserve">    total_coverage_value: float,</w:t>
      </w:r>
      <w:r>
        <w:br/>
      </w:r>
      <w:r>
        <w:rPr>
          <w:rStyle w:val="VerbatimChar"/>
        </w:rPr>
        <w:t xml:space="preserve">    total_weight: int,               # tokens used</w:t>
      </w:r>
      <w:r>
        <w:br/>
      </w:r>
      <w:r>
        <w:rPr>
          <w:rStyle w:val="VerbatimChar"/>
        </w:rPr>
        <w:t xml:space="preserve">    guarantee: str,                  # "exact" | "greedy-(1-1/e)-bound"</w:t>
      </w:r>
      <w:r>
        <w:br/>
      </w:r>
      <w:r>
        <w:rPr>
          <w:rStyle w:val="VerbatimChar"/>
        </w:rPr>
        <w:t xml:space="preserve">}</w:t>
      </w:r>
    </w:p>
    <w:p>
      <w:pPr>
        <w:pStyle w:val="FirstParagraph"/>
      </w:pPr>
      <w:r>
        <w:rPr>
          <w:bCs/>
          <w:b/>
        </w:rPr>
        <w:t xml:space="preserve">Algorithm.</w:t>
      </w:r>
      <w:r>
        <w:t xml:space="preserve"> </w:t>
      </w:r>
      <w:r>
        <w:t xml:space="preserve">1. Extract query-relevant concepts 𝒞(Q) from the query, using AEGIS’s existing Frequency Engine (key-phrase extraction) and Semantic Engine (named-entity recognition), per Enhancement Research Report Section 2.3 — no new extraction model required.</w:t>
      </w:r>
      <w:r>
        <w:t xml:space="preserve"> </w:t>
      </w:r>
      <w:r>
        <w:t xml:space="preserve">2. Assign each concept c a weight w_c (default: inverse document frequency of c within the retrieved candidate pool, reusing the Frequency Engine’s existing TF-IDF machinery, Section 5.4).</w:t>
      </w:r>
      <w:r>
        <w:t xml:space="preserve"> </w:t>
      </w:r>
      <w:r>
        <w:t xml:space="preserve">3. For each candidate chunk, compute which concepts it covers (</w:t>
      </w:r>
      <w:r>
        <w:rPr>
          <w:rStyle w:val="VerbatimChar"/>
        </w:rPr>
        <w:t xml:space="preserve">ChunkConceptCoverage</w:t>
      </w:r>
      <w:r>
        <w:t xml:space="preserve">), by checking which of 𝒞(Q)’s concepts appear (exactly or via the Semantic Engine’s embedding-similarity threshold) within the chunk’s text.</w:t>
      </w:r>
      <w:r>
        <w:t xml:space="preserve"> </w:t>
      </w:r>
      <w:r>
        <w:t xml:space="preserve">4. Define the coverage objective F(S) = Σ_{c ∈ 𝒞(Q)} w_c · 𝟙[∃ chunk ∈ S covering c] — this is the monotone submodular function.</w:t>
      </w:r>
      <w:r>
        <w:t xml:space="preserve"> </w:t>
      </w:r>
      <w:r>
        <w:t xml:space="preserve">5. Run the standard greedy algorithm for knapsack-constrained monotone submodular maximization: repeatedly select the chunk maximizing marginal gain ΔF(chunk)/token_cost(chunk) among chunks that still fit the remaining budget, until no further chunk fits or all concepts are covered.</w:t>
      </w:r>
      <w:r>
        <w:t xml:space="preserve"> </w:t>
      </w:r>
      <w:r>
        <w:t xml:space="preserve">6. As a final step, compare the greedy solution’s value against the single highest-value individual chunk alone (a required step for the formal (1−1/e) guarantee to hold, since the guarantee is for the better of the two); return whichever is larger, tagging the result with which path (greedy-sequence vs. single-best) produced it.</w:t>
      </w:r>
    </w:p>
    <w:p>
      <w:pPr>
        <w:pStyle w:val="BodyText"/>
      </w:pPr>
      <w:r>
        <w:rPr>
          <w:bCs/>
          <w:b/>
        </w:rPr>
        <w:t xml:space="preserve">Module and interface.</w:t>
      </w:r>
      <w:r>
        <w:t xml:space="preserve"> </w:t>
      </w:r>
      <w:r>
        <w:t xml:space="preserve">Replaces Section 9’s</w:t>
      </w:r>
      <w:r>
        <w:t xml:space="preserve"> </w:t>
      </w:r>
      <w:r>
        <w:rPr>
          <w:rStyle w:val="VerbatimChar"/>
        </w:rPr>
        <w:t xml:space="preserve">pack_context()</w:t>
      </w:r>
      <w:r>
        <w:t xml:space="preserve"> </w:t>
      </w:r>
      <w:r>
        <w:t xml:space="preserve">entry point with a submodular variant, retaining the same caller-facing shape (Appendix G’s stability principle: a consumer depends on</w:t>
      </w:r>
      <w:r>
        <w:t xml:space="preserve"> </w:t>
      </w:r>
      <w:r>
        <w:t xml:space="preserve">“</w:t>
      </w:r>
      <w:r>
        <w:t xml:space="preserve">returns a token-budget-respecting selection,</w:t>
      </w:r>
      <w:r>
        <w:t xml:space="preserve">”</w:t>
      </w:r>
      <w:r>
        <w:t xml:space="preserve"> </w:t>
      </w:r>
      <w:r>
        <w:t xml:space="preserve">not on the internal algorithm):</w:t>
      </w:r>
    </w:p>
    <w:p>
      <w:pPr>
        <w:pStyle w:val="SourceCode"/>
      </w:pPr>
      <w:r>
        <w:rPr>
          <w:rStyle w:val="VerbatimChar"/>
        </w:rPr>
        <w:t xml:space="preserve">def pack_context_submodular(</w:t>
      </w:r>
      <w:r>
        <w:br/>
      </w:r>
      <w:r>
        <w:rPr>
          <w:rStyle w:val="VerbatimChar"/>
        </w:rPr>
        <w:t xml:space="preserve">    candidates: List[Chunk],</w:t>
      </w:r>
      <w:r>
        <w:br/>
      </w:r>
      <w:r>
        <w:rPr>
          <w:rStyle w:val="VerbatimChar"/>
        </w:rPr>
        <w:t xml:space="preserve">    query_concepts: ConceptWeight,</w:t>
      </w:r>
      <w:r>
        <w:br/>
      </w:r>
      <w:r>
        <w:rPr>
          <w:rStyle w:val="VerbatimChar"/>
        </w:rPr>
        <w:t xml:space="preserve">    token_budget: int,</w:t>
      </w:r>
      <w:r>
        <w:br/>
      </w:r>
      <w:r>
        <w:rPr>
          <w:rStyle w:val="VerbatimChar"/>
        </w:rPr>
        <w:t xml:space="preserve">) -&gt; SubmodularPackingResult:</w:t>
      </w:r>
      <w:r>
        <w:br/>
      </w:r>
      <w:r>
        <w:rPr>
          <w:rStyle w:val="VerbatimChar"/>
        </w:rPr>
        <w:t xml:space="preserve">    ...</w:t>
      </w:r>
    </w:p>
    <w:p>
      <w:pPr>
        <w:pStyle w:val="FirstParagraph"/>
      </w:pPr>
      <w:r>
        <w:t xml:space="preserve">The existing exact-DP and greedy-fallback functions (Section 9.2, 9.3) remain in the codebase unchanged and available as an explicit fallback path (Section 3.1’s</w:t>
      </w:r>
      <w:r>
        <w:t xml:space="preserve"> </w:t>
      </w:r>
      <w:r>
        <w:t xml:space="preserve">“</w:t>
      </w:r>
      <w:r>
        <w:t xml:space="preserve">Dependencies</w:t>
      </w:r>
      <w:r>
        <w:t xml:space="preserve">”</w:t>
      </w:r>
      <w:r>
        <w:t xml:space="preserve"> </w:t>
      </w:r>
      <w:r>
        <w:t xml:space="preserve">note below).</w:t>
      </w:r>
    </w:p>
    <w:p>
      <w:pPr>
        <w:pStyle w:val="BodyText"/>
      </w:pPr>
      <w:r>
        <w:rPr>
          <w:bCs/>
          <w:b/>
        </w:rPr>
        <w:t xml:space="preserve">Integration point.</w:t>
      </w:r>
      <w:r>
        <w:t xml:space="preserve"> </w:t>
      </w:r>
      <w:r>
        <w:t xml:space="preserve">Reads candidate chunks and their concept coverage (built from Sections 5.4’s Frequency and Semantic engines);</w:t>
      </w:r>
      <w:r>
        <w:t xml:space="preserve"> </w:t>
      </w:r>
      <w:r>
        <w:rPr>
          <w:bCs/>
          <w:b/>
        </w:rPr>
        <w:t xml:space="preserve">replaces</w:t>
      </w:r>
      <w:r>
        <w:t xml:space="preserve"> </w:t>
      </w:r>
      <w:r>
        <w:t xml:space="preserve">monograph Section 15.4’s MMR filtering stage entirely (MMR’s diversity role is now subsumed by the submodular coverage objective itself) and Section 9’s plain-knapsack packer; writes into the same downstream context-assembly and reading-order re-sort step (Section 6.6) unchanged.</w:t>
      </w:r>
    </w:p>
    <w:p>
      <w:pPr>
        <w:pStyle w:val="BodyText"/>
      </w:pPr>
      <w:r>
        <w:rPr>
          <w:bCs/>
          <w:b/>
        </w:rPr>
        <w:t xml:space="preserve">Dependencies.</w:t>
      </w:r>
      <w:r>
        <w:t xml:space="preserve"> </w:t>
      </w:r>
      <w:r>
        <w:t xml:space="preserve">No new trained model. A submodular-optimization library (SubModLib or a comparable open-source implementation of the standard greedy-with-knapsack-constraint algorithm) is recommended over a from-scratch implementation, since the marginal-gain bookkeeping has known efficiency pitfalls a mature library already handles.</w:t>
      </w:r>
    </w:p>
    <w:p>
      <w:pPr>
        <w:pStyle w:val="BodyText"/>
      </w:pPr>
      <w:r>
        <w:rPr>
          <w:bCs/>
          <w:b/>
        </w:rPr>
        <w:t xml:space="preserve">Test plan.</w:t>
      </w:r>
      <w:r>
        <w:t xml:space="preserve"> </w:t>
      </w:r>
      <w:r>
        <w:t xml:space="preserve">-</w:t>
      </w:r>
      <w:r>
        <w:t xml:space="preserve"> </w:t>
      </w:r>
      <w:r>
        <w:rPr>
          <w:bCs/>
          <w:b/>
        </w:rPr>
        <w:t xml:space="preserve">TC-E-09</w:t>
      </w:r>
      <w:r>
        <w:t xml:space="preserve">: Bound verification, direct analogue of Feasibility Report TC-12. Input: synthetic candidate sets with known optimal coverage (computable by brute force at small N). Expected: greedy solution achieves ≥ (1 − 1/e) of brute-force-optimal coverage value across all tested instances.</w:t>
      </w:r>
      <w:r>
        <w:t xml:space="preserve"> </w:t>
      </w:r>
      <w:r>
        <w:t xml:space="preserve">-</w:t>
      </w:r>
      <w:r>
        <w:t xml:space="preserve"> </w:t>
      </w:r>
      <w:r>
        <w:rPr>
          <w:bCs/>
          <w:b/>
        </w:rPr>
        <w:t xml:space="preserve">TC-E-10</w:t>
      </w:r>
      <w:r>
        <w:t xml:space="preserve">: Redundancy rejection. Input: a candidate pool containing two near-duplicate high-value chunks and one lower-value but distinct chunk, under a budget that can fit at most two of the three. Expected: the packer selects the distinct chunk alongside one of the duplicates, not both duplicates — the specific behavior monograph Section 9.1’s plain knapsack cannot guarantee and this feature is built to provide.</w:t>
      </w:r>
      <w:r>
        <w:t xml:space="preserve"> </w:t>
      </w:r>
      <w:r>
        <w:t xml:space="preserve">-</w:t>
      </w:r>
      <w:r>
        <w:t xml:space="preserve"> </w:t>
      </w:r>
      <w:r>
        <w:rPr>
          <w:bCs/>
          <w:b/>
        </w:rPr>
        <w:t xml:space="preserve">TC-E-11</w:t>
      </w:r>
      <w:r>
        <w:t xml:space="preserve">: Head-to-head vs. current two-stage pipeline. Input: AEGIS’s own document corpus (or the DocVQA/TAT-QA sets per the monograph’s Section 21 protocol), run once through the current MMR+knapsack pipeline and once through this feature. Expected: report SPS, TER, and RHM (monograph Section 21.4 metrics) for both, following the GeoRAG comparison methodology cited in Enhancement Research Report Section 2.2.</w:t>
      </w:r>
      <w:r>
        <w:t xml:space="preserve"> </w:t>
      </w:r>
      <w:r>
        <w:t xml:space="preserve">-</w:t>
      </w:r>
      <w:r>
        <w:t xml:space="preserve"> </w:t>
      </w:r>
      <w:r>
        <w:rPr>
          <w:bCs/>
          <w:b/>
        </w:rPr>
        <w:t xml:space="preserve">TC-E-12</w:t>
      </w:r>
      <w:r>
        <w:t xml:space="preserve">: Fallback-path regression. Input: an instance deliberately constructed to exceed a configured submodular-solver time/memory guard. Expected: the packer falls back to Section 9.3’s existing greedy value-density path with the existing exact/approximate reporting flag intact — confirming this feature adds a new selection stage without silently removing the existing budget-safety guarantees Feasibility Report TC-11 already verified.</w:t>
      </w:r>
    </w:p>
    <w:p>
      <w:r>
        <w:pict>
          <v:rect style="width:0;height:1.5pt" o:hralign="center" o:hrstd="t" o:hr="t"/>
        </w:pict>
      </w:r>
    </w:p>
    <w:bookmarkEnd w:id="29"/>
    <w:bookmarkStart w:id="30" w:name="X5510fad884cfa4e8d49d371aed533f46c4a5eae"/>
    <w:p>
      <w:pPr>
        <w:pStyle w:val="Heading3"/>
      </w:pPr>
      <w:r>
        <w:t xml:space="preserve">3.2 Feature B2 — Hypergraph Table Representation</w:t>
      </w:r>
    </w:p>
    <w:p>
      <w:pPr>
        <w:pStyle w:val="FirstParagraph"/>
      </w:pPr>
      <w:r>
        <w:rPr>
          <w:bCs/>
          <w:b/>
        </w:rPr>
        <w:t xml:space="preserve">What it does.</w:t>
      </w:r>
      <w:r>
        <w:t xml:space="preserve"> </w:t>
      </w:r>
      <w:r>
        <w:t xml:space="preserve">Extends the Matrix Engine’s pairwise cell-adjacency map to a hypergraph representation capable of natively expressing merged cells and multi-level headers as single hyperedges. Training-free at this stage (Enhancement Research Report Section 7.4’s staged low-risk phase); the trained HGNN scoring layer is deferred to Feature C2 (Section 4.2).</w:t>
      </w:r>
    </w:p>
    <w:p>
      <w:pPr>
        <w:pStyle w:val="BodyText"/>
      </w:pPr>
      <w:r>
        <w:rPr>
          <w:bCs/>
          <w:b/>
        </w:rPr>
        <w:t xml:space="preserve">Data structures.</w:t>
      </w:r>
    </w:p>
    <w:p>
      <w:pPr>
        <w:pStyle w:val="SourceCode"/>
      </w:pPr>
      <w:r>
        <w:rPr>
          <w:rStyle w:val="VerbatimChar"/>
        </w:rPr>
        <w:t xml:space="preserve">Hyperedge = FrozenSet[CellID]                       # any number of cells, not just pairs</w:t>
      </w:r>
      <w:r>
        <w:br/>
      </w:r>
      <w:r>
        <w:rPr>
          <w:rStyle w:val="VerbatimChar"/>
        </w:rPr>
        <w:t xml:space="preserve">TableHypergraph = {</w:t>
      </w:r>
      <w:r>
        <w:br/>
      </w:r>
      <w:r>
        <w:rPr>
          <w:rStyle w:val="VerbatimChar"/>
        </w:rPr>
        <w:t xml:space="preserve">    cells: Set[CellID],</w:t>
      </w:r>
      <w:r>
        <w:br/>
      </w:r>
      <w:r>
        <w:rPr>
          <w:rStyle w:val="VerbatimChar"/>
        </w:rPr>
        <w:t xml:space="preserve">    hyperedges: List[Hyperedge],</w:t>
      </w:r>
      <w:r>
        <w:br/>
      </w:r>
      <w:r>
        <w:rPr>
          <w:rStyle w:val="VerbatimChar"/>
        </w:rPr>
        <w:t xml:space="preserve">    hyperedge_type: Dict[Hyperedge, str],  # "merged_header" | "footnote_ref" | "row_group" | "col_group"</w:t>
      </w:r>
      <w:r>
        <w:br/>
      </w:r>
      <w:r>
        <w:rPr>
          <w:rStyle w:val="VerbatimChar"/>
        </w:rPr>
        <w:t xml:space="preserve">}</w:t>
      </w:r>
    </w:p>
    <w:p>
      <w:pPr>
        <w:pStyle w:val="FirstParagraph"/>
      </w:pPr>
      <w:r>
        <w:rPr>
          <w:bCs/>
          <w:b/>
        </w:rPr>
        <w:t xml:space="preserve">Algorithm.</w:t>
      </w:r>
      <w:r>
        <w:t xml:space="preserve"> </w:t>
      </w:r>
      <w:r>
        <w:t xml:space="preserve">1. Take the already-parsed table structure (merged-cell spans, header hierarchy — typically already detected by the upstream parsing stage’s table model, e.g. a TableFormer-class component per the Comparative Landscape Report’s Section 3.2) as input.</w:t>
      </w:r>
      <w:r>
        <w:t xml:space="preserve"> </w:t>
      </w:r>
      <w:r>
        <w:t xml:space="preserve">2. For each detected merged cell spanning cells {c1, …, ck}, create one hyperedge = {c1, …, ck} tagged</w:t>
      </w:r>
      <w:r>
        <w:t xml:space="preserve"> </w:t>
      </w:r>
      <w:r>
        <w:rPr>
          <w:rStyle w:val="VerbatimChar"/>
        </w:rPr>
        <w:t xml:space="preserve">"merged_header"</w:t>
      </w:r>
      <w:r>
        <w:t xml:space="preserve">.</w:t>
      </w:r>
      <w:r>
        <w:t xml:space="preserve"> </w:t>
      </w:r>
      <w:r>
        <w:t xml:space="preserve">3. For each detected footnote-to-cell reference linking a footnote marker to a set of data cells, create one hyperedge tagged</w:t>
      </w:r>
      <w:r>
        <w:t xml:space="preserve"> </w:t>
      </w:r>
      <w:r>
        <w:rPr>
          <w:rStyle w:val="VerbatimChar"/>
        </w:rPr>
        <w:t xml:space="preserve">"footnote_ref"</w:t>
      </w:r>
      <w:r>
        <w:t xml:space="preserve">.</w:t>
      </w:r>
      <w:r>
        <w:t xml:space="preserve"> </w:t>
      </w:r>
      <w:r>
        <w:t xml:space="preserve">4. For each hierarchical header level (a header spanning a logical group of columns, distinct from a literal cell merge), create one hyperedge tagged</w:t>
      </w:r>
      <w:r>
        <w:t xml:space="preserve"> </w:t>
      </w:r>
      <w:r>
        <w:rPr>
          <w:rStyle w:val="VerbatimChar"/>
        </w:rPr>
        <w:t xml:space="preserve">"col_group"</w:t>
      </w:r>
      <w:r>
        <w:t xml:space="preserve">, and analogously</w:t>
      </w:r>
      <w:r>
        <w:t xml:space="preserve"> </w:t>
      </w:r>
      <w:r>
        <w:rPr>
          <w:rStyle w:val="VerbatimChar"/>
        </w:rPr>
        <w:t xml:space="preserve">"row_group"</w:t>
      </w:r>
      <w:r>
        <w:t xml:space="preserve"> </w:t>
      </w:r>
      <w:r>
        <w:t xml:space="preserve">for row hierarchies.</w:t>
      </w:r>
      <w:r>
        <w:t xml:space="preserve"> </w:t>
      </w:r>
      <w:r>
        <w:t xml:space="preserve">5. Retain the existing pairwise cell-adjacency edges (monograph Section 5.4) as degree-2 hyperedges for backward compatibility — this is a strict superset representation, not a replacement, satisfying the</w:t>
      </w:r>
      <w:r>
        <w:t xml:space="preserve"> </w:t>
      </w:r>
      <w:r>
        <w:t xml:space="preserve">“</w:t>
      </w:r>
      <w:r>
        <w:t xml:space="preserve">generalization, not a competing structure</w:t>
      </w:r>
      <w:r>
        <w:t xml:space="preserve">”</w:t>
      </w:r>
      <w:r>
        <w:t xml:space="preserve"> </w:t>
      </w:r>
      <w:r>
        <w:t xml:space="preserve">design goal from Enhancement Research Report Section 7.1.</w:t>
      </w:r>
    </w:p>
    <w:p>
      <w:pPr>
        <w:pStyle w:val="BodyText"/>
      </w:pPr>
      <w:r>
        <w:rPr>
          <w:bCs/>
          <w:b/>
        </w:rPr>
        <w:t xml:space="preserve">Module and interface.</w:t>
      </w:r>
      <w:r>
        <w:t xml:space="preserve"> </w:t>
      </w:r>
      <w:r>
        <w:t xml:space="preserve">Extends the Matrix Engine’s existing output contract (Appendix G) with an additional field, rather than replacing it:</w:t>
      </w:r>
    </w:p>
    <w:p>
      <w:pPr>
        <w:pStyle w:val="SourceCode"/>
      </w:pPr>
      <w:r>
        <w:rPr>
          <w:rStyle w:val="VerbatimChar"/>
        </w:rPr>
        <w:t xml:space="preserve">def build_table_hypergraph(</w:t>
      </w:r>
      <w:r>
        <w:br/>
      </w:r>
      <w:r>
        <w:rPr>
          <w:rStyle w:val="VerbatimChar"/>
        </w:rPr>
        <w:t xml:space="preserve">    table: DetectedTable,</w:t>
      </w:r>
      <w:r>
        <w:br/>
      </w:r>
      <w:r>
        <w:rPr>
          <w:rStyle w:val="VerbatimChar"/>
        </w:rPr>
        <w:t xml:space="preserve">    existing_cell_adjacency: CellAdjacencyGraph,</w:t>
      </w:r>
      <w:r>
        <w:br/>
      </w:r>
      <w:r>
        <w:rPr>
          <w:rStyle w:val="VerbatimChar"/>
        </w:rPr>
        <w:t xml:space="preserve">) -&gt; TableHypergraph:</w:t>
      </w:r>
      <w:r>
        <w:br/>
      </w:r>
      <w:r>
        <w:rPr>
          <w:rStyle w:val="VerbatimChar"/>
        </w:rPr>
        <w:t xml:space="preserve">    ...</w:t>
      </w:r>
    </w:p>
    <w:p>
      <w:pPr>
        <w:pStyle w:val="FirstParagraph"/>
      </w:pPr>
      <w:r>
        <w:rPr>
          <w:bCs/>
          <w:b/>
        </w:rPr>
        <w:t xml:space="preserve">Integration point.</w:t>
      </w:r>
      <w:r>
        <w:t xml:space="preserve"> </w:t>
      </w:r>
      <w:r>
        <w:t xml:space="preserve">Reads the upstream table-parsing stage’s merged-cell and header-hierarchy detections (Section 5, ingestion); extends the Matrix Engine’s output (Section 5.4); consumed downstream by Section 12.7’s tabular compiler, whose existing header-binding correctness property (Section 12.7) is extended, not replaced, to cover hyperedge-represented merges.</w:t>
      </w:r>
    </w:p>
    <w:p>
      <w:pPr>
        <w:pStyle w:val="BodyText"/>
      </w:pPr>
      <w:r>
        <w:rPr>
          <w:bCs/>
          <w:b/>
        </w:rPr>
        <w:t xml:space="preserve">Dependencies.</w:t>
      </w:r>
      <w:r>
        <w:t xml:space="preserve"> </w:t>
      </w:r>
      <w:r>
        <w:t xml:space="preserve">No new trained model — purely a data-structure construction from already-detected table structure. A hypergraph-manipulation library (DHG or HyperNetX) is recommended for the underlying data structure rather than a custom implementation, to inherit well-tested incidence-matrix operations.</w:t>
      </w:r>
    </w:p>
    <w:p>
      <w:pPr>
        <w:pStyle w:val="BodyText"/>
      </w:pPr>
      <w:r>
        <w:rPr>
          <w:bCs/>
          <w:b/>
        </w:rPr>
        <w:t xml:space="preserve">Test plan.</w:t>
      </w:r>
      <w:r>
        <w:t xml:space="preserve"> </w:t>
      </w:r>
      <w:r>
        <w:t xml:space="preserve">-</w:t>
      </w:r>
      <w:r>
        <w:t xml:space="preserve"> </w:t>
      </w:r>
      <w:r>
        <w:rPr>
          <w:bCs/>
          <w:b/>
        </w:rPr>
        <w:t xml:space="preserve">TC-E-13</w:t>
      </w:r>
      <w:r>
        <w:t xml:space="preserve">: Merged-header hyperedge construction. Input: a synthetic table with one 3-column merged header. Expected: exactly one hyperedge of size 3 tagged</w:t>
      </w:r>
      <w:r>
        <w:t xml:space="preserve"> </w:t>
      </w:r>
      <w:r>
        <w:rPr>
          <w:rStyle w:val="VerbatimChar"/>
        </w:rPr>
        <w:t xml:space="preserve">"merged_header"</w:t>
      </w:r>
      <w:r>
        <w:t xml:space="preserve">, plus the existing pairwise edges among those same three cells retained for backward compatibility.</w:t>
      </w:r>
      <w:r>
        <w:t xml:space="preserve"> </w:t>
      </w:r>
      <w:r>
        <w:t xml:space="preserve">-</w:t>
      </w:r>
      <w:r>
        <w:t xml:space="preserve"> </w:t>
      </w:r>
      <w:r>
        <w:rPr>
          <w:bCs/>
          <w:b/>
        </w:rPr>
        <w:t xml:space="preserve">TC-E-14</w:t>
      </w:r>
      <w:r>
        <w:t xml:space="preserve">: Header-binding preservation under hypergraph representation, extending Feasibility Report’s Section 12.7 test. Input: the same synthetic tables used in that report’s header-binding tests, now including merged-header cases the pairwise-only representation could not express. Expected: header binding preserved per cell, now including correct binding for merged-header cells specifically.</w:t>
      </w:r>
      <w:r>
        <w:t xml:space="preserve"> </w:t>
      </w:r>
      <w:r>
        <w:t xml:space="preserve">-</w:t>
      </w:r>
      <w:r>
        <w:t xml:space="preserve"> </w:t>
      </w:r>
      <w:r>
        <w:rPr>
          <w:bCs/>
          <w:b/>
        </w:rPr>
        <w:t xml:space="preserve">TC-E-15</w:t>
      </w:r>
      <w:r>
        <w:t xml:space="preserve">: Ragged-row handling under hypergraph representation. Input: extends Feasibility Report’s ragged-row test case to include a row-group hyperedge. Expected: no column-binding shift, consistent with the existing test’s pass criterion.</w:t>
      </w:r>
    </w:p>
    <w:p>
      <w:r>
        <w:pict>
          <v:rect style="width:0;height:1.5pt" o:hralign="center" o:hrstd="t" o:hr="t"/>
        </w:pict>
      </w:r>
    </w:p>
    <w:bookmarkEnd w:id="30"/>
    <w:bookmarkStart w:id="31" w:name="X2e998cdd006455e209f4b65b8a0fde71f1f8d8b"/>
    <w:p>
      <w:pPr>
        <w:pStyle w:val="Heading3"/>
      </w:pPr>
      <w:r>
        <w:t xml:space="preserve">3.3 Feature B3 — Gromov-Wasserstein Template Comparator</w:t>
      </w:r>
    </w:p>
    <w:p>
      <w:pPr>
        <w:pStyle w:val="FirstParagraph"/>
      </w:pPr>
      <w:r>
        <w:rPr>
          <w:bCs/>
          <w:b/>
        </w:rPr>
        <w:t xml:space="preserve">What it does.</w:t>
      </w:r>
      <w:r>
        <w:t xml:space="preserve"> </w:t>
      </w:r>
      <w:r>
        <w:t xml:space="preserve">Replaces the Template Engine’s 5-dimensional cosine-similarity fingerprint comparison (monograph Section 5.4) with a structural comparison of two pages’ full reading-order graphs, robust to moderate element-count variation.</w:t>
      </w:r>
    </w:p>
    <w:p>
      <w:pPr>
        <w:pStyle w:val="BodyText"/>
      </w:pPr>
      <w:r>
        <w:rPr>
          <w:bCs/>
          <w:b/>
        </w:rPr>
        <w:t xml:space="preserve">Data structures.</w:t>
      </w:r>
    </w:p>
    <w:p>
      <w:pPr>
        <w:pStyle w:val="SourceCode"/>
      </w:pPr>
      <w:r>
        <w:rPr>
          <w:rStyle w:val="VerbatimChar"/>
        </w:rPr>
        <w:t xml:space="preserve">PageStructuralGraph = Graph[ElementID, ReadingOrderEdge]  # Section 6.2's output, per page</w:t>
      </w:r>
      <w:r>
        <w:br/>
      </w:r>
      <w:r>
        <w:rPr>
          <w:rStyle w:val="VerbatimChar"/>
        </w:rPr>
        <w:t xml:space="preserve">GWConfig = {</w:t>
      </w:r>
      <w:r>
        <w:br/>
      </w:r>
      <w:r>
        <w:rPr>
          <w:rStyle w:val="VerbatimChar"/>
        </w:rPr>
        <w:t xml:space="preserve">    epsilon: float,      # entropic regularization (typical: 0.01-0.1)</w:t>
      </w:r>
      <w:r>
        <w:br/>
      </w:r>
      <w:r>
        <w:rPr>
          <w:rStyle w:val="VerbatimChar"/>
        </w:rPr>
        <w:t xml:space="preserve">    max_iter: int,</w:t>
      </w:r>
      <w:r>
        <w:br/>
      </w:r>
      <w:r>
        <w:rPr>
          <w:rStyle w:val="VerbatimChar"/>
        </w:rPr>
        <w:t xml:space="preserve">}</w:t>
      </w:r>
      <w:r>
        <w:br/>
      </w:r>
      <w:r>
        <w:rPr>
          <w:rStyle w:val="VerbatimChar"/>
        </w:rPr>
        <w:t xml:space="preserve">TemplateComparisonResult = {</w:t>
      </w:r>
      <w:r>
        <w:br/>
      </w:r>
      <w:r>
        <w:rPr>
          <w:rStyle w:val="VerbatimChar"/>
        </w:rPr>
        <w:t xml:space="preserve">    gw_distance: float,      # lower = more structurally similar</w:t>
      </w:r>
      <w:r>
        <w:br/>
      </w:r>
      <w:r>
        <w:rPr>
          <w:rStyle w:val="VerbatimChar"/>
        </w:rPr>
        <w:t xml:space="preserve">    coupling: Matrix[float], # element-to-element correspondence</w:t>
      </w:r>
      <w:r>
        <w:br/>
      </w:r>
      <w:r>
        <w:rPr>
          <w:rStyle w:val="VerbatimChar"/>
        </w:rPr>
        <w:t xml:space="preserve">}</w:t>
      </w:r>
    </w:p>
    <w:p>
      <w:pPr>
        <w:pStyle w:val="FirstParagraph"/>
      </w:pPr>
      <w:r>
        <w:rPr>
          <w:bCs/>
          <w:b/>
        </w:rPr>
        <w:t xml:space="preserve">Algorithm.</w:t>
      </w:r>
      <w:r>
        <w:t xml:space="preserve"> </w:t>
      </w:r>
      <w:r>
        <w:t xml:space="preserve">1. Take two pages’ full structural graphs (already built by Section 6.2’s spatial-graph construction) as input — no new graph-construction step, this feature only adds a new</w:t>
      </w:r>
      <w:r>
        <w:t xml:space="preserve"> </w:t>
      </w:r>
      <w:r>
        <w:rPr>
          <w:iCs/>
          <w:i/>
        </w:rPr>
        <w:t xml:space="preserve">comparison</w:t>
      </w:r>
      <w:r>
        <w:t xml:space="preserve"> </w:t>
      </w:r>
      <w:r>
        <w:t xml:space="preserve">over an already-existing structure.</w:t>
      </w:r>
      <w:r>
        <w:t xml:space="preserve"> </w:t>
      </w:r>
      <w:r>
        <w:t xml:space="preserve">2. For each graph, compute its internal pairwise distance matrix (using the existing geometric distance function, monograph Section 5.3) — this is the</w:t>
      </w:r>
      <w:r>
        <w:t xml:space="preserve"> </w:t>
      </w:r>
      <w:r>
        <w:t xml:space="preserve">“</w:t>
      </w:r>
      <w:r>
        <w:t xml:space="preserve">internal relational structure</w:t>
      </w:r>
      <w:r>
        <w:t xml:space="preserve">”</w:t>
      </w:r>
      <w:r>
        <w:t xml:space="preserve"> </w:t>
      </w:r>
      <w:r>
        <w:t xml:space="preserve">GW distance compares, without requiring the two pages to share element count or absolute coordinates.</w:t>
      </w:r>
      <w:r>
        <w:t xml:space="preserve"> </w:t>
      </w:r>
      <w:r>
        <w:t xml:space="preserve">3. Solve the entropic Gromov-Wasserstein problem between the two internal-distance matrices via the standard iterative projected-gradient or Sinkhorn-based solver.</w:t>
      </w:r>
      <w:r>
        <w:t xml:space="preserve"> </w:t>
      </w:r>
      <w:r>
        <w:t xml:space="preserve">4. Return the resulting GW distance as the template-similarity score (lower distance = more similar template), replacing the current cosine-similarity-over-fingerprint score.</w:t>
      </w:r>
    </w:p>
    <w:p>
      <w:pPr>
        <w:pStyle w:val="BodyText"/>
      </w:pPr>
      <w:r>
        <w:rPr>
          <w:bCs/>
          <w:b/>
        </w:rPr>
        <w:t xml:space="preserve">Module and interface.</w:t>
      </w:r>
      <w:r>
        <w:t xml:space="preserve"> </w:t>
      </w:r>
      <w:r>
        <w:t xml:space="preserve">Extends the Template Engine’s existing</w:t>
      </w:r>
      <w:r>
        <w:t xml:space="preserve"> </w:t>
      </w:r>
      <w:r>
        <w:rPr>
          <w:rStyle w:val="VerbatimChar"/>
        </w:rPr>
        <w:t xml:space="preserve">template_similarity()</w:t>
      </w:r>
      <w:r>
        <w:t xml:space="preserve"> </w:t>
      </w:r>
      <w:r>
        <w:t xml:space="preserve">contract (Appendix G) with an alternative scoring backend, selectable per deployment configuration rather than a forced replacement — preserving backward compatibility with any downstream consumer tuned against the existing cosine-fingerprint score’s numeric range:</w:t>
      </w:r>
    </w:p>
    <w:p>
      <w:pPr>
        <w:pStyle w:val="SourceCode"/>
      </w:pPr>
      <w:r>
        <w:rPr>
          <w:rStyle w:val="VerbatimChar"/>
        </w:rPr>
        <w:t xml:space="preserve">def template_similarity_gw(</w:t>
      </w:r>
      <w:r>
        <w:br/>
      </w:r>
      <w:r>
        <w:rPr>
          <w:rStyle w:val="VerbatimChar"/>
        </w:rPr>
        <w:t xml:space="preserve">    page_a_graph: PageStructuralGraph,</w:t>
      </w:r>
      <w:r>
        <w:br/>
      </w:r>
      <w:r>
        <w:rPr>
          <w:rStyle w:val="VerbatimChar"/>
        </w:rPr>
        <w:t xml:space="preserve">    page_b_graph: PageStructuralGraph,</w:t>
      </w:r>
      <w:r>
        <w:br/>
      </w:r>
      <w:r>
        <w:rPr>
          <w:rStyle w:val="VerbatimChar"/>
        </w:rPr>
        <w:t xml:space="preserve">    config: GWConfig = default_config,</w:t>
      </w:r>
      <w:r>
        <w:br/>
      </w:r>
      <w:r>
        <w:rPr>
          <w:rStyle w:val="VerbatimChar"/>
        </w:rPr>
        <w:t xml:space="preserve">) -&gt; TemplateComparisonResult:</w:t>
      </w:r>
      <w:r>
        <w:br/>
      </w:r>
      <w:r>
        <w:rPr>
          <w:rStyle w:val="VerbatimChar"/>
        </w:rPr>
        <w:t xml:space="preserve">    ...</w:t>
      </w:r>
    </w:p>
    <w:p>
      <w:pPr>
        <w:pStyle w:val="FirstParagraph"/>
      </w:pPr>
      <w:r>
        <w:rPr>
          <w:bCs/>
          <w:b/>
        </w:rPr>
        <w:t xml:space="preserve">Integration point.</w:t>
      </w:r>
      <w:r>
        <w:t xml:space="preserve"> </w:t>
      </w:r>
      <w:r>
        <w:t xml:space="preserve">Reads Section 6.2’s structural graphs (already computed for reading-order recovery, so this feature adds no new upstream dependency); writes into the same recurring-layout deduplication consumer the existing Template Engine currently serves (monograph Section 5.4).</w:t>
      </w:r>
    </w:p>
    <w:p>
      <w:pPr>
        <w:pStyle w:val="BodyText"/>
      </w:pPr>
      <w:r>
        <w:rPr>
          <w:bCs/>
          <w:b/>
        </w:rPr>
        <w:t xml:space="preserve">Dependencies.</w:t>
      </w:r>
      <w:r>
        <w:t xml:space="preserve"> </w:t>
      </w:r>
      <w:r>
        <w:t xml:space="preserve">The POT library again (already a dependency from Feature A1) implements entropic Gromov-Wasserstein directly, so this feature adds no new external dependency beyond what Feature A1 already introduces if both are adopted.</w:t>
      </w:r>
    </w:p>
    <w:p>
      <w:pPr>
        <w:pStyle w:val="BodyText"/>
      </w:pPr>
      <w:r>
        <w:rPr>
          <w:bCs/>
          <w:b/>
        </w:rPr>
        <w:t xml:space="preserve">Test plan.</w:t>
      </w:r>
      <w:r>
        <w:t xml:space="preserve"> </w:t>
      </w:r>
      <w:r>
        <w:t xml:space="preserve">-</w:t>
      </w:r>
      <w:r>
        <w:t xml:space="preserve"> </w:t>
      </w:r>
      <w:r>
        <w:rPr>
          <w:bCs/>
          <w:b/>
        </w:rPr>
        <w:t xml:space="preserve">TC-E-16</w:t>
      </w:r>
      <w:r>
        <w:t xml:space="preserve">: Identical-template robustness under element-count perturbation. Input: two pages generated from the same template, with one page having one additional footnote element the other lacks. Expected: GW distance remains low (below a tuned same-template threshold), while the current cosine-fingerprint score is confirmed (via a side-by-side comparison run) to shift measurably due to the fingerprint’s block-count dimension changing.</w:t>
      </w:r>
      <w:r>
        <w:t xml:space="preserve"> </w:t>
      </w:r>
      <w:r>
        <w:t xml:space="preserve">-</w:t>
      </w:r>
      <w:r>
        <w:t xml:space="preserve"> </w:t>
      </w:r>
      <w:r>
        <w:rPr>
          <w:bCs/>
          <w:b/>
        </w:rPr>
        <w:t xml:space="preserve">TC-E-17</w:t>
      </w:r>
      <w:r>
        <w:t xml:space="preserve">: Distinct-template discrimination. Input: two pages from genuinely different templates (e.g., a cover page and a body page). Expected: GW distance is high, correctly discriminating the two templates.</w:t>
      </w:r>
      <w:r>
        <w:t xml:space="preserve"> </w:t>
      </w:r>
      <w:r>
        <w:t xml:space="preserve">-</w:t>
      </w:r>
      <w:r>
        <w:t xml:space="preserve"> </w:t>
      </w:r>
      <w:r>
        <w:rPr>
          <w:bCs/>
          <w:b/>
        </w:rPr>
        <w:t xml:space="preserve">TC-E-18</w:t>
      </w:r>
      <w:r>
        <w:t xml:space="preserve">: Real-corpus validation. Input: a labeled corpus of documents with known template groupings. Expected: clustering accuracy using GW distance reported against clustering accuracy using the current cosine-fingerprint approach, on the same corpus.</w:t>
      </w:r>
    </w:p>
    <w:p>
      <w:r>
        <w:pict>
          <v:rect style="width:0;height:1.5pt" o:hralign="center" o:hrstd="t" o:hr="t"/>
        </w:pict>
      </w:r>
    </w:p>
    <w:bookmarkEnd w:id="31"/>
    <w:bookmarkStart w:id="32" w:name="X412b5c4e46927e1ab33a08161d48a5478f729c6"/>
    <w:p>
      <w:pPr>
        <w:pStyle w:val="Heading3"/>
      </w:pPr>
      <w:r>
        <w:t xml:space="preserve">3.4 Feature B4 — Information-Bottleneck-Calibrated Master Objective</w:t>
      </w:r>
    </w:p>
    <w:p>
      <w:pPr>
        <w:pStyle w:val="FirstParagraph"/>
      </w:pPr>
      <w:r>
        <w:rPr>
          <w:bCs/>
          <w:b/>
        </w:rPr>
        <w:t xml:space="preserve">What it does.</w:t>
      </w:r>
      <w:r>
        <w:t xml:space="preserve"> </w:t>
      </w:r>
      <w:r>
        <w:t xml:space="preserve">Uses the Information Bottleneck Lagrangian to calibrate the existing master-objective multipliers (monograph Section 9.4’s λ1, λ2, λ3) rather than leaving them at fixed, hand-tuned defaults — the narrow, lower-risk starting scope the Enhancement Research Report’s Section 5.5 specifically recommends ahead of a full value-function replacement (deferred to Feature C1, Section 4.1).</w:t>
      </w:r>
    </w:p>
    <w:p>
      <w:pPr>
        <w:pStyle w:val="BodyText"/>
      </w:pPr>
      <w:r>
        <w:rPr>
          <w:bCs/>
          <w:b/>
        </w:rPr>
        <w:t xml:space="preserve">Data structures.</w:t>
      </w:r>
    </w:p>
    <w:p>
      <w:pPr>
        <w:pStyle w:val="SourceCode"/>
      </w:pPr>
      <w:r>
        <w:rPr>
          <w:rStyle w:val="VerbatimChar"/>
        </w:rPr>
        <w:t xml:space="preserve">IBCalibrationConfig = {</w:t>
      </w:r>
      <w:r>
        <w:br/>
      </w:r>
      <w:r>
        <w:rPr>
          <w:rStyle w:val="VerbatimChar"/>
        </w:rPr>
        <w:t xml:space="preserve">    beta_range: Tuple[float, float],   # search range for the IB trade-off parameter</w:t>
      </w:r>
      <w:r>
        <w:br/>
      </w:r>
      <w:r>
        <w:rPr>
          <w:rStyle w:val="VerbatimChar"/>
        </w:rPr>
        <w:t xml:space="preserve">    validation_set: List[QueryDocPair],</w:t>
      </w:r>
      <w:r>
        <w:br/>
      </w:r>
      <w:r>
        <w:rPr>
          <w:rStyle w:val="VerbatimChar"/>
        </w:rPr>
        <w:t xml:space="preserve">}</w:t>
      </w:r>
      <w:r>
        <w:br/>
      </w:r>
      <w:r>
        <w:rPr>
          <w:rStyle w:val="VerbatimChar"/>
        </w:rPr>
        <w:t xml:space="preserve">CalibratedMultipliers = {</w:t>
      </w:r>
      <w:r>
        <w:br/>
      </w:r>
      <w:r>
        <w:rPr>
          <w:rStyle w:val="VerbatimChar"/>
        </w:rPr>
        <w:t xml:space="preserve">    lambda_1: float,  # accuracy floor multiplier</w:t>
      </w:r>
      <w:r>
        <w:br/>
      </w:r>
      <w:r>
        <w:rPr>
          <w:rStyle w:val="VerbatimChar"/>
        </w:rPr>
        <w:t xml:space="preserve">    lambda_2: float,  # information-retention floor multiplier</w:t>
      </w:r>
      <w:r>
        <w:br/>
      </w:r>
      <w:r>
        <w:rPr>
          <w:rStyle w:val="VerbatimChar"/>
        </w:rPr>
        <w:t xml:space="preserve">    lambda_3: float,  # confidence floor multiplier</w:t>
      </w:r>
      <w:r>
        <w:br/>
      </w:r>
      <w:r>
        <w:rPr>
          <w:rStyle w:val="VerbatimChar"/>
        </w:rPr>
        <w:t xml:space="preserve">    beta_star: float, # the IB parameter value that produced this calibration</w:t>
      </w:r>
      <w:r>
        <w:br/>
      </w:r>
      <w:r>
        <w:rPr>
          <w:rStyle w:val="VerbatimChar"/>
        </w:rPr>
        <w:t xml:space="preserve">}</w:t>
      </w:r>
    </w:p>
    <w:p>
      <w:pPr>
        <w:pStyle w:val="FirstParagraph"/>
      </w:pPr>
      <w:r>
        <w:rPr>
          <w:bCs/>
          <w:b/>
        </w:rPr>
        <w:t xml:space="preserve">Algorithm.</w:t>
      </w:r>
      <w:r>
        <w:t xml:space="preserve"> </w:t>
      </w:r>
      <w:r>
        <w:t xml:space="preserve">1. For a range of candidate β values (the IB trade-off parameter), compute the resulting compression rate I(X;Z) and task-relevant retained information I(Z;Y) on a held-out validation set — using a tractable proxy for these mutual-information quantities (e.g., the entropy-based diagnostics already computed by monograph Section 10.6-10.7, rather than a full variational IB estimator, keeping this feature’s scope deliberately narrower than Feature C1’s full replacement).</w:t>
      </w:r>
      <w:r>
        <w:t xml:space="preserve"> </w:t>
      </w:r>
      <w:r>
        <w:t xml:space="preserve">2. For each candidate β, run AEGIS’s existing master-objective solver (Section 9.4-9.7) with λ1, λ2, λ3 initialized proportionally to β’s implied cost-quality trade-off point.</w:t>
      </w:r>
      <w:r>
        <w:t xml:space="preserve"> </w:t>
      </w:r>
      <w:r>
        <w:t xml:space="preserve">3. Evaluate the resulting configuration’s realized Accuracy, IR, and Confidence against the validation set’s quality floors.</w:t>
      </w:r>
      <w:r>
        <w:t xml:space="preserve"> </w:t>
      </w:r>
      <w:r>
        <w:t xml:space="preserve">4. Select β* (and the resulting calibrated λ1, λ2, λ3) as the configuration achieving the lowest token cost among all configurations that still satisfy the quality floors — directly analogous to how the master objective’s own KKT conditions (Section 9.5) already characterize an optimal solution, now with a principled, IB-motivated starting point rather than an arbitrary hand-tuned one.</w:t>
      </w:r>
    </w:p>
    <w:p>
      <w:pPr>
        <w:pStyle w:val="BodyText"/>
      </w:pPr>
      <w:r>
        <w:rPr>
          <w:bCs/>
          <w:b/>
        </w:rPr>
        <w:t xml:space="preserve">Module and interface.</w:t>
      </w:r>
      <w:r>
        <w:t xml:space="preserve"> </w:t>
      </w:r>
      <w:r>
        <w:t xml:space="preserve">An offline calibration utility, not a runtime component — it produces a</w:t>
      </w:r>
      <w:r>
        <w:t xml:space="preserve"> </w:t>
      </w:r>
      <w:r>
        <w:rPr>
          <w:rStyle w:val="VerbatimChar"/>
        </w:rPr>
        <w:t xml:space="preserve">CalibratedMultipliers</w:t>
      </w:r>
      <w:r>
        <w:t xml:space="preserve"> </w:t>
      </w:r>
      <w:r>
        <w:t xml:space="preserve">configuration object consumed by the existing master-objective solver (Section 9.4-9.7) as its initialization:</w:t>
      </w:r>
    </w:p>
    <w:p>
      <w:pPr>
        <w:pStyle w:val="SourceCode"/>
      </w:pPr>
      <w:r>
        <w:rPr>
          <w:rStyle w:val="VerbatimChar"/>
        </w:rPr>
        <w:t xml:space="preserve">def calibrate_master_objective_via_ib(</w:t>
      </w:r>
      <w:r>
        <w:br/>
      </w:r>
      <w:r>
        <w:rPr>
          <w:rStyle w:val="VerbatimChar"/>
        </w:rPr>
        <w:t xml:space="preserve">    config: IBCalibrationConfig,</w:t>
      </w:r>
      <w:r>
        <w:br/>
      </w:r>
      <w:r>
        <w:rPr>
          <w:rStyle w:val="VerbatimChar"/>
        </w:rPr>
        <w:t xml:space="preserve">) -&gt; CalibratedMultipliers:</w:t>
      </w:r>
      <w:r>
        <w:br/>
      </w:r>
      <w:r>
        <w:rPr>
          <w:rStyle w:val="VerbatimChar"/>
        </w:rPr>
        <w:t xml:space="preserve">    ...</w:t>
      </w:r>
    </w:p>
    <w:p>
      <w:pPr>
        <w:pStyle w:val="FirstParagraph"/>
      </w:pPr>
      <w:r>
        <w:rPr>
          <w:bCs/>
          <w:b/>
        </w:rPr>
        <w:t xml:space="preserve">Integration point.</w:t>
      </w:r>
      <w:r>
        <w:t xml:space="preserve"> </w:t>
      </w:r>
      <w:r>
        <w:t xml:space="preserve">Reads Section 10’s entropy diagnostics (already computed); writes into Section 9.4’s master-objective multipliers as a new, principled initialization; does not change the master objective’s own structure (Sections 9.4-9.7 remain otherwise unmodified).</w:t>
      </w:r>
    </w:p>
    <w:p>
      <w:pPr>
        <w:pStyle w:val="BodyText"/>
      </w:pPr>
      <w:r>
        <w:rPr>
          <w:bCs/>
          <w:b/>
        </w:rPr>
        <w:t xml:space="preserve">Dependencies.</w:t>
      </w:r>
      <w:r>
        <w:t xml:space="preserve"> </w:t>
      </w:r>
      <w:r>
        <w:t xml:space="preserve">No new trained model; reuses AEGIS’s existing entropy computations (Section 10.5-10.7). This is the lowest-additional-dependency feature in Feature Group B specifically because it is a calibration procedure over already-existing AEGIS machinery, not a new algorithmic component.</w:t>
      </w:r>
    </w:p>
    <w:p>
      <w:pPr>
        <w:pStyle w:val="BodyText"/>
      </w:pPr>
      <w:r>
        <w:rPr>
          <w:bCs/>
          <w:b/>
        </w:rPr>
        <w:t xml:space="preserve">Test plan.</w:t>
      </w:r>
      <w:r>
        <w:t xml:space="preserve"> </w:t>
      </w:r>
      <w:r>
        <w:t xml:space="preserve">-</w:t>
      </w:r>
      <w:r>
        <w:t xml:space="preserve"> </w:t>
      </w:r>
      <w:r>
        <w:rPr>
          <w:bCs/>
          <w:b/>
        </w:rPr>
        <w:t xml:space="preserve">TC-E-19</w:t>
      </w:r>
      <w:r>
        <w:t xml:space="preserve">: Calibration stability. Input: two different random splits of the same validation set. Expected: the resulting β* and calibrated multipliers are stable (within a tuned tolerance) across both splits, confirming the calibration is not overfitting to a specific validation sample.</w:t>
      </w:r>
      <w:r>
        <w:t xml:space="preserve"> </w:t>
      </w:r>
      <w:r>
        <w:t xml:space="preserve">-</w:t>
      </w:r>
      <w:r>
        <w:t xml:space="preserve"> </w:t>
      </w:r>
      <w:r>
        <w:rPr>
          <w:bCs/>
          <w:b/>
        </w:rPr>
        <w:t xml:space="preserve">TC-E-20</w:t>
      </w:r>
      <w:r>
        <w:t xml:space="preserve">: Calibrated-vs-default comparison. Input: AEGIS’s existing default λ1, λ2, λ3 configuration versus this feature’s calibrated configuration, both run against the same held-out test set. Expected: report realized token cost at matched Accuracy/IR/Confidence floor satisfaction for both, directly testing whether IB-motivated calibration outperforms the current hand-tuned defaults.</w:t>
      </w:r>
    </w:p>
    <w:bookmarkEnd w:id="32"/>
    <w:bookmarkEnd w:id="33"/>
    <w:bookmarkStart w:id="37" w:name="feature-group-c-long-term-features"/>
    <w:p>
      <w:pPr>
        <w:pStyle w:val="Heading2"/>
      </w:pPr>
      <w:r>
        <w:t xml:space="preserve">4. Feature Group C: Long-Term Features</w:t>
      </w:r>
    </w:p>
    <w:bookmarkStart w:id="34" w:name="X4d1dbdcf0fafb86898dfa7382ce2a83644113a9"/>
    <w:p>
      <w:pPr>
        <w:pStyle w:val="Heading3"/>
      </w:pPr>
      <w:r>
        <w:t xml:space="preserve">4.1 Feature C1 — Full Information-Bottleneck Value Function</w:t>
      </w:r>
    </w:p>
    <w:p>
      <w:pPr>
        <w:pStyle w:val="FirstParagraph"/>
      </w:pPr>
      <w:r>
        <w:rPr>
          <w:bCs/>
          <w:b/>
        </w:rPr>
        <w:t xml:space="preserve">What it does.</w:t>
      </w:r>
      <w:r>
        <w:t xml:space="preserve"> </w:t>
      </w:r>
      <w:r>
        <w:t xml:space="preserve">Replaces Section 8.2’s blended heuristic value function (weighted sum of cosine similarity, structural priority, and recency decay) with a value estimate derived from a trained variational IB estimator, per Enhancement Research Report Section 5.3.</w:t>
      </w:r>
      <w:r>
        <w:t xml:space="preserve"> </w:t>
      </w:r>
      <w:r>
        <w:rPr>
          <w:bCs/>
          <w:b/>
        </w:rPr>
        <w:t xml:space="preserve">Gated explicitly behind Feature B4</w:t>
      </w:r>
      <w:r>
        <w:t xml:space="preserve"> </w:t>
      </w:r>
      <w:r>
        <w:t xml:space="preserve">(Section 3.4): this feature should not begin implementation until B4’s narrow calibration pilot has demonstrated the IB framework’s practical benefit on AEGIS’s own data.</w:t>
      </w:r>
    </w:p>
    <w:p>
      <w:pPr>
        <w:pStyle w:val="BodyText"/>
      </w:pPr>
      <w:r>
        <w:rPr>
          <w:bCs/>
          <w:b/>
        </w:rPr>
        <w:t xml:space="preserve">Data structures.</w:t>
      </w:r>
    </w:p>
    <w:p>
      <w:pPr>
        <w:pStyle w:val="SourceCode"/>
      </w:pPr>
      <w:r>
        <w:rPr>
          <w:rStyle w:val="VerbatimChar"/>
        </w:rPr>
        <w:t xml:space="preserve">VariationalIBModel = TrainedModel   # a small encoder-decoder estimating I(Z;Y) given (chunk, query)</w:t>
      </w:r>
      <w:r>
        <w:br/>
      </w:r>
      <w:r>
        <w:rPr>
          <w:rStyle w:val="VerbatimChar"/>
        </w:rPr>
        <w:t xml:space="preserve">IBValueScore = {</w:t>
      </w:r>
      <w:r>
        <w:br/>
      </w:r>
      <w:r>
        <w:rPr>
          <w:rStyle w:val="VerbatimChar"/>
        </w:rPr>
        <w:t xml:space="preserve">    value: float,             # replaces Section 8.2's V_i(q)</w:t>
      </w:r>
      <w:r>
        <w:br/>
      </w:r>
      <w:r>
        <w:rPr>
          <w:rStyle w:val="VerbatimChar"/>
        </w:rPr>
        <w:t xml:space="preserve">    estimated_MI: float,      # the model's I(Z;Y) estimate, for diagnostics</w:t>
      </w:r>
      <w:r>
        <w:br/>
      </w:r>
      <w:r>
        <w:rPr>
          <w:rStyle w:val="VerbatimChar"/>
        </w:rPr>
        <w:t xml:space="preserve">    confidence: float,        # model's own uncertainty estimate</w:t>
      </w:r>
      <w:r>
        <w:br/>
      </w:r>
      <w:r>
        <w:rPr>
          <w:rStyle w:val="VerbatimChar"/>
        </w:rPr>
        <w:t xml:space="preserve">}</w:t>
      </w:r>
    </w:p>
    <w:p>
      <w:pPr>
        <w:pStyle w:val="FirstParagraph"/>
      </w:pPr>
      <w:r>
        <w:rPr>
          <w:bCs/>
          <w:b/>
        </w:rPr>
        <w:t xml:space="preserve">Algorithm.</w:t>
      </w:r>
      <w:r>
        <w:t xml:space="preserve"> </w:t>
      </w:r>
      <w:r>
        <w:t xml:space="preserve">1. Collect a training corpus of (chunk, query, downstream-usefulness-label) triples — usefulness labels derived from AEGIS’s existing Section 19 verification stage’s citation-resolution success signal, applied retroactively to historical query logs (this is the training-data dependency that places this feature at High integration risk, per Enhancement Research Report Section 5.5).</w:t>
      </w:r>
      <w:r>
        <w:t xml:space="preserve"> </w:t>
      </w:r>
      <w:r>
        <w:t xml:space="preserve">2. Train a variational IB estimator: an encoder mapping (chunk, query) to a compressed representation Z, and a decoder predicting downstream usefulness Y from Z, jointly optimized to minimize the IB Lagrangian I(X;Z) − β·I(Z;Y) (with β fixed at the value Feature B4’s calibration pilot identified as β*, directly reusing that feature’s output rather than re-deriving it).</w:t>
      </w:r>
      <w:r>
        <w:t xml:space="preserve"> </w:t>
      </w:r>
      <w:r>
        <w:t xml:space="preserve">3. At inference time, replace Section 8.2’s</w:t>
      </w:r>
      <w:r>
        <w:t xml:space="preserve"> </w:t>
      </w:r>
      <w:r>
        <w:rPr>
          <w:rStyle w:val="VerbatimChar"/>
        </w:rPr>
        <w:t xml:space="preserve">V_i(q)</w:t>
      </w:r>
      <w:r>
        <w:t xml:space="preserve"> </w:t>
      </w:r>
      <w:r>
        <w:t xml:space="preserve">computation with the trained model’s I(Z;Y) estimate for the candidate (chunk, query) pair.</w:t>
      </w:r>
      <w:r>
        <w:t xml:space="preserve"> </w:t>
      </w:r>
      <w:r>
        <w:t xml:space="preserve">4. Retain Section 8.2’s existing blended heuristic as an explicit fallback path when the trained model’s confidence estimate falls below a configured threshold — mirroring the same</w:t>
      </w:r>
      <w:r>
        <w:t xml:space="preserve"> </w:t>
      </w:r>
      <w:r>
        <w:t xml:space="preserve">“</w:t>
      </w:r>
      <w:r>
        <w:t xml:space="preserve">explicit fallback with caller-visible reporting</w:t>
      </w:r>
      <w:r>
        <w:t xml:space="preserve">”</w:t>
      </w:r>
      <w:r>
        <w:t xml:space="preserve"> </w:t>
      </w:r>
      <w:r>
        <w:t xml:space="preserve">design pattern the monograph already applies to knapsack solving (Section 11.4’s exact/approximate flag).</w:t>
      </w:r>
    </w:p>
    <w:p>
      <w:pPr>
        <w:pStyle w:val="BodyText"/>
      </w:pPr>
      <w:r>
        <w:rPr>
          <w:bCs/>
          <w:b/>
        </w:rPr>
        <w:t xml:space="preserve">Module and interface.</w:t>
      </w:r>
    </w:p>
    <w:p>
      <w:pPr>
        <w:pStyle w:val="SourceCode"/>
      </w:pPr>
      <w:r>
        <w:rPr>
          <w:rStyle w:val="VerbatimChar"/>
        </w:rPr>
        <w:t xml:space="preserve">def score_value_ib(</w:t>
      </w:r>
      <w:r>
        <w:br/>
      </w:r>
      <w:r>
        <w:rPr>
          <w:rStyle w:val="VerbatimChar"/>
        </w:rPr>
        <w:t xml:space="preserve">    chunk: Chunk,</w:t>
      </w:r>
      <w:r>
        <w:br/>
      </w:r>
      <w:r>
        <w:rPr>
          <w:rStyle w:val="VerbatimChar"/>
        </w:rPr>
        <w:t xml:space="preserve">    query: Query,</w:t>
      </w:r>
      <w:r>
        <w:br/>
      </w:r>
      <w:r>
        <w:rPr>
          <w:rStyle w:val="VerbatimChar"/>
        </w:rPr>
        <w:t xml:space="preserve">    model: VariationalIBModel,</w:t>
      </w:r>
      <w:r>
        <w:br/>
      </w:r>
      <w:r>
        <w:rPr>
          <w:rStyle w:val="VerbatimChar"/>
        </w:rPr>
        <w:t xml:space="preserve">    fallback_threshold: float = 0.3,</w:t>
      </w:r>
      <w:r>
        <w:br/>
      </w:r>
      <w:r>
        <w:rPr>
          <w:rStyle w:val="VerbatimChar"/>
        </w:rPr>
        <w:t xml:space="preserve">) -&gt; IBValueScore:</w:t>
      </w:r>
      <w:r>
        <w:br/>
      </w:r>
      <w:r>
        <w:rPr>
          <w:rStyle w:val="VerbatimChar"/>
        </w:rPr>
        <w:t xml:space="preserve">    ...</w:t>
      </w:r>
    </w:p>
    <w:p>
      <w:pPr>
        <w:pStyle w:val="FirstParagraph"/>
      </w:pPr>
      <w:r>
        <w:rPr>
          <w:bCs/>
          <w:b/>
        </w:rPr>
        <w:t xml:space="preserve">Integration point.</w:t>
      </w:r>
      <w:r>
        <w:t xml:space="preserve"> </w:t>
      </w:r>
      <w:r>
        <w:t xml:space="preserve">Replaces (with fallback) Section 8.2’s value function; all downstream consumers (Section 9’s knapsack packer, or Feature B1’s submodular packer if both are adopted) are unaffected by the change since they consume a scalar value regardless of which function produced it — this is the same interface-stability property Appendix G’s stability guarantees are designed to preserve across an internal algorithm change.</w:t>
      </w:r>
    </w:p>
    <w:p>
      <w:pPr>
        <w:pStyle w:val="BodyText"/>
      </w:pPr>
      <w:r>
        <w:rPr>
          <w:bCs/>
          <w:b/>
        </w:rPr>
        <w:t xml:space="preserve">Dependencies.</w:t>
      </w:r>
      <w:r>
        <w:t xml:space="preserve"> </w:t>
      </w:r>
      <w:r>
        <w:t xml:space="preserve">A training pipeline (new infrastructure for AEGIS, comparable in scope to what Feasibility Report risk R4 already flags as needed for the semantic engine’s LayoutLMv3-class integration), a labeled training corpus (does not yet exist), and ongoing retraining/monitoring infrastructure since a trained value-scoring model can drift as AEGIS’s document mix or query distribution shifts over time — a maintenance burden the current heuristic value function does not carry.</w:t>
      </w:r>
    </w:p>
    <w:p>
      <w:pPr>
        <w:pStyle w:val="BodyText"/>
      </w:pPr>
      <w:r>
        <w:rPr>
          <w:bCs/>
          <w:b/>
        </w:rPr>
        <w:t xml:space="preserve">Test plan.</w:t>
      </w:r>
      <w:r>
        <w:t xml:space="preserve"> </w:t>
      </w:r>
      <w:r>
        <w:t xml:space="preserve">-</w:t>
      </w:r>
      <w:r>
        <w:t xml:space="preserve"> </w:t>
      </w:r>
      <w:r>
        <w:rPr>
          <w:bCs/>
          <w:b/>
        </w:rPr>
        <w:t xml:space="preserve">TC-E-21</w:t>
      </w:r>
      <w:r>
        <w:t xml:space="preserve">: Held-out accuracy comparison. Input: a held-out test split of the labeled usefulness corpus. Expected: report the trained IB value function’s correlation with actual downstream usefulness against the current heuristic’s correlation, on the same test split.</w:t>
      </w:r>
      <w:r>
        <w:t xml:space="preserve"> </w:t>
      </w:r>
      <w:r>
        <w:t xml:space="preserve">-</w:t>
      </w:r>
      <w:r>
        <w:t xml:space="preserve"> </w:t>
      </w:r>
      <w:r>
        <w:rPr>
          <w:bCs/>
          <w:b/>
        </w:rPr>
        <w:t xml:space="preserve">TC-E-22</w:t>
      </w:r>
      <w:r>
        <w:t xml:space="preserve">: Fallback-path activation correctness. Input: a deliberately out-of-distribution (chunk, query) pair (e.g., a document type absent from training data). Expected: the model’s confidence estimate falls below threshold and the fallback heuristic activates, with the activation logged and visible to a caller — extending the same reporting-transparency principle Feasibility Report TC-11 already verifies for the knapsack solver’s fallback path.</w:t>
      </w:r>
      <w:r>
        <w:t xml:space="preserve"> </w:t>
      </w:r>
      <w:r>
        <w:t xml:space="preserve">-</w:t>
      </w:r>
      <w:r>
        <w:t xml:space="preserve"> </w:t>
      </w:r>
      <w:r>
        <w:rPr>
          <w:bCs/>
          <w:b/>
        </w:rPr>
        <w:t xml:space="preserve">TC-E-23</w:t>
      </w:r>
      <w:r>
        <w:t xml:space="preserve">: Distribution-shift monitoring. Input: a simulated shift in document mix (e.g., introducing a new document type not represented in training data) applied to a running evaluation. Expected: the observability stack (monograph Section 19.5) surfaces a measurable drop in average model confidence, providing the early-warning signal a production deployment would need before retraining becomes necessary.</w:t>
      </w:r>
    </w:p>
    <w:p>
      <w:r>
        <w:pict>
          <v:rect style="width:0;height:1.5pt" o:hralign="center" o:hrstd="t" o:hr="t"/>
        </w:pict>
      </w:r>
    </w:p>
    <w:bookmarkEnd w:id="34"/>
    <w:bookmarkStart w:id="35" w:name="Xfc0d6b21e13078ef3cbd4fdb0d103c27b8bea42"/>
    <w:p>
      <w:pPr>
        <w:pStyle w:val="Heading3"/>
      </w:pPr>
      <w:r>
        <w:t xml:space="preserve">4.2 Feature C2 — Trained Hypergraph Neural Network Scoring Layer</w:t>
      </w:r>
    </w:p>
    <w:p>
      <w:pPr>
        <w:pStyle w:val="FirstParagraph"/>
      </w:pPr>
      <w:r>
        <w:rPr>
          <w:bCs/>
          <w:b/>
        </w:rPr>
        <w:t xml:space="preserve">What it does.</w:t>
      </w:r>
      <w:r>
        <w:t xml:space="preserve"> </w:t>
      </w:r>
      <w:r>
        <w:t xml:space="preserve">Adds a learned relevance-scoring layer on top of Feature B2’s training-free hypergraph table representation, per Enhancement Research Report Section 7.4’s second phase.</w:t>
      </w:r>
      <w:r>
        <w:t xml:space="preserve"> </w:t>
      </w:r>
      <w:r>
        <w:rPr>
          <w:bCs/>
          <w:b/>
        </w:rPr>
        <w:t xml:space="preserve">Gated explicitly behind Feature B2</w:t>
      </w:r>
      <w:r>
        <w:t xml:space="preserve"> </w:t>
      </w:r>
      <w:r>
        <w:t xml:space="preserve">(Section 3.2) having already demonstrated the representation’s structural correctness.</w:t>
      </w:r>
    </w:p>
    <w:p>
      <w:pPr>
        <w:pStyle w:val="BodyText"/>
      </w:pPr>
      <w:r>
        <w:rPr>
          <w:bCs/>
          <w:b/>
        </w:rPr>
        <w:t xml:space="preserve">Data structures.</w:t>
      </w:r>
    </w:p>
    <w:p>
      <w:pPr>
        <w:pStyle w:val="SourceCode"/>
      </w:pPr>
      <w:r>
        <w:rPr>
          <w:rStyle w:val="VerbatimChar"/>
        </w:rPr>
        <w:t xml:space="preserve">TrainedHGNN = TrainedModel   # hypergraph attention network, per Enhancement Research Report Sec. 7.2</w:t>
      </w:r>
      <w:r>
        <w:br/>
      </w:r>
      <w:r>
        <w:rPr>
          <w:rStyle w:val="VerbatimChar"/>
        </w:rPr>
        <w:t xml:space="preserve">HypergraphScore = {</w:t>
      </w:r>
      <w:r>
        <w:br/>
      </w:r>
      <w:r>
        <w:rPr>
          <w:rStyle w:val="VerbatimChar"/>
        </w:rPr>
        <w:t xml:space="preserve">    relevance: float,          # learned relevance score for a query against a table hyperedge structure</w:t>
      </w:r>
      <w:r>
        <w:br/>
      </w:r>
      <w:r>
        <w:rPr>
          <w:rStyle w:val="VerbatimChar"/>
        </w:rPr>
        <w:t xml:space="preserve">    attention_weights: Dict[Hyperedge, float],  # for diagnostic visualization</w:t>
      </w:r>
      <w:r>
        <w:br/>
      </w:r>
      <w:r>
        <w:rPr>
          <w:rStyle w:val="VerbatimChar"/>
        </w:rPr>
        <w:t xml:space="preserve">}</w:t>
      </w:r>
    </w:p>
    <w:p>
      <w:pPr>
        <w:pStyle w:val="FirstParagraph"/>
      </w:pPr>
      <w:r>
        <w:rPr>
          <w:bCs/>
          <w:b/>
        </w:rPr>
        <w:t xml:space="preserve">Algorithm.</w:t>
      </w:r>
      <w:r>
        <w:t xml:space="preserve"> </w:t>
      </w:r>
      <w:r>
        <w:t xml:space="preserve">1. Collect a labeled training corpus of (query, table, relevant-hyperedges) triples — which specific merged headers, footnote references, or row/column groups within a table were actually relevant to answering a given historical query.</w:t>
      </w:r>
      <w:r>
        <w:t xml:space="preserve"> </w:t>
      </w:r>
      <w:r>
        <w:t xml:space="preserve">2. Train a hypergraph attention network (following the architecture family surveyed in Enhancement Research Report Section 7.2) to predict a relevance score over Feature B2’s</w:t>
      </w:r>
      <w:r>
        <w:t xml:space="preserve"> </w:t>
      </w:r>
      <w:r>
        <w:rPr>
          <w:rStyle w:val="VerbatimChar"/>
        </w:rPr>
        <w:t xml:space="preserve">TableHypergraph</w:t>
      </w:r>
      <w:r>
        <w:t xml:space="preserve"> </w:t>
      </w:r>
      <w:r>
        <w:t xml:space="preserve">structure, given a query.</w:t>
      </w:r>
      <w:r>
        <w:t xml:space="preserve"> </w:t>
      </w:r>
      <w:r>
        <w:t xml:space="preserve">3. At inference time, use the trained model’s relevance score as an additional signal feeding into Section 8.2’s (or Feature C1’s) value function for table-derived chunks specifically, and into Section 15’s hybrid retrieval fusion as an eighth (or ninth, if Feature A1/B3 are also counted) signal.</w:t>
      </w:r>
    </w:p>
    <w:p>
      <w:pPr>
        <w:pStyle w:val="BodyText"/>
      </w:pPr>
      <w:r>
        <w:rPr>
          <w:bCs/>
          <w:b/>
        </w:rPr>
        <w:t xml:space="preserve">Module and interface.</w:t>
      </w:r>
    </w:p>
    <w:p>
      <w:pPr>
        <w:pStyle w:val="SourceCode"/>
      </w:pPr>
      <w:r>
        <w:rPr>
          <w:rStyle w:val="VerbatimChar"/>
        </w:rPr>
        <w:t xml:space="preserve">def score_table_relevance_hgnn(</w:t>
      </w:r>
      <w:r>
        <w:br/>
      </w:r>
      <w:r>
        <w:rPr>
          <w:rStyle w:val="VerbatimChar"/>
        </w:rPr>
        <w:t xml:space="preserve">    table_hypergraph: TableHypergraph,</w:t>
      </w:r>
      <w:r>
        <w:br/>
      </w:r>
      <w:r>
        <w:rPr>
          <w:rStyle w:val="VerbatimChar"/>
        </w:rPr>
        <w:t xml:space="preserve">    query: Query,</w:t>
      </w:r>
      <w:r>
        <w:br/>
      </w:r>
      <w:r>
        <w:rPr>
          <w:rStyle w:val="VerbatimChar"/>
        </w:rPr>
        <w:t xml:space="preserve">    model: TrainedHGNN,</w:t>
      </w:r>
      <w:r>
        <w:br/>
      </w:r>
      <w:r>
        <w:rPr>
          <w:rStyle w:val="VerbatimChar"/>
        </w:rPr>
        <w:t xml:space="preserve">) -&gt; HypergraphScore:</w:t>
      </w:r>
      <w:r>
        <w:br/>
      </w:r>
      <w:r>
        <w:rPr>
          <w:rStyle w:val="VerbatimChar"/>
        </w:rPr>
        <w:t xml:space="preserve">    ...</w:t>
      </w:r>
    </w:p>
    <w:p>
      <w:pPr>
        <w:pStyle w:val="FirstParagraph"/>
      </w:pPr>
      <w:r>
        <w:rPr>
          <w:bCs/>
          <w:b/>
        </w:rPr>
        <w:t xml:space="preserve">Integration point.</w:t>
      </w:r>
      <w:r>
        <w:t xml:space="preserve"> </w:t>
      </w:r>
      <w:r>
        <w:t xml:space="preserve">Reads Feature B2’s</w:t>
      </w:r>
      <w:r>
        <w:t xml:space="preserve"> </w:t>
      </w:r>
      <w:r>
        <w:rPr>
          <w:rStyle w:val="VerbatimChar"/>
        </w:rPr>
        <w:t xml:space="preserve">TableHypergraph</w:t>
      </w:r>
      <w:r>
        <w:t xml:space="preserve"> </w:t>
      </w:r>
      <w:r>
        <w:t xml:space="preserve">output; writes into Section 8.2’s value function (or Feature C1’s, if both are adopted) as an additional table-specific signal, and into Section 15.1’s retrieval fusion as an additional method.</w:t>
      </w:r>
    </w:p>
    <w:p>
      <w:pPr>
        <w:pStyle w:val="BodyText"/>
      </w:pPr>
      <w:r>
        <w:rPr>
          <w:bCs/>
          <w:b/>
        </w:rPr>
        <w:t xml:space="preserve">Dependencies.</w:t>
      </w:r>
      <w:r>
        <w:t xml:space="preserve"> </w:t>
      </w:r>
      <w:r>
        <w:t xml:space="preserve">A training pipeline and labeled corpus (does not yet exist; comparable acquisition effort to Feature C1’s), plus a hypergraph-neural-network training library (e.g., DHG’s built-in HGNN layers, extending the same dependency introduced by Feature B2).</w:t>
      </w:r>
    </w:p>
    <w:p>
      <w:pPr>
        <w:pStyle w:val="BodyText"/>
      </w:pPr>
      <w:r>
        <w:rPr>
          <w:bCs/>
          <w:b/>
        </w:rPr>
        <w:t xml:space="preserve">Test plan.</w:t>
      </w:r>
      <w:r>
        <w:t xml:space="preserve"> </w:t>
      </w:r>
      <w:r>
        <w:t xml:space="preserve">-</w:t>
      </w:r>
      <w:r>
        <w:t xml:space="preserve"> </w:t>
      </w:r>
      <w:r>
        <w:rPr>
          <w:bCs/>
          <w:b/>
        </w:rPr>
        <w:t xml:space="preserve">TC-E-24</w:t>
      </w:r>
      <w:r>
        <w:t xml:space="preserve">: Held-out relevance-prediction accuracy. Input: a held-out split of the labeled (query, table, relevant-hyperedges) corpus. Expected: report precision/recall of the trained model’s top-ranked hyperedges against ground-truth relevant hyperedges.</w:t>
      </w:r>
      <w:r>
        <w:t xml:space="preserve"> </w:t>
      </w:r>
      <w:r>
        <w:t xml:space="preserve">-</w:t>
      </w:r>
      <w:r>
        <w:t xml:space="preserve"> </w:t>
      </w:r>
      <w:r>
        <w:rPr>
          <w:bCs/>
          <w:b/>
        </w:rPr>
        <w:t xml:space="preserve">TC-E-25</w:t>
      </w:r>
      <w:r>
        <w:t xml:space="preserve">: Ablation against the untrained hypergraph representation alone. Input: the same held-out corpus, comparing end-to-end retrieval quality (SPS, TER, RHM per monograph Section 21.4) with and without this feature’s trained scoring layer, holding Feature B2’s structural representation constant in both conditions. Expected: this is the specific test that would justify the additional training and maintenance cost this feature introduces over Feature B2 alone.</w:t>
      </w:r>
    </w:p>
    <w:p>
      <w:r>
        <w:pict>
          <v:rect style="width:0;height:1.5pt" o:hralign="center" o:hrstd="t" o:hr="t"/>
        </w:pict>
      </w:r>
    </w:p>
    <w:bookmarkEnd w:id="35"/>
    <w:bookmarkStart w:id="36" w:name="X9c1639b6e5016a9c1a56d398716dfb868ffa894"/>
    <w:p>
      <w:pPr>
        <w:pStyle w:val="Heading3"/>
      </w:pPr>
      <w:r>
        <w:t xml:space="preserve">4.3 Feature C3 — Neural/Diffusion Warm-Start Layer for the Knapsack Solver Hierarchy</w:t>
      </w:r>
    </w:p>
    <w:p>
      <w:pPr>
        <w:pStyle w:val="FirstParagraph"/>
      </w:pPr>
      <w:r>
        <w:rPr>
          <w:bCs/>
          <w:b/>
        </w:rPr>
        <w:t xml:space="preserve">What it does.</w:t>
      </w:r>
      <w:r>
        <w:t xml:space="preserve"> </w:t>
      </w:r>
      <w:r>
        <w:t xml:space="preserve">Adds a learned warm-start or confidence-estimation layer sitting alongside AEGIS’s existing exact/greedy/Lagrangian solver hierarchy (Sections 9.2, 9.3, 12.2), per Enhancement Research Report Section 6.4. Explicitly the highest-risk feature in this document; recommended only as a longer-term research direction, not a near-term commitment.</w:t>
      </w:r>
    </w:p>
    <w:p>
      <w:pPr>
        <w:pStyle w:val="BodyText"/>
      </w:pPr>
      <w:r>
        <w:rPr>
          <w:bCs/>
          <w:b/>
        </w:rPr>
        <w:t xml:space="preserve">Data structures.</w:t>
      </w:r>
    </w:p>
    <w:p>
      <w:pPr>
        <w:pStyle w:val="SourceCode"/>
      </w:pPr>
      <w:r>
        <w:rPr>
          <w:rStyle w:val="VerbatimChar"/>
        </w:rPr>
        <w:t xml:space="preserve">BoundedNeuralKnapsackNet = TrainedModel   # bounded-size network per the provable-guarantee construction, Enhancement Report Sec. 6.2</w:t>
      </w:r>
      <w:r>
        <w:br/>
      </w:r>
      <w:r>
        <w:rPr>
          <w:rStyle w:val="VerbatimChar"/>
        </w:rPr>
        <w:t xml:space="preserve">WarmStartResult = {</w:t>
      </w:r>
      <w:r>
        <w:br/>
      </w:r>
      <w:r>
        <w:rPr>
          <w:rStyle w:val="VerbatimChar"/>
        </w:rPr>
        <w:t xml:space="preserve">    predicted_selection: List[bool],   # a fast approximate x_i assignment</w:t>
      </w:r>
      <w:r>
        <w:br/>
      </w:r>
      <w:r>
        <w:rPr>
          <w:rStyle w:val="VerbatimChar"/>
        </w:rPr>
        <w:t xml:space="preserve">    confidence: float,</w:t>
      </w:r>
      <w:r>
        <w:br/>
      </w:r>
      <w:r>
        <w:rPr>
          <w:rStyle w:val="VerbatimChar"/>
        </w:rPr>
        <w:t xml:space="preserve">    recommended_path: str,   # "exact" | "greedy" | "lagrangian", based on predicted problem difficulty</w:t>
      </w:r>
      <w:r>
        <w:br/>
      </w:r>
      <w:r>
        <w:rPr>
          <w:rStyle w:val="VerbatimChar"/>
        </w:rPr>
        <w:t xml:space="preserve">}</w:t>
      </w:r>
    </w:p>
    <w:p>
      <w:pPr>
        <w:pStyle w:val="FirstParagraph"/>
      </w:pPr>
      <w:r>
        <w:rPr>
          <w:bCs/>
          <w:b/>
        </w:rPr>
        <w:t xml:space="preserve">Algorithm.</w:t>
      </w:r>
      <w:r>
        <w:t xml:space="preserve"> </w:t>
      </w:r>
      <w:r>
        <w:t xml:space="preserve">1. Collect a training corpus of representative production knapsack instances — (candidate chunk value/weight distributions, budget, and the DP-solver’s actual optimal solution) triples drawn from AEGIS’s real operational traffic once sufficient volume exists (this does not yet exist and is the primary blocker flagged in Enhancement Research Report Section 6.5).</w:t>
      </w:r>
      <w:r>
        <w:t xml:space="preserve"> </w:t>
      </w:r>
      <w:r>
        <w:t xml:space="preserve">2. Train a bounded-size neural network (following the provable-guarantee construction cited in Enhancement Research Report Section 6.2, specifically chosen to preserve a formal near-optimality guarantee rather than adopting an unconstrained architecture with only empirical performance claims) to predict a near-optimal selection directly from instance features.</w:t>
      </w:r>
      <w:r>
        <w:t xml:space="preserve"> </w:t>
      </w:r>
      <w:r>
        <w:t xml:space="preserve">3. At inference time, use the network’s prediction either as a warm start for the exact DP solver’s backtracking phase (potentially reducing the effective memory footprint that triggers the max_dp_cells guard, Section 11.4) or as a fast confidence-scored recommendation for which solver tier (exact, greedy, Lagrangian) is likely sufficient for a given instance’s predicted difficulty.</w:t>
      </w:r>
    </w:p>
    <w:p>
      <w:pPr>
        <w:pStyle w:val="BodyText"/>
      </w:pPr>
      <w:r>
        <w:rPr>
          <w:bCs/>
          <w:b/>
        </w:rPr>
        <w:t xml:space="preserve">Module and interface.</w:t>
      </w:r>
    </w:p>
    <w:p>
      <w:pPr>
        <w:pStyle w:val="SourceCode"/>
      </w:pPr>
      <w:r>
        <w:rPr>
          <w:rStyle w:val="VerbatimChar"/>
        </w:rPr>
        <w:t xml:space="preserve">def warm_start_knapsack(</w:t>
      </w:r>
      <w:r>
        <w:br/>
      </w:r>
      <w:r>
        <w:rPr>
          <w:rStyle w:val="VerbatimChar"/>
        </w:rPr>
        <w:t xml:space="preserve">    instance: KnapsackInstance,</w:t>
      </w:r>
      <w:r>
        <w:br/>
      </w:r>
      <w:r>
        <w:rPr>
          <w:rStyle w:val="VerbatimChar"/>
        </w:rPr>
        <w:t xml:space="preserve">    model: BoundedNeuralKnapsackNet,</w:t>
      </w:r>
      <w:r>
        <w:br/>
      </w:r>
      <w:r>
        <w:rPr>
          <w:rStyle w:val="VerbatimChar"/>
        </w:rPr>
        <w:t xml:space="preserve">) -&gt; WarmStartResult:</w:t>
      </w:r>
      <w:r>
        <w:br/>
      </w:r>
      <w:r>
        <w:rPr>
          <w:rStyle w:val="VerbatimChar"/>
        </w:rPr>
        <w:t xml:space="preserve">    ...</w:t>
      </w:r>
    </w:p>
    <w:p>
      <w:pPr>
        <w:pStyle w:val="FirstParagraph"/>
      </w:pPr>
      <w:r>
        <w:rPr>
          <w:bCs/>
          <w:b/>
        </w:rPr>
        <w:t xml:space="preserve">Integration point.</w:t>
      </w:r>
      <w:r>
        <w:t xml:space="preserve"> </w:t>
      </w:r>
      <w:r>
        <w:t xml:space="preserve">Sits alongside, and is consulted by, Section 9’s solver-selection logic (the same logic that currently checks the max_dp_cells guard, Section 11.4) — this feature changes</w:t>
      </w:r>
      <w:r>
        <w:t xml:space="preserve"> </w:t>
      </w:r>
      <w:r>
        <w:rPr>
          <w:iCs/>
          <w:i/>
        </w:rPr>
        <w:t xml:space="preserve">which solver path is chosen and how it is initialized</w:t>
      </w:r>
      <w:r>
        <w:t xml:space="preserve">, not the correctness of any individual solver path, which remains governed by the existing Theorem 9.1 and Section 12.2 guarantees regardless of whether this feature’s prediction is used.</w:t>
      </w:r>
    </w:p>
    <w:p>
      <w:pPr>
        <w:pStyle w:val="BodyText"/>
      </w:pPr>
      <w:r>
        <w:rPr>
          <w:bCs/>
          <w:b/>
        </w:rPr>
        <w:t xml:space="preserve">Dependencies.</w:t>
      </w:r>
      <w:r>
        <w:t xml:space="preserve"> </w:t>
      </w:r>
      <w:r>
        <w:t xml:space="preserve">A training pipeline, a large corpus of representative production knapsack instances (does not yet exist at sufficient volume — this is explicitly a</w:t>
      </w:r>
      <w:r>
        <w:t xml:space="preserve"> </w:t>
      </w:r>
      <w:r>
        <w:t xml:space="preserve">“</w:t>
      </w:r>
      <w:r>
        <w:t xml:space="preserve">collect data in production first, train later</w:t>
      </w:r>
      <w:r>
        <w:t xml:space="preserve">”</w:t>
      </w:r>
      <w:r>
        <w:t xml:space="preserve"> </w:t>
      </w:r>
      <w:r>
        <w:t xml:space="preserve">feature), and the bounded-size provable-guarantee neural architecture specifically (Enhancement Research Report Section 6.2), not a generic unconstrained network.</w:t>
      </w:r>
    </w:p>
    <w:p>
      <w:pPr>
        <w:pStyle w:val="BodyText"/>
      </w:pPr>
      <w:r>
        <w:rPr>
          <w:bCs/>
          <w:b/>
        </w:rPr>
        <w:t xml:space="preserve">Test plan.</w:t>
      </w:r>
      <w:r>
        <w:t xml:space="preserve"> </w:t>
      </w:r>
      <w:r>
        <w:t xml:space="preserve">-</w:t>
      </w:r>
      <w:r>
        <w:t xml:space="preserve"> </w:t>
      </w:r>
      <w:r>
        <w:rPr>
          <w:bCs/>
          <w:b/>
        </w:rPr>
        <w:t xml:space="preserve">TC-E-26</w:t>
      </w:r>
      <w:r>
        <w:t xml:space="preserve">: Provable-bound verification for the trained network itself, following the specific construction’s own stated guarantee. Input: synthetic instances within the bounded network’s proven applicability range. Expected: near-optimality bound holds empirically, consistent with the construction’s own published proof.</w:t>
      </w:r>
      <w:r>
        <w:t xml:space="preserve"> </w:t>
      </w:r>
      <w:r>
        <w:t xml:space="preserve">-</w:t>
      </w:r>
      <w:r>
        <w:t xml:space="preserve"> </w:t>
      </w:r>
      <w:r>
        <w:rPr>
          <w:bCs/>
          <w:b/>
        </w:rPr>
        <w:t xml:space="preserve">TC-E-27</w:t>
      </w:r>
      <w:r>
        <w:t xml:space="preserve">: Warm-start latency improvement. Input: production-scale instances that would otherwise trigger the max_dp_cells fallback (Section 11.4). Expected: measure whether warm-starting the exact solver with this feature’s prediction extends the range of instance sizes solvable exactly before falling back to greedy, compared to the current no-warm-start baseline.</w:t>
      </w:r>
      <w:r>
        <w:t xml:space="preserve"> </w:t>
      </w:r>
      <w:r>
        <w:t xml:space="preserve">-</w:t>
      </w:r>
      <w:r>
        <w:t xml:space="preserve"> </w:t>
      </w:r>
      <w:r>
        <w:rPr>
          <w:bCs/>
          <w:b/>
        </w:rPr>
        <w:t xml:space="preserve">TC-E-28</w:t>
      </w:r>
      <w:r>
        <w:t xml:space="preserve">: Solver-tier recommendation accuracy. Input: a held-out set of instances with known best-performing solver tier (measured by actually running all three tiers and comparing). Expected: report how often this feature’s</w:t>
      </w:r>
      <w:r>
        <w:t xml:space="preserve"> </w:t>
      </w:r>
      <w:r>
        <w:rPr>
          <w:rStyle w:val="VerbatimChar"/>
        </w:rPr>
        <w:t xml:space="preserve">recommended_path</w:t>
      </w:r>
      <w:r>
        <w:t xml:space="preserve"> </w:t>
      </w:r>
      <w:r>
        <w:t xml:space="preserve">matches the empirically-best tier, and the cost (in solution quality) of following an incorrect recommendation.</w:t>
      </w:r>
    </w:p>
    <w:bookmarkEnd w:id="36"/>
    <w:bookmarkEnd w:id="37"/>
    <w:bookmarkStart w:id="43" w:name="cross-cutting-infrastructure"/>
    <w:p>
      <w:pPr>
        <w:pStyle w:val="Heading2"/>
      </w:pPr>
      <w:r>
        <w:t xml:space="preserve">5. Cross-Cutting Infrastructure</w:t>
      </w:r>
    </w:p>
    <w:bookmarkStart w:id="38" w:name="module-layout"/>
    <w:p>
      <w:pPr>
        <w:pStyle w:val="Heading3"/>
      </w:pPr>
      <w:r>
        <w:t xml:space="preserve">5.1 Module Layout</w:t>
      </w:r>
    </w:p>
    <w:p>
      <w:pPr>
        <w:pStyle w:val="FirstParagraph"/>
      </w:pPr>
      <w:r>
        <w:t xml:space="preserve">All nine features are designed to slot into AEGIS’s existing twelve-engine structure (monograph Section 5.4) and Appendix G’s interface-contract discipline rather than requiring a new architectural layer. Table 5.1 proposes a concrete directory/module layout consistent with that structure.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Path</w:t>
            </w:r>
          </w:p>
        </w:tc>
        <w:tc>
          <w:tcPr/>
          <w:p>
            <w:pPr>
              <w:pStyle w:val="Compact"/>
              <w:jc w:val="left"/>
            </w:pPr>
            <w:r>
              <w:t xml:space="preserve">Contents</w:t>
            </w:r>
          </w:p>
        </w:tc>
      </w:tr>
      <w:tr>
        <w:tc>
          <w:tcPr/>
          <w:p>
            <w:pPr>
              <w:pStyle w:val="Compact"/>
              <w:jc w:val="left"/>
            </w:pPr>
            <w:r>
              <w:rPr>
                <w:rStyle w:val="VerbatimChar"/>
              </w:rPr>
              <w:t xml:space="preserve">engines/graph/opw_metric.py</w:t>
            </w:r>
          </w:p>
        </w:tc>
        <w:tc>
          <w:tcPr/>
          <w:p>
            <w:pPr>
              <w:pStyle w:val="Compact"/>
              <w:jc w:val="left"/>
            </w:pPr>
            <w:r>
              <w:t xml:space="preserve">Feature A1</w:t>
            </w:r>
          </w:p>
        </w:tc>
      </w:tr>
      <w:tr>
        <w:tc>
          <w:tcPr/>
          <w:p>
            <w:pPr>
              <w:pStyle w:val="Compact"/>
              <w:jc w:val="left"/>
            </w:pPr>
            <w:r>
              <w:rPr>
                <w:rStyle w:val="VerbatimChar"/>
              </w:rPr>
              <w:t xml:space="preserve">engines/topology/persistent_homology.py</w:t>
            </w:r>
          </w:p>
        </w:tc>
        <w:tc>
          <w:tcPr/>
          <w:p>
            <w:pPr>
              <w:pStyle w:val="Compact"/>
              <w:jc w:val="left"/>
            </w:pPr>
            <w:r>
              <w:t xml:space="preserve">Feature A2 (the Topology Engine’s first real implementation)</w:t>
            </w:r>
          </w:p>
        </w:tc>
      </w:tr>
      <w:tr>
        <w:tc>
          <w:tcPr/>
          <w:p>
            <w:pPr>
              <w:pStyle w:val="Compact"/>
              <w:jc w:val="left"/>
            </w:pPr>
            <w:r>
              <w:rPr>
                <w:rStyle w:val="VerbatimChar"/>
              </w:rPr>
              <w:t xml:space="preserve">engines/retrieval/submodular_packer.py</w:t>
            </w:r>
          </w:p>
        </w:tc>
        <w:tc>
          <w:tcPr/>
          <w:p>
            <w:pPr>
              <w:pStyle w:val="Compact"/>
              <w:jc w:val="left"/>
            </w:pPr>
            <w:r>
              <w:t xml:space="preserve">Feature B1</w:t>
            </w:r>
          </w:p>
        </w:tc>
      </w:tr>
      <w:tr>
        <w:tc>
          <w:tcPr/>
          <w:p>
            <w:pPr>
              <w:pStyle w:val="Compact"/>
              <w:jc w:val="left"/>
            </w:pPr>
            <w:r>
              <w:rPr>
                <w:rStyle w:val="VerbatimChar"/>
              </w:rPr>
              <w:t xml:space="preserve">engines/matrix/hypergraph.py</w:t>
            </w:r>
          </w:p>
        </w:tc>
        <w:tc>
          <w:tcPr/>
          <w:p>
            <w:pPr>
              <w:pStyle w:val="Compact"/>
              <w:jc w:val="left"/>
            </w:pPr>
            <w:r>
              <w:t xml:space="preserve">Feature B2</w:t>
            </w:r>
          </w:p>
        </w:tc>
      </w:tr>
      <w:tr>
        <w:tc>
          <w:tcPr/>
          <w:p>
            <w:pPr>
              <w:pStyle w:val="Compact"/>
              <w:jc w:val="left"/>
            </w:pPr>
            <w:r>
              <w:rPr>
                <w:rStyle w:val="VerbatimChar"/>
              </w:rPr>
              <w:t xml:space="preserve">engines/template/gw_comparator.py</w:t>
            </w:r>
          </w:p>
        </w:tc>
        <w:tc>
          <w:tcPr/>
          <w:p>
            <w:pPr>
              <w:pStyle w:val="Compact"/>
              <w:jc w:val="left"/>
            </w:pPr>
            <w:r>
              <w:t xml:space="preserve">Feature B3</w:t>
            </w:r>
          </w:p>
        </w:tc>
      </w:tr>
      <w:tr>
        <w:tc>
          <w:tcPr/>
          <w:p>
            <w:pPr>
              <w:pStyle w:val="Compact"/>
              <w:jc w:val="left"/>
            </w:pPr>
            <w:r>
              <w:rPr>
                <w:rStyle w:val="VerbatimChar"/>
              </w:rPr>
              <w:t xml:space="preserve">optimization/ib_calibration.py</w:t>
            </w:r>
          </w:p>
        </w:tc>
        <w:tc>
          <w:tcPr/>
          <w:p>
            <w:pPr>
              <w:pStyle w:val="Compact"/>
              <w:jc w:val="left"/>
            </w:pPr>
            <w:r>
              <w:t xml:space="preserve">Feature B4</w:t>
            </w:r>
          </w:p>
        </w:tc>
      </w:tr>
      <w:tr>
        <w:tc>
          <w:tcPr/>
          <w:p>
            <w:pPr>
              <w:pStyle w:val="Compact"/>
              <w:jc w:val="left"/>
            </w:pPr>
            <w:r>
              <w:rPr>
                <w:rStyle w:val="VerbatimChar"/>
              </w:rPr>
              <w:t xml:space="preserve">optimization/ib_value_function.py</w:t>
            </w:r>
          </w:p>
        </w:tc>
        <w:tc>
          <w:tcPr/>
          <w:p>
            <w:pPr>
              <w:pStyle w:val="Compact"/>
              <w:jc w:val="left"/>
            </w:pPr>
            <w:r>
              <w:t xml:space="preserve">Feature C1 (depends on B4’s calibration output)</w:t>
            </w:r>
          </w:p>
        </w:tc>
      </w:tr>
      <w:tr>
        <w:tc>
          <w:tcPr/>
          <w:p>
            <w:pPr>
              <w:pStyle w:val="Compact"/>
              <w:jc w:val="left"/>
            </w:pPr>
            <w:r>
              <w:rPr>
                <w:rStyle w:val="VerbatimChar"/>
              </w:rPr>
              <w:t xml:space="preserve">engines/matrix/hgnn_scoring.py</w:t>
            </w:r>
          </w:p>
        </w:tc>
        <w:tc>
          <w:tcPr/>
          <w:p>
            <w:pPr>
              <w:pStyle w:val="Compact"/>
              <w:jc w:val="left"/>
            </w:pPr>
            <w:r>
              <w:t xml:space="preserve">Feature C2 (depends on B2’s representation)</w:t>
            </w:r>
          </w:p>
        </w:tc>
      </w:tr>
      <w:tr>
        <w:tc>
          <w:tcPr/>
          <w:p>
            <w:pPr>
              <w:pStyle w:val="Compact"/>
              <w:jc w:val="left"/>
            </w:pPr>
            <w:r>
              <w:rPr>
                <w:rStyle w:val="VerbatimChar"/>
              </w:rPr>
              <w:t xml:space="preserve">optimization/neural_warmstart.py</w:t>
            </w:r>
          </w:p>
        </w:tc>
        <w:tc>
          <w:tcPr/>
          <w:p>
            <w:pPr>
              <w:pStyle w:val="Compact"/>
              <w:jc w:val="left"/>
            </w:pPr>
            <w:r>
              <w:t xml:space="preserve">Feature C3</w:t>
            </w:r>
          </w:p>
        </w:tc>
      </w:tr>
    </w:tbl>
    <w:p>
      <w:pPr>
        <w:pStyle w:val="BodyText"/>
      </w:pPr>
      <w:r>
        <w:t xml:space="preserve">This layout deliberately keeps every new module inside AEGIS’s existing engine/optimization package boundaries rather than introducing a parallel</w:t>
      </w:r>
      <w:r>
        <w:t xml:space="preserve"> </w:t>
      </w:r>
      <w:r>
        <w:t xml:space="preserve">“</w:t>
      </w:r>
      <w:r>
        <w:t xml:space="preserve">enhancements</w:t>
      </w:r>
      <w:r>
        <w:t xml:space="preserve">”</w:t>
      </w:r>
      <w:r>
        <w:t xml:space="preserve"> </w:t>
      </w:r>
      <w:r>
        <w:t xml:space="preserve">package, so that each feature is, from a codebase-navigation perspective, indistinguishable from an originally-specified AEGIS component once merged — consistent with Appendix G’s stability principle that a consumer should depend on a contract’s shape, not on which development phase produced it.</w:t>
      </w:r>
    </w:p>
    <w:bookmarkEnd w:id="38"/>
    <w:bookmarkStart w:id="39" w:name="test-harness-extension"/>
    <w:p>
      <w:pPr>
        <w:pStyle w:val="Heading3"/>
      </w:pPr>
      <w:r>
        <w:t xml:space="preserve">5.2 Test-Harness Extension</w:t>
      </w:r>
    </w:p>
    <w:p>
      <w:pPr>
        <w:pStyle w:val="FirstParagraph"/>
      </w:pPr>
      <w:r>
        <w:t xml:space="preserve">Every TC-E-* test case specified in Sections 2-4 extends, rather than replaces, the Implementation and Credibility Test Cases document’s existing structure: the same seven-field template (claim under test, preconditions, input, procedure, expected result, actual result, status), the same PASS/FAIL/NOT YET EXECUTED status vocabulary, and the same traceability-matrix pattern that document’s Section 8 already established. A future revision of that document should append a new Section 9 (</w:t>
      </w:r>
      <w:r>
        <w:t xml:space="preserve">“</w:t>
      </w:r>
      <w:r>
        <w:t xml:space="preserve">Enhancement Feature Test Suite</w:t>
      </w:r>
      <w:r>
        <w:t xml:space="preserve">”</w:t>
      </w:r>
      <w:r>
        <w:t xml:space="preserve">) containing TC-E-01 through TC-E-28 with their actual results once run, and extend that document’s Section 8 traceability matrix with the new rows.</w:t>
      </w:r>
    </w:p>
    <w:bookmarkEnd w:id="39"/>
    <w:bookmarkStart w:id="40" w:name="observability-hooks"/>
    <w:p>
      <w:pPr>
        <w:pStyle w:val="Heading3"/>
      </w:pPr>
      <w:r>
        <w:t xml:space="preserve">5.3 Observability Hooks</w:t>
      </w:r>
    </w:p>
    <w:p>
      <w:pPr>
        <w:pStyle w:val="FirstParagraph"/>
      </w:pPr>
      <w:r>
        <w:t xml:space="preserve">Consistent with monograph Section 19.5’s existing instrumentation plan, every feature that introduces a fallback path (A2’s anomaly flag, B1’s greedy-fallback regression, C1’s confidence-threshold fallback, C3’s solver-tier recommendation) should emit a metric to the same Prometheus-class metrics stack already instrumenting Section 9’s exact-vs-fallback rate, so that a rising fallback-activation rate for any new feature is visible through the same dashboard a production operator already monitors, rather than requiring a separate observability surface per feature.</w:t>
      </w:r>
    </w:p>
    <w:bookmarkEnd w:id="40"/>
    <w:bookmarkStart w:id="41" w:name="ci-regression-gate"/>
    <w:p>
      <w:pPr>
        <w:pStyle w:val="Heading3"/>
      </w:pPr>
      <w:r>
        <w:t xml:space="preserve">5.4 CI / Regression Gate</w:t>
      </w:r>
    </w:p>
    <w:p>
      <w:pPr>
        <w:pStyle w:val="FirstParagraph"/>
      </w:pPr>
      <w:r>
        <w:t xml:space="preserve">Per the Implementation and Credibility Test Cases document’s Section 8.1 stated intent (the existing 18-20-case suite as</w:t>
      </w:r>
      <w:r>
        <w:t xml:space="preserve"> </w:t>
      </w:r>
      <w:r>
        <w:t xml:space="preserve">“</w:t>
      </w:r>
      <w:r>
        <w:t xml:space="preserve">a regression gate for any future change</w:t>
      </w:r>
      <w:r>
        <w:t xml:space="preserve">”</w:t>
      </w:r>
      <w:r>
        <w:t xml:space="preserve">), every TC-E-* test case, once passing, should be added to that same CI-run regression suite — meaning a future change to, for example, Feature B1’s submodular objective’s concept-extraction logic would be required to continue passing TC-E-09 through TC-E-12, exactly as a change to Section 7’s chunking rules is already required to continue passing the monograph’s existing chunking test cases.</w:t>
      </w:r>
    </w:p>
    <w:bookmarkEnd w:id="41"/>
    <w:bookmarkStart w:id="42" w:name="configuration-and-feature-flags"/>
    <w:p>
      <w:pPr>
        <w:pStyle w:val="Heading3"/>
      </w:pPr>
      <w:r>
        <w:t xml:space="preserve">5.5 Configuration and Feature Flags</w:t>
      </w:r>
    </w:p>
    <w:p>
      <w:pPr>
        <w:pStyle w:val="FirstParagraph"/>
      </w:pPr>
      <w:r>
        <w:t xml:space="preserve">Given that several features (B3, C1) are designed with explicit fallback-to-existing-behavior paths, this report recommends every feature in this document be deployable behind a configuration flag defaulting to</w:t>
      </w:r>
      <w:r>
        <w:t xml:space="preserve"> </w:t>
      </w:r>
      <w:r>
        <w:t xml:space="preserve">“</w:t>
      </w:r>
      <w:r>
        <w:t xml:space="preserve">off</w:t>
      </w:r>
      <w:r>
        <w:t xml:space="preserve">”</w:t>
      </w:r>
      <w:r>
        <w:t xml:space="preserve"> </w:t>
      </w:r>
      <w:r>
        <w:t xml:space="preserve">(preserving AEGIS’s current validated behavior as the default) until its own test plan has reached the same Established evidentiary tier the Feasibility and Validation Report applies elsewhere — consistent with that report’s own recommendation (Section 6.2) that theoretical strength and production-readiness are different claims requiring independent verification before a default-on configuration is justified.</w:t>
      </w:r>
    </w:p>
    <w:bookmarkEnd w:id="42"/>
    <w:bookmarkEnd w:id="43"/>
    <w:bookmarkStart w:id="44" w:name="master-feature-traceability-matrix"/>
    <w:p>
      <w:pPr>
        <w:pStyle w:val="Heading2"/>
      </w:pPr>
      <w:r>
        <w:t xml:space="preserve">6. Master Feature Traceability Matrix</w:t>
      </w:r>
    </w:p>
    <w:p>
      <w:pPr>
        <w:pStyle w:val="FirstParagraph"/>
      </w:pPr>
      <w:r>
        <w:t xml:space="preserve">Table 6.1 consolidates every feature in this document with its source technique, risk tier, gating dependency, and primary new dependency, for use as a single planning reference.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Feature</w:t>
            </w:r>
          </w:p>
        </w:tc>
        <w:tc>
          <w:tcPr/>
          <w:p>
            <w:pPr>
              <w:pStyle w:val="Compact"/>
              <w:jc w:val="left"/>
            </w:pPr>
            <w:r>
              <w:t xml:space="preserve">Technique (Enh. Report Sec.)</w:t>
            </w:r>
          </w:p>
        </w:tc>
        <w:tc>
          <w:tcPr/>
          <w:p>
            <w:pPr>
              <w:pStyle w:val="Compact"/>
              <w:jc w:val="left"/>
            </w:pPr>
            <w:r>
              <w:t xml:space="preserve">Tier</w:t>
            </w:r>
          </w:p>
        </w:tc>
        <w:tc>
          <w:tcPr/>
          <w:p>
            <w:pPr>
              <w:pStyle w:val="Compact"/>
              <w:jc w:val="left"/>
            </w:pPr>
            <w:r>
              <w:t xml:space="preserve">Gated behind</w:t>
            </w:r>
          </w:p>
        </w:tc>
        <w:tc>
          <w:tcPr/>
          <w:p>
            <w:pPr>
              <w:pStyle w:val="Compact"/>
              <w:jc w:val="left"/>
            </w:pPr>
            <w:r>
              <w:t xml:space="preserve">New dependency</w:t>
            </w:r>
          </w:p>
        </w:tc>
      </w:tr>
      <w:tr>
        <w:tc>
          <w:tcPr/>
          <w:p>
            <w:pPr>
              <w:pStyle w:val="Compact"/>
              <w:jc w:val="left"/>
            </w:pPr>
            <w:r>
              <w:t xml:space="preserve">A1 — OPW reading-order metric</w:t>
            </w:r>
          </w:p>
        </w:tc>
        <w:tc>
          <w:tcPr/>
          <w:p>
            <w:pPr>
              <w:pStyle w:val="Compact"/>
              <w:jc w:val="left"/>
            </w:pPr>
            <w:r>
              <w:t xml:space="preserve">Optimal transport (4.2)</w:t>
            </w:r>
          </w:p>
        </w:tc>
        <w:tc>
          <w:tcPr/>
          <w:p>
            <w:pPr>
              <w:pStyle w:val="Compact"/>
              <w:jc w:val="left"/>
            </w:pPr>
            <w:r>
              <w:t xml:space="preserve">Near-term</w:t>
            </w:r>
          </w:p>
        </w:tc>
        <w:tc>
          <w:tcPr/>
          <w:p>
            <w:pPr>
              <w:pStyle w:val="Compact"/>
              <w:jc w:val="left"/>
            </w:pPr>
            <w:r>
              <w:t xml:space="preserve">None</w:t>
            </w:r>
          </w:p>
        </w:tc>
        <w:tc>
          <w:tcPr/>
          <w:p>
            <w:pPr>
              <w:pStyle w:val="Compact"/>
              <w:jc w:val="left"/>
            </w:pPr>
            <w:r>
              <w:t xml:space="preserve">POT library</w:t>
            </w:r>
          </w:p>
        </w:tc>
      </w:tr>
      <w:tr>
        <w:tc>
          <w:tcPr/>
          <w:p>
            <w:pPr>
              <w:pStyle w:val="Compact"/>
              <w:jc w:val="left"/>
            </w:pPr>
            <w:r>
              <w:t xml:space="preserve">A2 — Persistent-homology Topology Engine</w:t>
            </w:r>
          </w:p>
        </w:tc>
        <w:tc>
          <w:tcPr/>
          <w:p>
            <w:pPr>
              <w:pStyle w:val="Compact"/>
              <w:jc w:val="left"/>
            </w:pPr>
            <w:r>
              <w:t xml:space="preserve">Persistent homology (3.3)</w:t>
            </w:r>
          </w:p>
        </w:tc>
        <w:tc>
          <w:tcPr/>
          <w:p>
            <w:pPr>
              <w:pStyle w:val="Compact"/>
              <w:jc w:val="left"/>
            </w:pPr>
            <w:r>
              <w:t xml:space="preserve">Near-term</w:t>
            </w:r>
          </w:p>
        </w:tc>
        <w:tc>
          <w:tcPr/>
          <w:p>
            <w:pPr>
              <w:pStyle w:val="Compact"/>
              <w:jc w:val="left"/>
            </w:pPr>
            <w:r>
              <w:t xml:space="preserve">None</w:t>
            </w:r>
          </w:p>
        </w:tc>
        <w:tc>
          <w:tcPr/>
          <w:p>
            <w:pPr>
              <w:pStyle w:val="Compact"/>
              <w:jc w:val="left"/>
            </w:pPr>
            <w:r>
              <w:t xml:space="preserve">GUDHI or Ripser</w:t>
            </w:r>
          </w:p>
        </w:tc>
      </w:tr>
      <w:tr>
        <w:tc>
          <w:tcPr/>
          <w:p>
            <w:pPr>
              <w:pStyle w:val="Compact"/>
              <w:jc w:val="left"/>
            </w:pPr>
            <w:r>
              <w:t xml:space="preserve">B1 — Submodular context packer</w:t>
            </w:r>
          </w:p>
        </w:tc>
        <w:tc>
          <w:tcPr/>
          <w:p>
            <w:pPr>
              <w:pStyle w:val="Compact"/>
              <w:jc w:val="left"/>
            </w:pPr>
            <w:r>
              <w:t xml:space="preserve">Submodular optimization (2)</w:t>
            </w:r>
          </w:p>
        </w:tc>
        <w:tc>
          <w:tcPr/>
          <w:p>
            <w:pPr>
              <w:pStyle w:val="Compact"/>
              <w:jc w:val="left"/>
            </w:pPr>
            <w:r>
              <w:t xml:space="preserve">Mid-term</w:t>
            </w:r>
          </w:p>
        </w:tc>
        <w:tc>
          <w:tcPr/>
          <w:p>
            <w:pPr>
              <w:pStyle w:val="Compact"/>
              <w:jc w:val="left"/>
            </w:pPr>
            <w:r>
              <w:t xml:space="preserve">None (uses existing engines)</w:t>
            </w:r>
          </w:p>
        </w:tc>
        <w:tc>
          <w:tcPr/>
          <w:p>
            <w:pPr>
              <w:pStyle w:val="Compact"/>
              <w:jc w:val="left"/>
            </w:pPr>
            <w:r>
              <w:t xml:space="preserve">SubModLib</w:t>
            </w:r>
          </w:p>
        </w:tc>
      </w:tr>
      <w:tr>
        <w:tc>
          <w:tcPr/>
          <w:p>
            <w:pPr>
              <w:pStyle w:val="Compact"/>
              <w:jc w:val="left"/>
            </w:pPr>
            <w:r>
              <w:t xml:space="preserve">B2 — Hypergraph table representation</w:t>
            </w:r>
          </w:p>
        </w:tc>
        <w:tc>
          <w:tcPr/>
          <w:p>
            <w:pPr>
              <w:pStyle w:val="Compact"/>
              <w:jc w:val="left"/>
            </w:pPr>
            <w:r>
              <w:t xml:space="preserve">Hypergraph NNs (7.3, staged)</w:t>
            </w:r>
          </w:p>
        </w:tc>
        <w:tc>
          <w:tcPr/>
          <w:p>
            <w:pPr>
              <w:pStyle w:val="Compact"/>
              <w:jc w:val="left"/>
            </w:pPr>
            <w:r>
              <w:t xml:space="preserve">Mid-term</w:t>
            </w:r>
          </w:p>
        </w:tc>
        <w:tc>
          <w:tcPr/>
          <w:p>
            <w:pPr>
              <w:pStyle w:val="Compact"/>
              <w:jc w:val="left"/>
            </w:pPr>
            <w:r>
              <w:t xml:space="preserve">None</w:t>
            </w:r>
          </w:p>
        </w:tc>
        <w:tc>
          <w:tcPr/>
          <w:p>
            <w:pPr>
              <w:pStyle w:val="Compact"/>
              <w:jc w:val="left"/>
            </w:pPr>
            <w:r>
              <w:t xml:space="preserve">DHG or HyperNetX</w:t>
            </w:r>
          </w:p>
        </w:tc>
      </w:tr>
      <w:tr>
        <w:tc>
          <w:tcPr/>
          <w:p>
            <w:pPr>
              <w:pStyle w:val="Compact"/>
              <w:jc w:val="left"/>
            </w:pPr>
            <w:r>
              <w:t xml:space="preserve">B3 — GW template comparator</w:t>
            </w:r>
          </w:p>
        </w:tc>
        <w:tc>
          <w:tcPr/>
          <w:p>
            <w:pPr>
              <w:pStyle w:val="Compact"/>
              <w:jc w:val="left"/>
            </w:pPr>
            <w:r>
              <w:t xml:space="preserve">Optimal transport (4.3)</w:t>
            </w:r>
          </w:p>
        </w:tc>
        <w:tc>
          <w:tcPr/>
          <w:p>
            <w:pPr>
              <w:pStyle w:val="Compact"/>
              <w:jc w:val="left"/>
            </w:pPr>
            <w:r>
              <w:t xml:space="preserve">Mid-term</w:t>
            </w:r>
          </w:p>
        </w:tc>
        <w:tc>
          <w:tcPr/>
          <w:p>
            <w:pPr>
              <w:pStyle w:val="Compact"/>
              <w:jc w:val="left"/>
            </w:pPr>
            <w:r>
              <w:t xml:space="preserve">None</w:t>
            </w:r>
          </w:p>
        </w:tc>
        <w:tc>
          <w:tcPr/>
          <w:p>
            <w:pPr>
              <w:pStyle w:val="Compact"/>
              <w:jc w:val="left"/>
            </w:pPr>
            <w:r>
              <w:t xml:space="preserve">POT library (shared w/ A1)</w:t>
            </w:r>
          </w:p>
        </w:tc>
      </w:tr>
      <w:tr>
        <w:tc>
          <w:tcPr/>
          <w:p>
            <w:pPr>
              <w:pStyle w:val="Compact"/>
              <w:jc w:val="left"/>
            </w:pPr>
            <w:r>
              <w:t xml:space="preserve">B4 — IB-calibrated master objective</w:t>
            </w:r>
          </w:p>
        </w:tc>
        <w:tc>
          <w:tcPr/>
          <w:p>
            <w:pPr>
              <w:pStyle w:val="Compact"/>
              <w:jc w:val="left"/>
            </w:pPr>
            <w:r>
              <w:t xml:space="preserve">Information bottleneck (5.5)</w:t>
            </w:r>
          </w:p>
        </w:tc>
        <w:tc>
          <w:tcPr/>
          <w:p>
            <w:pPr>
              <w:pStyle w:val="Compact"/>
              <w:jc w:val="left"/>
            </w:pPr>
            <w:r>
              <w:t xml:space="preserve">Mid-term</w:t>
            </w:r>
          </w:p>
        </w:tc>
        <w:tc>
          <w:tcPr/>
          <w:p>
            <w:pPr>
              <w:pStyle w:val="Compact"/>
              <w:jc w:val="left"/>
            </w:pPr>
            <w:r>
              <w:t xml:space="preserve">None</w:t>
            </w:r>
          </w:p>
        </w:tc>
        <w:tc>
          <w:tcPr/>
          <w:p>
            <w:pPr>
              <w:pStyle w:val="Compact"/>
              <w:jc w:val="left"/>
            </w:pPr>
            <w:r>
              <w:t xml:space="preserve">None (reuses Sec. 10 diagnostics)</w:t>
            </w:r>
          </w:p>
        </w:tc>
      </w:tr>
      <w:tr>
        <w:tc>
          <w:tcPr/>
          <w:p>
            <w:pPr>
              <w:pStyle w:val="Compact"/>
              <w:jc w:val="left"/>
            </w:pPr>
            <w:r>
              <w:t xml:space="preserve">C1 — Full IB value function</w:t>
            </w:r>
          </w:p>
        </w:tc>
        <w:tc>
          <w:tcPr/>
          <w:p>
            <w:pPr>
              <w:pStyle w:val="Compact"/>
              <w:jc w:val="left"/>
            </w:pPr>
            <w:r>
              <w:t xml:space="preserve">Information bottleneck (5.3)</w:t>
            </w:r>
          </w:p>
        </w:tc>
        <w:tc>
          <w:tcPr/>
          <w:p>
            <w:pPr>
              <w:pStyle w:val="Compact"/>
              <w:jc w:val="left"/>
            </w:pPr>
            <w:r>
              <w:t xml:space="preserve">Long-term</w:t>
            </w:r>
          </w:p>
        </w:tc>
        <w:tc>
          <w:tcPr/>
          <w:p>
            <w:pPr>
              <w:pStyle w:val="Compact"/>
              <w:jc w:val="left"/>
            </w:pPr>
            <w:r>
              <w:t xml:space="preserve">B4</w:t>
            </w:r>
          </w:p>
        </w:tc>
        <w:tc>
          <w:tcPr/>
          <w:p>
            <w:pPr>
              <w:pStyle w:val="Compact"/>
              <w:jc w:val="left"/>
            </w:pPr>
            <w:r>
              <w:t xml:space="preserve">Training pipeline + labeled corpus</w:t>
            </w:r>
          </w:p>
        </w:tc>
      </w:tr>
      <w:tr>
        <w:tc>
          <w:tcPr/>
          <w:p>
            <w:pPr>
              <w:pStyle w:val="Compact"/>
              <w:jc w:val="left"/>
            </w:pPr>
            <w:r>
              <w:t xml:space="preserve">C2 — Trained HGNN scoring layer</w:t>
            </w:r>
          </w:p>
        </w:tc>
        <w:tc>
          <w:tcPr/>
          <w:p>
            <w:pPr>
              <w:pStyle w:val="Compact"/>
              <w:jc w:val="left"/>
            </w:pPr>
            <w:r>
              <w:t xml:space="preserve">Hypergraph NNs (7.4, phase 2)</w:t>
            </w:r>
          </w:p>
        </w:tc>
        <w:tc>
          <w:tcPr/>
          <w:p>
            <w:pPr>
              <w:pStyle w:val="Compact"/>
              <w:jc w:val="left"/>
            </w:pPr>
            <w:r>
              <w:t xml:space="preserve">Long-term</w:t>
            </w:r>
          </w:p>
        </w:tc>
        <w:tc>
          <w:tcPr/>
          <w:p>
            <w:pPr>
              <w:pStyle w:val="Compact"/>
              <w:jc w:val="left"/>
            </w:pPr>
            <w:r>
              <w:t xml:space="preserve">B2</w:t>
            </w:r>
          </w:p>
        </w:tc>
        <w:tc>
          <w:tcPr/>
          <w:p>
            <w:pPr>
              <w:pStyle w:val="Compact"/>
              <w:jc w:val="left"/>
            </w:pPr>
            <w:r>
              <w:t xml:space="preserve">Training pipeline + labeled corpus</w:t>
            </w:r>
          </w:p>
        </w:tc>
      </w:tr>
      <w:tr>
        <w:tc>
          <w:tcPr/>
          <w:p>
            <w:pPr>
              <w:pStyle w:val="Compact"/>
              <w:jc w:val="left"/>
            </w:pPr>
            <w:r>
              <w:t xml:space="preserve">C3 — Neural warm-start solver</w:t>
            </w:r>
          </w:p>
        </w:tc>
        <w:tc>
          <w:tcPr/>
          <w:p>
            <w:pPr>
              <w:pStyle w:val="Compact"/>
              <w:jc w:val="left"/>
            </w:pPr>
            <w:r>
              <w:t xml:space="preserve">Neural combinatorial optimization (6.4)</w:t>
            </w:r>
          </w:p>
        </w:tc>
        <w:tc>
          <w:tcPr/>
          <w:p>
            <w:pPr>
              <w:pStyle w:val="Compact"/>
              <w:jc w:val="left"/>
            </w:pPr>
            <w:r>
              <w:t xml:space="preserve">Long-term</w:t>
            </w:r>
          </w:p>
        </w:tc>
        <w:tc>
          <w:tcPr/>
          <w:p>
            <w:pPr>
              <w:pStyle w:val="Compact"/>
              <w:jc w:val="left"/>
            </w:pPr>
            <w:r>
              <w:t xml:space="preserve">Production instance volume</w:t>
            </w:r>
          </w:p>
        </w:tc>
        <w:tc>
          <w:tcPr/>
          <w:p>
            <w:pPr>
              <w:pStyle w:val="Compact"/>
              <w:jc w:val="left"/>
            </w:pPr>
            <w:r>
              <w:t xml:space="preserve">Training pipeline + production data collection</w:t>
            </w:r>
          </w:p>
        </w:tc>
      </w:tr>
    </w:tbl>
    <w:bookmarkEnd w:id="44"/>
    <w:bookmarkStart w:id="48" w:name="implementation-sequencing-plan"/>
    <w:p>
      <w:pPr>
        <w:pStyle w:val="Heading2"/>
      </w:pPr>
      <w:r>
        <w:t xml:space="preserve">7. Implementation Sequencing Plan</w:t>
      </w:r>
    </w:p>
    <w:bookmarkStart w:id="45" w:name="recommended-build-order"/>
    <w:p>
      <w:pPr>
        <w:pStyle w:val="Heading3"/>
      </w:pPr>
      <w:r>
        <w:t xml:space="preserve">7.1 Recommended Build Order</w:t>
      </w:r>
    </w:p>
    <w:p>
      <w:pPr>
        <w:pStyle w:val="FirstParagraph"/>
      </w:pPr>
      <w:r>
        <w:t xml:space="preserve">Table 7.1 gives a recommended sequencing, distinct from the risk tiering of Sections 2-4 (which groups by risk level) — this sequencing instead orders by dependency and by which features unlock the most subsequent work, consistent with the general principle already established in the Feasibility and Validation Report’s Section 2.5 schedule table: work that requires no new training data should proceed in parallel with, rather than blocking on, work that does.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Features</w:t>
            </w:r>
          </w:p>
        </w:tc>
        <w:tc>
          <w:tcPr/>
          <w:p>
            <w:pPr>
              <w:pStyle w:val="Compact"/>
              <w:jc w:val="left"/>
            </w:pPr>
            <w:r>
              <w:t xml:space="preserve">Rationale</w:t>
            </w:r>
          </w:p>
        </w:tc>
      </w:tr>
      <w:tr>
        <w:tc>
          <w:tcPr/>
          <w:p>
            <w:pPr>
              <w:pStyle w:val="Compact"/>
              <w:jc w:val="left"/>
            </w:pPr>
            <w:r>
              <w:t xml:space="preserve">Phase 1 (parallel)</w:t>
            </w:r>
          </w:p>
        </w:tc>
        <w:tc>
          <w:tcPr/>
          <w:p>
            <w:pPr>
              <w:pStyle w:val="Compact"/>
              <w:jc w:val="left"/>
            </w:pPr>
            <w:r>
              <w:t xml:space="preserve">A1, A2, B4</w:t>
            </w:r>
          </w:p>
        </w:tc>
        <w:tc>
          <w:tcPr/>
          <w:p>
            <w:pPr>
              <w:pStyle w:val="Compact"/>
              <w:jc w:val="left"/>
            </w:pPr>
            <w:r>
              <w:t xml:space="preserve">All three require no new solver architecture, no new trained model, and no dependency on any other feature in this document — the lowest-friction starting set</w:t>
            </w:r>
          </w:p>
        </w:tc>
      </w:tr>
      <w:tr>
        <w:tc>
          <w:tcPr/>
          <w:p>
            <w:pPr>
              <w:pStyle w:val="Compact"/>
              <w:jc w:val="left"/>
            </w:pPr>
            <w:r>
              <w:t xml:space="preserve">Phase 2 (parallel, after Phase 1’s libraries are integrated)</w:t>
            </w:r>
          </w:p>
        </w:tc>
        <w:tc>
          <w:tcPr/>
          <w:p>
            <w:pPr>
              <w:pStyle w:val="Compact"/>
              <w:jc w:val="left"/>
            </w:pPr>
            <w:r>
              <w:t xml:space="preserve">B1, B2, B3</w:t>
            </w:r>
          </w:p>
        </w:tc>
        <w:tc>
          <w:tcPr/>
          <w:p>
            <w:pPr>
              <w:pStyle w:val="Compact"/>
              <w:jc w:val="left"/>
            </w:pPr>
            <w:r>
              <w:t xml:space="preserve">Each requires a new library dependency (SubModLib, DHG, POT-reuse) and new solver/comparison logic, but still no trained model; B1 and B3 share the POT dependency Phase 1’s A1 already introduces, reducing incremental integration cost</w:t>
            </w:r>
          </w:p>
        </w:tc>
      </w:tr>
      <w:tr>
        <w:tc>
          <w:tcPr/>
          <w:p>
            <w:pPr>
              <w:pStyle w:val="Compact"/>
              <w:jc w:val="left"/>
            </w:pPr>
            <w:r>
              <w:t xml:space="preserve">Phase 3 (gated, sequential)</w:t>
            </w:r>
          </w:p>
        </w:tc>
        <w:tc>
          <w:tcPr/>
          <w:p>
            <w:pPr>
              <w:pStyle w:val="Compact"/>
              <w:jc w:val="left"/>
            </w:pPr>
            <w:r>
              <w:t xml:space="preserve">C2 (after B2’s pilot), C1 (after B4’s pilot)</w:t>
            </w:r>
          </w:p>
        </w:tc>
        <w:tc>
          <w:tcPr/>
          <w:p>
            <w:pPr>
              <w:pStyle w:val="Compact"/>
              <w:jc w:val="left"/>
            </w:pPr>
            <w:r>
              <w:t xml:space="preserve">Both require a labeled training corpus and a training pipeline that does not yet exist; each is explicitly gated behind its Phase 1/2 prerequisite demonstrating sufficient standalone value to justify the added training/maintenance cost</w:t>
            </w:r>
          </w:p>
        </w:tc>
      </w:tr>
      <w:tr>
        <w:tc>
          <w:tcPr/>
          <w:p>
            <w:pPr>
              <w:pStyle w:val="Compact"/>
              <w:jc w:val="left"/>
            </w:pPr>
            <w:r>
              <w:t xml:space="preserve">Phase 4 (gated, longest-horizon)</w:t>
            </w:r>
          </w:p>
        </w:tc>
        <w:tc>
          <w:tcPr/>
          <w:p>
            <w:pPr>
              <w:pStyle w:val="Compact"/>
              <w:jc w:val="left"/>
            </w:pPr>
            <w:r>
              <w:t xml:space="preserve">C3</w:t>
            </w:r>
          </w:p>
        </w:tc>
        <w:tc>
          <w:tcPr/>
          <w:p>
            <w:pPr>
              <w:pStyle w:val="Compact"/>
              <w:jc w:val="left"/>
            </w:pPr>
            <w:r>
              <w:t xml:space="preserve">Requires production-scale operational data volume that can only be collected after Phases 1-2 are already deployed and generating real traffic through the solver hierarchy those features do not change</w:t>
            </w:r>
          </w:p>
        </w:tc>
      </w:tr>
    </w:tbl>
    <w:bookmarkEnd w:id="45"/>
    <w:bookmarkStart w:id="46" w:name="minimum-viable-enhancement-set"/>
    <w:p>
      <w:pPr>
        <w:pStyle w:val="Heading3"/>
      </w:pPr>
      <w:r>
        <w:t xml:space="preserve">7.2 Minimum Viable Enhancement Set</w:t>
      </w:r>
    </w:p>
    <w:p>
      <w:pPr>
        <w:pStyle w:val="FirstParagraph"/>
      </w:pPr>
      <w:r>
        <w:t xml:space="preserve">If resource constraints require selecting a subset rather than the full nine-feature program, this report recommends Features A1, A2, and B1 as the minimum viable set: A1 and A2 close the two evidentiary gaps this body of work has most consistently flagged as high-priority and low-cost (a graded reading-order metric; the long-unimplemented Topology Engine), and B1 addresses the single highest-leverage finding of the Enhancement Research Report (the submodular reformulation of context packing) at Medium rather than High integration risk. Together these three features require no new trained model, no new labeled corpus, and touch three different, largely-independent parts of the pipeline (evaluation metrics, table structure, and context packing respectively), minimizing the risk that a delay or failure in any one blocks the others.</w:t>
      </w:r>
    </w:p>
    <w:bookmarkEnd w:id="46"/>
    <w:bookmarkStart w:id="47" w:name="X3671fce7d1e094f980fd6ac81ee550324fade04"/>
    <w:p>
      <w:pPr>
        <w:pStyle w:val="Heading3"/>
      </w:pPr>
      <w:r>
        <w:t xml:space="preserve">7.3 What Successful Completion of This Roadmap Would Change</w:t>
      </w:r>
    </w:p>
    <w:p>
      <w:pPr>
        <w:pStyle w:val="FirstParagraph"/>
      </w:pPr>
      <w:r>
        <w:t xml:space="preserve">If all nine features reach the Established evidentiary tier (per the Feasibility and Validation Report’s three-tier vocabulary), AEGIS’s architecture would change in four concrete, testable ways relative to its current state: reading-order quality would be measured on a continuous scale rather than only a binary hit-rate; the Topology Engine would exist as a real, tested component rather than an unimplemented placeholder; context packing would carry a strictly stronger worst-case guarantee ((1−1/e) versus the current 1/2) while natively handling redundancy without a separately-tuned heuristic filter; and table structure would be representable at the fidelity real merged-cell and multi-level-header documents require, rather than approximated through pairwise adjacency alone. Each of these four changes is independently valuable and independently shippable — this document’s staging is explicitly designed so that partial completion still yields real, usable improvements rather than requiring all nine features to land together before any of them provide value.</w:t>
      </w:r>
    </w:p>
    <w:bookmarkEnd w:id="47"/>
    <w:bookmarkEnd w:id="48"/>
    <w:bookmarkStart w:id="49" w:name="conclusion"/>
    <w:p>
      <w:pPr>
        <w:pStyle w:val="Heading2"/>
      </w:pPr>
      <w:r>
        <w:t xml:space="preserve">Conclusion</w:t>
      </w:r>
    </w:p>
    <w:p>
      <w:pPr>
        <w:pStyle w:val="FirstParagraph"/>
      </w:pPr>
      <w:r>
        <w:t xml:space="preserve">This document translated the Enhancement Research Report’s six mathematically-grounded techniques into nine concretely specified, independently buildable features, each following an identical seven-part template (description, data structures, algorithm, module/interface, integration point, dependencies, test plan) so that implementation work can begin from a specification rather than from the underlying mathematics alone. Consistent with every prior document in this body of work, this specification is itself a plan, not a claim of completion: no feature described here has been implemented or tested against AEGIS’s reference codebase, and each feature’s promotion from</w:t>
      </w:r>
      <w:r>
        <w:t xml:space="preserve"> </w:t>
      </w:r>
      <w:r>
        <w:t xml:space="preserve">“</w:t>
      </w:r>
      <w:r>
        <w:t xml:space="preserve">specified</w:t>
      </w:r>
      <w:r>
        <w:t xml:space="preserve">”</w:t>
      </w:r>
      <w:r>
        <w:t xml:space="preserve"> </w:t>
      </w:r>
      <w:r>
        <w:t xml:space="preserve">to</w:t>
      </w:r>
      <w:r>
        <w:t xml:space="preserve"> </w:t>
      </w:r>
      <w:r>
        <w:t xml:space="preserve">“</w:t>
      </w:r>
      <w:r>
        <w:t xml:space="preserve">Established</w:t>
      </w:r>
      <w:r>
        <w:t xml:space="preserve">”</w:t>
      </w:r>
      <w:r>
        <w:t xml:space="preserve"> </w:t>
      </w:r>
      <w:r>
        <w:t xml:space="preserve">depends on executing the exact test plan given for it in Sections 2-4, following the same evidentiary discipline the Feasibility and Validation Report and the Implementation and Credibility Test Cases document already apply to every other AEGIS claim. The recommended near-term path (Section 7.2’s minimum viable set — Features A1, A2, and B1) offers the highest-value, lowest-risk starting point: three features requiring no new training data, addressing this body of work’s most consistently flagged gaps, and independently shippable without waiting on each other or on any longer-horizon, trained-model-dependent feature in Feature Group C.</w:t>
      </w:r>
    </w:p>
    <w:bookmarkEnd w:id="49"/>
    <w:bookmarkEnd w:id="50"/>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sz w:val="23"/>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00" w:before="36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pageBreakBefore/>
      <w:spacing w:after="200" w:before="36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AEGIS-DocIntel / AMDI-OS</dc:title>
  <dc:creator>Sahil Khutey, with AI Research Collaborator (Gensouls Lab)</dc:creator>
  <cp:keywords/>
  <dcterms:created xsi:type="dcterms:W3CDTF">2026-07-18T15:15:23Z</dcterms:created>
  <dcterms:modified xsi:type="dcterms:W3CDTF">2026-07-18T15:15:23Z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subtitle">
    <vt:lpwstr>Implementation Specification: Turning Enhancement Concepts into Working Components</vt:lpwstr>
  </property>
</Properties>
</file>