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0B1220"/>
          <w:sz w:val="56"/>
          <w:szCs w:val="56"/>
        </w:rPr>
        <w:t xml:space="preserve">EMIPredict AI</w:t>
      </w:r>
    </w:p>
    <w:p>
      <w:pPr>
        <w:spacing w:after="80"/>
      </w:pPr>
      <w:r>
        <w:rPr>
          <w:rFonts w:ascii="Calibri" w:cs="Calibri" w:eastAsia="Calibri" w:hAnsi="Calibri"/>
          <w:color w:val="1D4ED8"/>
          <w:sz w:val="30"/>
          <w:szCs w:val="30"/>
        </w:rPr>
        <w:t xml:space="preserve">Intelligent Financial Risk Assessment Platform</w:t>
      </w:r>
    </w:p>
    <w:p>
      <w:pPr>
        <w:pBdr>
          <w:bottom w:val="single" w:color="1D4ED8" w:sz="8" w:space="8"/>
        </w:pBdr>
        <w:spacing w:after="500"/>
      </w:pPr>
      <w:r>
        <w:rPr>
          <w:rFonts w:ascii="Calibri" w:cs="Calibri" w:eastAsia="Calibri" w:hAnsi="Calibri"/>
          <w:color w:val="5B6678"/>
          <w:sz w:val="22"/>
          <w:szCs w:val="22"/>
        </w:rPr>
        <w:t xml:space="preserve">Business Impact Assessment and Recommendations</w:t>
      </w:r>
    </w:p>
    <w:tbl>
      <w:tblPr>
        <w:tblW w:type="dxa" w:w="9026"/>
        <w:tblBorders>
          <w:top w:val="single" w:color="BFD3F5" w:sz="2"/>
          <w:left w:val="single" w:color="1D4ED8" w:sz="18"/>
          <w:bottom w:val="single" w:color="BFD3F5" w:sz="2"/>
          <w:right w:val="single" w:color="BFD3F5" w:sz="2"/>
          <w:insideH w:val="none"/>
          <w:insideV w:val="none"/>
        </w:tblBorders>
      </w:tblPr>
      <w:tblGrid>
        <w:gridCol w:w="9026"/>
      </w:tblGrid>
      <w:tr>
        <w:tc>
          <w:tcPr>
            <w:tcW w:type="dxa" w:w="9026"/>
            <w:shd w:fill="EEF4FF" w:color="auto" w:val="clear"/>
            <w:tcMar>
              <w:top w:type="dxa" w:w="150"/>
              <w:left w:type="dxa" w:w="200"/>
              <w:bottom w:type="dxa" w:w="150"/>
              <w:right w:type="dxa" w:w="200"/>
            </w:tcMar>
          </w:tcPr>
          <w:p>
            <w:pPr>
              <w:spacing w:after="60"/>
            </w:pPr>
            <w:r>
              <w:rPr>
                <w:rFonts w:ascii="Calibri" w:cs="Calibri" w:eastAsia="Calibri" w:hAnsi="Calibri"/>
                <w:b/>
                <w:bCs/>
                <w:color w:val="0B1220"/>
                <w:sz w:val="20"/>
                <w:szCs w:val="20"/>
              </w:rPr>
              <w:t xml:space="preserve">Headline</w:t>
            </w:r>
          </w:p>
          <w:p>
            <w:pPr>
              <w:spacing w:after="0" w:line="276"/>
            </w:pPr>
            <w:r>
              <w:rPr>
                <w:rFonts w:ascii="Calibri" w:cs="Calibri" w:eastAsia="Calibri" w:hAnsi="Calibri"/>
                <w:color w:val="1F2937"/>
                <w:sz w:val="20"/>
                <w:szCs w:val="20"/>
              </w:rPr>
              <w:t xml:space="preserve">A machine learning platform that decides EMI eligibility and calculates safe borrowing capacity in milliseconds, at 95.2% accuracy, across five lending products. It converts an inconsistent manual judgement into a uniform, auditable and instant decision.</w:t>
            </w:r>
          </w:p>
        </w:tc>
      </w:tr>
    </w:tbl>
    <w:p>
      <w:r>
        <w:br w:type="page"/>
      </w:r>
    </w:p>
    <w:p>
      <w:pPr>
        <w:pStyle w:val="Heading1"/>
        <w:spacing w:after="160" w:before="340"/>
      </w:pPr>
      <w:r>
        <w:rPr>
          <w:rFonts w:ascii="Calibri" w:cs="Calibri" w:eastAsia="Calibri" w:hAnsi="Calibri"/>
          <w:b/>
          <w:bCs/>
          <w:color w:val="0B1220"/>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40"/>
      </w:pPr>
      <w:r>
        <w:rPr>
          <w:rFonts w:ascii="Calibri" w:cs="Calibri" w:eastAsia="Calibri" w:hAnsi="Calibri"/>
          <w:b/>
          <w:bCs/>
          <w:color w:val="0B1220"/>
          <w:sz w:val="30"/>
          <w:szCs w:val="30"/>
        </w:rPr>
        <w:t xml:space="preserve">1. Executive Summary</w:t>
      </w:r>
    </w:p>
    <w:p>
      <w:pPr>
        <w:spacing w:after="120" w:line="276"/>
      </w:pPr>
      <w:r>
        <w:rPr>
          <w:rFonts w:ascii="Calibri" w:cs="Calibri" w:eastAsia="Calibri" w:hAnsi="Calibri"/>
          <w:color w:val="1F2937"/>
          <w:sz w:val="21"/>
          <w:szCs w:val="21"/>
        </w:rPr>
        <w:t xml:space="preserve">Lending institutions face a recurring problem: borrowers commit to instalments they cannot sustain. The cost is borne twice — by the customer through default and financial distress, and by the lender through provisioning and collection costs. The root cause is that affordability is assessed inconsistently, slowly and often subjectively.</w:t>
      </w:r>
    </w:p>
    <w:p>
      <w:pPr>
        <w:spacing w:after="120" w:line="276"/>
      </w:pPr>
      <w:r>
        <w:rPr>
          <w:rFonts w:ascii="Calibri" w:cs="Calibri" w:eastAsia="Calibri" w:hAnsi="Calibri"/>
          <w:color w:val="1F2937"/>
          <w:sz w:val="21"/>
          <w:szCs w:val="21"/>
        </w:rPr>
        <w:t xml:space="preserve">EMIPredict AI addresses this with two models working together. The first classifies an application as Eligible, High Risk or Not Eligible. The second calculates the maximum monthly instalment the applicant can safely service. Together they answer not only whether to lend, but how much is prudent to lend.</w:t>
      </w:r>
    </w:p>
    <w:tbl>
      <w:tblPr>
        <w:tblW w:type="dxa" w:w="9026"/>
        <w:tblBorders>
          <w:top w:val="single" w:color="C9D1DC" w:sz="4"/>
          <w:left w:val="none"/>
          <w:bottom w:val="single" w:color="C9D1DC" w:sz="4"/>
          <w:right w:val="none"/>
          <w:insideH w:val="single" w:color="E2E8F0" w:sz="2"/>
          <w:insideV w:val="none"/>
        </w:tblBorders>
      </w:tblPr>
      <w:tblGrid>
        <w:gridCol w:w="3400"/>
        <w:gridCol w:w="2400"/>
        <w:gridCol w:w="3226"/>
      </w:tblGrid>
      <w:tr>
        <w:trPr>
          <w:tblHeader/>
        </w:trPr>
        <w:tc>
          <w:tcPr>
            <w:tcW w:type="dxa" w:w="3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Capability</w:t>
            </w:r>
          </w:p>
        </w:tc>
        <w:tc>
          <w:tcPr>
            <w:tcW w:type="dxa" w:w="2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Performance</w:t>
            </w:r>
          </w:p>
        </w:tc>
        <w:tc>
          <w:tcPr>
            <w:tcW w:type="dxa" w:w="32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Business meaning</w:t>
            </w:r>
          </w:p>
        </w:tc>
      </w:tr>
      <w:tr>
        <w:tc>
          <w:tcPr>
            <w:tcW w:type="dxa" w:w="3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Eligibility decision</w:t>
            </w:r>
          </w:p>
        </w:tc>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95.2% accuracy</w:t>
            </w:r>
          </w:p>
        </w:tc>
        <w:tc>
          <w:tcPr>
            <w:tcW w:type="dxa" w:w="32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Approximately 19 of every 20 applications classified correctly on unseen data</w:t>
            </w:r>
          </w:p>
        </w:tc>
      </w:tr>
      <w:tr>
        <w:tc>
          <w:tcPr>
            <w:tcW w:type="dxa" w:w="3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Affordability estimate</w:t>
            </w:r>
          </w:p>
        </w:tc>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±₹600 typical error</w:t>
            </w:r>
          </w:p>
        </w:tc>
        <w:tc>
          <w:tcPr>
            <w:tcW w:type="dxa" w:w="32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Instalment capacity accurate to within a few hundred rupees per month</w:t>
            </w:r>
          </w:p>
        </w:tc>
      </w:tr>
      <w:tr>
        <w:tc>
          <w:tcPr>
            <w:tcW w:type="dxa" w:w="3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Decision latency</w:t>
            </w:r>
          </w:p>
        </w:tc>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Milliseconds</w:t>
            </w:r>
          </w:p>
        </w:tc>
        <w:tc>
          <w:tcPr>
            <w:tcW w:type="dxa" w:w="32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Instant assessment at the point of application</w:t>
            </w:r>
          </w:p>
        </w:tc>
      </w:tr>
      <w:tr>
        <w:tc>
          <w:tcPr>
            <w:tcW w:type="dxa" w:w="3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Product coverage</w:t>
            </w:r>
          </w:p>
        </w:tc>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5 lending products</w:t>
            </w:r>
          </w:p>
        </w:tc>
        <w:tc>
          <w:tcPr>
            <w:tcW w:type="dxa" w:w="32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One consistent policy across e-commerce, appliances, vehicle, personal and education finance</w:t>
            </w:r>
          </w:p>
        </w:tc>
      </w:tr>
    </w:tbl>
    <w:p>
      <w:pPr>
        <w:spacing w:after="200" w:before="60"/>
      </w:pPr>
      <w:r>
        <w:rPr>
          <w:rFonts w:ascii="Calibri" w:cs="Calibri" w:eastAsia="Calibri" w:hAnsi="Calibri"/>
          <w:i/>
          <w:iCs/>
          <w:color w:val="5B6678"/>
          <w:sz w:val="17"/>
          <w:szCs w:val="17"/>
        </w:rPr>
        <w:t xml:space="preserve">Table 1. Platform capabilities and their business interpretation.</w:t>
      </w:r>
    </w:p>
    <w:p>
      <w:pPr>
        <w:spacing w:after="120" w:line="276"/>
      </w:pPr>
      <w:r>
        <w:rPr>
          <w:rFonts w:ascii="Calibri" w:cs="Calibri" w:eastAsia="Calibri" w:hAnsi="Calibri"/>
          <w:color w:val="1F2937"/>
          <w:sz w:val="21"/>
          <w:szCs w:val="21"/>
        </w:rPr>
        <w:t xml:space="preserve">The value is not only in accuracy. Because every training run is tracked and every production model versioned, the institution can demonstrate to a regulator exactly which model made a decision, what it was trained on and how it performed — an increasingly common requirement in credit decisioning.</w:t>
      </w:r>
    </w:p>
    <w:p>
      <w:pPr>
        <w:pStyle w:val="Heading1"/>
        <w:spacing w:after="160" w:before="340"/>
      </w:pPr>
      <w:r>
        <w:rPr>
          <w:rFonts w:ascii="Calibri" w:cs="Calibri" w:eastAsia="Calibri" w:hAnsi="Calibri"/>
          <w:b/>
          <w:bCs/>
          <w:color w:val="0B1220"/>
          <w:sz w:val="30"/>
          <w:szCs w:val="30"/>
        </w:rPr>
        <w:t xml:space="preserve">2. Business Use Cases</w:t>
      </w:r>
    </w:p>
    <w:p>
      <w:pPr>
        <w:pStyle w:val="Heading2"/>
        <w:spacing w:after="120" w:before="260"/>
      </w:pPr>
      <w:r>
        <w:rPr>
          <w:rFonts w:ascii="Calibri" w:cs="Calibri" w:eastAsia="Calibri" w:hAnsi="Calibri"/>
          <w:b/>
          <w:bCs/>
          <w:color w:val="1D4ED8"/>
          <w:sz w:val="24"/>
          <w:szCs w:val="24"/>
        </w:rPr>
        <w:t xml:space="preserve">2.1 Financial institutions</w:t>
      </w:r>
    </w:p>
    <w:p>
      <w:pPr>
        <w:pStyle w:val="ListParagraph"/>
        <w:numPr>
          <w:ilvl w:val="0"/>
          <w:numId w:val="2"/>
        </w:numPr>
        <w:spacing w:after="70" w:line="276"/>
      </w:pPr>
      <w:r>
        <w:rPr>
          <w:rFonts w:ascii="Calibri" w:cs="Calibri" w:eastAsia="Calibri" w:hAnsi="Calibri"/>
          <w:color w:val="1F2937"/>
          <w:sz w:val="21"/>
          <w:szCs w:val="21"/>
        </w:rPr>
        <w:t xml:space="preserve">Automate the first-pass affordability assessment, reserving underwriter time for marginal and complex cases.</w:t>
      </w:r>
    </w:p>
    <w:p>
      <w:pPr>
        <w:pStyle w:val="ListParagraph"/>
        <w:numPr>
          <w:ilvl w:val="0"/>
          <w:numId w:val="2"/>
        </w:numPr>
        <w:spacing w:after="70" w:line="276"/>
      </w:pPr>
      <w:r>
        <w:rPr>
          <w:rFonts w:ascii="Calibri" w:cs="Calibri" w:eastAsia="Calibri" w:hAnsi="Calibri"/>
          <w:color w:val="1F2937"/>
          <w:sz w:val="21"/>
          <w:szCs w:val="21"/>
        </w:rPr>
        <w:t xml:space="preserve">Apply risk-based pricing rather than binary rejection, using the High Risk class as a distinct commercial segment.</w:t>
      </w:r>
    </w:p>
    <w:p>
      <w:pPr>
        <w:pStyle w:val="ListParagraph"/>
        <w:numPr>
          <w:ilvl w:val="0"/>
          <w:numId w:val="2"/>
        </w:numPr>
        <w:spacing w:after="70" w:line="276"/>
      </w:pPr>
      <w:r>
        <w:rPr>
          <w:rFonts w:ascii="Calibri" w:cs="Calibri" w:eastAsia="Calibri" w:hAnsi="Calibri"/>
          <w:color w:val="1F2937"/>
          <w:sz w:val="21"/>
          <w:szCs w:val="21"/>
        </w:rPr>
        <w:t xml:space="preserve">Deliver real-time eligibility decisions to walk-in customers instead of a multi-day turnaround.</w:t>
      </w:r>
    </w:p>
    <w:p>
      <w:pPr>
        <w:pStyle w:val="Heading2"/>
        <w:spacing w:after="120" w:before="260"/>
      </w:pPr>
      <w:r>
        <w:rPr>
          <w:rFonts w:ascii="Calibri" w:cs="Calibri" w:eastAsia="Calibri" w:hAnsi="Calibri"/>
          <w:b/>
          <w:bCs/>
          <w:color w:val="1D4ED8"/>
          <w:sz w:val="24"/>
          <w:szCs w:val="24"/>
        </w:rPr>
        <w:t xml:space="preserve">2.2 FinTech and digital lending</w:t>
      </w:r>
    </w:p>
    <w:p>
      <w:pPr>
        <w:pStyle w:val="ListParagraph"/>
        <w:numPr>
          <w:ilvl w:val="0"/>
          <w:numId w:val="2"/>
        </w:numPr>
        <w:spacing w:after="70" w:line="276"/>
      </w:pPr>
      <w:r>
        <w:rPr>
          <w:rFonts w:ascii="Calibri" w:cs="Calibri" w:eastAsia="Calibri" w:hAnsi="Calibri"/>
          <w:color w:val="1F2937"/>
          <w:sz w:val="21"/>
          <w:szCs w:val="21"/>
        </w:rPr>
        <w:t xml:space="preserve">Instant eligibility checks embedded directly in a digital application journey.</w:t>
      </w:r>
    </w:p>
    <w:p>
      <w:pPr>
        <w:pStyle w:val="ListParagraph"/>
        <w:numPr>
          <w:ilvl w:val="0"/>
          <w:numId w:val="2"/>
        </w:numPr>
        <w:spacing w:after="70" w:line="276"/>
      </w:pPr>
      <w:r>
        <w:rPr>
          <w:rFonts w:ascii="Calibri" w:cs="Calibri" w:eastAsia="Calibri" w:hAnsi="Calibri"/>
          <w:color w:val="1F2937"/>
          <w:sz w:val="21"/>
          <w:szCs w:val="21"/>
        </w:rPr>
        <w:t xml:space="preserve">Pre-qualification within mobile apps, so customers see realistic offers before applying.</w:t>
      </w:r>
    </w:p>
    <w:p>
      <w:pPr>
        <w:pStyle w:val="ListParagraph"/>
        <w:numPr>
          <w:ilvl w:val="0"/>
          <w:numId w:val="2"/>
        </w:numPr>
        <w:spacing w:after="70" w:line="276"/>
      </w:pPr>
      <w:r>
        <w:rPr>
          <w:rFonts w:ascii="Calibri" w:cs="Calibri" w:eastAsia="Calibri" w:hAnsi="Calibri"/>
          <w:color w:val="1F2937"/>
          <w:sz w:val="21"/>
          <w:szCs w:val="21"/>
        </w:rPr>
        <w:t xml:space="preserve">Automated risk scoring at volumes that manual underwriting cannot serve economically.</w:t>
      </w:r>
    </w:p>
    <w:p>
      <w:pPr>
        <w:pStyle w:val="Heading2"/>
        <w:spacing w:after="120" w:before="260"/>
      </w:pPr>
      <w:r>
        <w:rPr>
          <w:rFonts w:ascii="Calibri" w:cs="Calibri" w:eastAsia="Calibri" w:hAnsi="Calibri"/>
          <w:b/>
          <w:bCs/>
          <w:color w:val="1D4ED8"/>
          <w:sz w:val="24"/>
          <w:szCs w:val="24"/>
        </w:rPr>
        <w:t xml:space="preserve">2.3 Banks and credit agencies</w:t>
      </w:r>
    </w:p>
    <w:p>
      <w:pPr>
        <w:pStyle w:val="ListParagraph"/>
        <w:numPr>
          <w:ilvl w:val="0"/>
          <w:numId w:val="2"/>
        </w:numPr>
        <w:spacing w:after="70" w:line="276"/>
      </w:pPr>
      <w:r>
        <w:rPr>
          <w:rFonts w:ascii="Calibri" w:cs="Calibri" w:eastAsia="Calibri" w:hAnsi="Calibri"/>
          <w:color w:val="1F2937"/>
          <w:sz w:val="21"/>
          <w:szCs w:val="21"/>
        </w:rPr>
        <w:t xml:space="preserve">Loan amount recommendations grounded in measured capacity rather than requested amount.</w:t>
      </w:r>
    </w:p>
    <w:p>
      <w:pPr>
        <w:pStyle w:val="ListParagraph"/>
        <w:numPr>
          <w:ilvl w:val="0"/>
          <w:numId w:val="2"/>
        </w:numPr>
        <w:spacing w:after="70" w:line="276"/>
      </w:pPr>
      <w:r>
        <w:rPr>
          <w:rFonts w:ascii="Calibri" w:cs="Calibri" w:eastAsia="Calibri" w:hAnsi="Calibri"/>
          <w:color w:val="1F2937"/>
          <w:sz w:val="21"/>
          <w:szCs w:val="21"/>
        </w:rPr>
        <w:t xml:space="preserve">Portfolio-level risk monitoring across products and customer segments.</w:t>
      </w:r>
    </w:p>
    <w:p>
      <w:pPr>
        <w:pStyle w:val="ListParagraph"/>
        <w:numPr>
          <w:ilvl w:val="0"/>
          <w:numId w:val="2"/>
        </w:numPr>
        <w:spacing w:after="70" w:line="276"/>
      </w:pPr>
      <w:r>
        <w:rPr>
          <w:rFonts w:ascii="Calibri" w:cs="Calibri" w:eastAsia="Calibri" w:hAnsi="Calibri"/>
          <w:color w:val="1F2937"/>
          <w:sz w:val="21"/>
          <w:szCs w:val="21"/>
        </w:rPr>
        <w:t xml:space="preserve">Documented, reproducible decision processes supporting regulatory compliance.</w:t>
      </w:r>
    </w:p>
    <w:p>
      <w:pPr>
        <w:pStyle w:val="Heading2"/>
        <w:spacing w:after="120" w:before="260"/>
      </w:pPr>
      <w:r>
        <w:rPr>
          <w:rFonts w:ascii="Calibri" w:cs="Calibri" w:eastAsia="Calibri" w:hAnsi="Calibri"/>
          <w:b/>
          <w:bCs/>
          <w:color w:val="1D4ED8"/>
          <w:sz w:val="24"/>
          <w:szCs w:val="24"/>
        </w:rPr>
        <w:t xml:space="preserve">2.4 Loan officers and underwriters</w:t>
      </w:r>
    </w:p>
    <w:p>
      <w:pPr>
        <w:pStyle w:val="ListParagraph"/>
        <w:numPr>
          <w:ilvl w:val="0"/>
          <w:numId w:val="2"/>
        </w:numPr>
        <w:spacing w:after="70" w:line="276"/>
      </w:pPr>
      <w:r>
        <w:rPr>
          <w:rFonts w:ascii="Calibri" w:cs="Calibri" w:eastAsia="Calibri" w:hAnsi="Calibri"/>
          <w:color w:val="1F2937"/>
          <w:sz w:val="21"/>
          <w:szCs w:val="21"/>
        </w:rPr>
        <w:t xml:space="preserve">A full financial profile analysis in seconds, with the contributing factors made explicit.</w:t>
      </w:r>
    </w:p>
    <w:p>
      <w:pPr>
        <w:pStyle w:val="ListParagraph"/>
        <w:numPr>
          <w:ilvl w:val="0"/>
          <w:numId w:val="2"/>
        </w:numPr>
        <w:spacing w:after="70" w:line="276"/>
      </w:pPr>
      <w:r>
        <w:rPr>
          <w:rFonts w:ascii="Calibri" w:cs="Calibri" w:eastAsia="Calibri" w:hAnsi="Calibri"/>
          <w:color w:val="1F2937"/>
          <w:sz w:val="21"/>
          <w:szCs w:val="21"/>
        </w:rPr>
        <w:t xml:space="preserve">A defensible second opinion that either corroborates or challenges human judgement.</w:t>
      </w:r>
    </w:p>
    <w:p>
      <w:pPr>
        <w:pStyle w:val="ListParagraph"/>
        <w:numPr>
          <w:ilvl w:val="0"/>
          <w:numId w:val="2"/>
        </w:numPr>
        <w:spacing w:after="70" w:line="276"/>
      </w:pPr>
      <w:r>
        <w:rPr>
          <w:rFonts w:ascii="Calibri" w:cs="Calibri" w:eastAsia="Calibri" w:hAnsi="Calibri"/>
          <w:color w:val="1F2937"/>
          <w:sz w:val="21"/>
          <w:szCs w:val="21"/>
        </w:rPr>
        <w:t xml:space="preserve">A downloadable assessment report for the credit file.</w:t>
      </w:r>
    </w:p>
    <w:p>
      <w:pPr>
        <w:pStyle w:val="Heading1"/>
        <w:spacing w:after="160" w:before="340"/>
      </w:pPr>
      <w:r>
        <w:rPr>
          <w:rFonts w:ascii="Calibri" w:cs="Calibri" w:eastAsia="Calibri" w:hAnsi="Calibri"/>
          <w:b/>
          <w:bCs/>
          <w:color w:val="0B1220"/>
          <w:sz w:val="30"/>
          <w:szCs w:val="30"/>
        </w:rPr>
        <w:t xml:space="preserve">3. Quantified Impact</w:t>
      </w:r>
    </w:p>
    <w:p>
      <w:pPr>
        <w:pStyle w:val="Heading2"/>
        <w:spacing w:after="120" w:before="260"/>
      </w:pPr>
      <w:r>
        <w:rPr>
          <w:rFonts w:ascii="Calibri" w:cs="Calibri" w:eastAsia="Calibri" w:hAnsi="Calibri"/>
          <w:b/>
          <w:bCs/>
          <w:color w:val="1D4ED8"/>
          <w:sz w:val="24"/>
          <w:szCs w:val="24"/>
        </w:rPr>
        <w:t xml:space="preserve">3.1 Operational efficiency</w:t>
      </w:r>
    </w:p>
    <w:p>
      <w:pPr>
        <w:spacing w:after="120" w:line="276"/>
      </w:pPr>
      <w:r>
        <w:rPr>
          <w:rFonts w:ascii="Calibri" w:cs="Calibri" w:eastAsia="Calibri" w:hAnsi="Calibri"/>
          <w:color w:val="1F2937"/>
          <w:sz w:val="21"/>
          <w:szCs w:val="21"/>
        </w:rPr>
        <w:t xml:space="preserve">Manual affordability assessment requires collating income, obligations, liquidity and credit history, then computing ratios by hand. The platform performs this in milliseconds and produces a formatted report. The realistic gain is not the elimination of underwriters but the reallocation of their attention.</w:t>
      </w:r>
    </w:p>
    <w:tbl>
      <w:tblPr>
        <w:tblW w:type="dxa" w:w="9026"/>
        <w:tblBorders>
          <w:top w:val="single" w:color="C9D1DC" w:sz="4"/>
          <w:left w:val="none"/>
          <w:bottom w:val="single" w:color="C9D1DC" w:sz="4"/>
          <w:right w:val="none"/>
          <w:insideH w:val="single" w:color="E2E8F0" w:sz="2"/>
          <w:insideV w:val="none"/>
        </w:tblBorders>
      </w:tblPr>
      <w:tblGrid>
        <w:gridCol w:w="3000"/>
        <w:gridCol w:w="3000"/>
        <w:gridCol w:w="3026"/>
      </w:tblGrid>
      <w:tr>
        <w:trPr>
          <w:tblHeader/>
        </w:trPr>
        <w:tc>
          <w:tcPr>
            <w:tcW w:type="dxa" w:w="30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Dimension</w:t>
            </w:r>
          </w:p>
        </w:tc>
        <w:tc>
          <w:tcPr>
            <w:tcW w:type="dxa" w:w="30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Manual process</w:t>
            </w:r>
          </w:p>
        </w:tc>
        <w:tc>
          <w:tcPr>
            <w:tcW w:type="dxa" w:w="30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With EMIPredict AI</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Assessment time</w:t>
            </w:r>
          </w:p>
        </w:tc>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Minutes to hours per application</w:t>
            </w:r>
          </w:p>
        </w:tc>
        <w:tc>
          <w:tcPr>
            <w:tcW w:type="dxa" w:w="3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Milliseconds, with a report generated on demand</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Consistency</w:t>
            </w:r>
          </w:p>
        </w:tc>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Varies by officer and by branch</w:t>
            </w:r>
          </w:p>
        </w:tc>
        <w:tc>
          <w:tcPr>
            <w:tcW w:type="dxa" w:w="30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Identical logic applied to every application</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Coverage</w:t>
            </w:r>
          </w:p>
        </w:tc>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Limited by underwriter capacity</w:t>
            </w:r>
          </w:p>
        </w:tc>
        <w:tc>
          <w:tcPr>
            <w:tcW w:type="dxa" w:w="3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Scales with compute, not headcount</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Auditability</w:t>
            </w:r>
          </w:p>
        </w:tc>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Reconstructed from notes</w:t>
            </w:r>
          </w:p>
        </w:tc>
        <w:tc>
          <w:tcPr>
            <w:tcW w:type="dxa" w:w="30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Model version and inputs recorded for every decision</w:t>
            </w:r>
          </w:p>
        </w:tc>
      </w:tr>
    </w:tbl>
    <w:p>
      <w:pPr>
        <w:spacing w:after="200" w:before="60"/>
      </w:pPr>
      <w:r>
        <w:rPr>
          <w:rFonts w:ascii="Calibri" w:cs="Calibri" w:eastAsia="Calibri" w:hAnsi="Calibri"/>
          <w:i/>
          <w:iCs/>
          <w:color w:val="5B6678"/>
          <w:sz w:val="17"/>
          <w:szCs w:val="17"/>
        </w:rPr>
        <w:t xml:space="preserve">Table 2. Comparison of manual assessment against the automated platform.</w:t>
      </w:r>
    </w:p>
    <w:p>
      <w:pPr>
        <w:spacing w:after="120" w:line="276"/>
      </w:pPr>
      <w:r>
        <w:rPr>
          <w:rFonts w:ascii="Calibri" w:cs="Calibri" w:eastAsia="Calibri" w:hAnsi="Calibri"/>
          <w:color w:val="1F2937"/>
          <w:sz w:val="21"/>
          <w:szCs w:val="21"/>
        </w:rPr>
        <w:t xml:space="preserve">On the portfolio studied, 77.3% of applications are ultimately ineligible. Automating this majority allows underwriters to concentrate on the 22.7% where judgement genuinely adds value — and in particular on the 4.3% High Risk segment, where the pricing decision is most commercially consequential.</w:t>
      </w:r>
    </w:p>
    <w:p>
      <w:pPr>
        <w:pStyle w:val="Heading2"/>
        <w:spacing w:after="120" w:before="260"/>
      </w:pPr>
      <w:r>
        <w:rPr>
          <w:rFonts w:ascii="Calibri" w:cs="Calibri" w:eastAsia="Calibri" w:hAnsi="Calibri"/>
          <w:b/>
          <w:bCs/>
          <w:color w:val="1D4ED8"/>
          <w:sz w:val="24"/>
          <w:szCs w:val="24"/>
        </w:rPr>
        <w:t xml:space="preserve">3.2 Risk control</w:t>
      </w:r>
    </w:p>
    <w:p>
      <w:pPr>
        <w:spacing w:after="120" w:line="276"/>
      </w:pPr>
      <w:r>
        <w:rPr>
          <w:rFonts w:ascii="Calibri" w:cs="Calibri" w:eastAsia="Calibri" w:hAnsi="Calibri"/>
          <w:color w:val="1F2937"/>
          <w:sz w:val="21"/>
          <w:szCs w:val="21"/>
        </w:rPr>
        <w:t xml:space="preserve">The regression model is the direct control against over-lending. Rather than only accepting or rejecting the requested amount, the platform states the instalment the applicant can sustain, and the supportable principal at the proposed rate and tenure. An application exceeding capacity can be restructured — longer tenure or smaller principal — instead of being rejected outright, converting a lost customer into a prudent loan.</w:t>
      </w:r>
    </w:p>
    <w:tbl>
      <w:tblPr>
        <w:tblW w:type="dxa" w:w="9026"/>
        <w:tblBorders>
          <w:top w:val="single" w:color="BFD3F5" w:sz="2"/>
          <w:left w:val="single" w:color="1D4ED8" w:sz="18"/>
          <w:bottom w:val="single" w:color="BFD3F5" w:sz="2"/>
          <w:right w:val="single" w:color="BFD3F5" w:sz="2"/>
          <w:insideH w:val="none"/>
          <w:insideV w:val="none"/>
        </w:tblBorders>
      </w:tblPr>
      <w:tblGrid>
        <w:gridCol w:w="9026"/>
      </w:tblGrid>
      <w:tr>
        <w:tc>
          <w:tcPr>
            <w:tcW w:type="dxa" w:w="9026"/>
            <w:shd w:fill="EEF4FF" w:color="auto" w:val="clear"/>
            <w:tcMar>
              <w:top w:type="dxa" w:w="150"/>
              <w:left w:type="dxa" w:w="200"/>
              <w:bottom w:type="dxa" w:w="150"/>
              <w:right w:type="dxa" w:w="200"/>
            </w:tcMar>
          </w:tcPr>
          <w:p>
            <w:pPr>
              <w:spacing w:after="60"/>
            </w:pPr>
            <w:r>
              <w:rPr>
                <w:rFonts w:ascii="Calibri" w:cs="Calibri" w:eastAsia="Calibri" w:hAnsi="Calibri"/>
                <w:b/>
                <w:bCs/>
                <w:color w:val="0B1220"/>
                <w:sz w:val="20"/>
                <w:szCs w:val="20"/>
              </w:rPr>
              <w:t xml:space="preserve">Error asymmetry favours caution</w:t>
            </w:r>
          </w:p>
          <w:p>
            <w:pPr>
              <w:spacing w:after="0" w:line="276"/>
            </w:pPr>
            <w:r>
              <w:rPr>
                <w:rFonts w:ascii="Calibri" w:cs="Calibri" w:eastAsia="Calibri" w:hAnsi="Calibri"/>
                <w:color w:val="1F2937"/>
                <w:sz w:val="20"/>
                <w:szCs w:val="20"/>
              </w:rPr>
              <w:t xml:space="preserve">The classifier's macro recall of 0.947 exceeds its macro precision of 0.821, meaning it errs toward flagging risk rather than missing it. In credit decisioning this is the correct bias: a false risk flag costs a manual review, whereas a missed one costs a default.</w:t>
            </w:r>
          </w:p>
        </w:tc>
      </w:tr>
    </w:tbl>
    <w:p>
      <w:pPr>
        <w:pStyle w:val="Heading2"/>
        <w:spacing w:after="120" w:before="260"/>
      </w:pPr>
      <w:r>
        <w:rPr>
          <w:rFonts w:ascii="Calibri" w:cs="Calibri" w:eastAsia="Calibri" w:hAnsi="Calibri"/>
          <w:b/>
          <w:bCs/>
          <w:color w:val="1D4ED8"/>
          <w:sz w:val="24"/>
          <w:szCs w:val="24"/>
        </w:rPr>
        <w:t xml:space="preserve">3.3 Standardisation across products</w:t>
      </w:r>
    </w:p>
    <w:p>
      <w:pPr>
        <w:spacing w:after="120" w:line="276"/>
      </w:pPr>
      <w:r>
        <w:rPr>
          <w:rFonts w:ascii="Calibri" w:cs="Calibri" w:eastAsia="Calibri" w:hAnsi="Calibri"/>
          <w:color w:val="1F2937"/>
          <w:sz w:val="21"/>
          <w:szCs w:val="21"/>
        </w:rPr>
        <w:t xml:space="preserve">Approval rates in the portfolio range from 10.6% for vehicle finance to 26.3% for e-commerce EMI. Without a common framework, this variation is easily mistaken for inconsistent underwriting. The platform applies one model across all five products, with the product itself as an input, so differences in approval rate reflect genuine differences in affordability rather than differences in who assessed the application.</w:t>
      </w:r>
    </w:p>
    <w:p>
      <w:pPr>
        <w:pStyle w:val="Heading1"/>
        <w:spacing w:after="160" w:before="340"/>
      </w:pPr>
      <w:r>
        <w:rPr>
          <w:rFonts w:ascii="Calibri" w:cs="Calibri" w:eastAsia="Calibri" w:hAnsi="Calibri"/>
          <w:b/>
          <w:bCs/>
          <w:color w:val="0B1220"/>
          <w:sz w:val="30"/>
          <w:szCs w:val="30"/>
        </w:rPr>
        <w:t xml:space="preserve">4. Portfolio Insights</w:t>
      </w:r>
    </w:p>
    <w:p>
      <w:pPr>
        <w:spacing w:after="120" w:line="276"/>
      </w:pPr>
      <w:r>
        <w:rPr>
          <w:rFonts w:ascii="Calibri" w:cs="Calibri" w:eastAsia="Calibri" w:hAnsi="Calibri"/>
          <w:color w:val="1F2937"/>
          <w:sz w:val="21"/>
          <w:szCs w:val="21"/>
        </w:rPr>
        <w:t xml:space="preserve">The analysis produced findings that are commercially useful independently of the models themselves.</w:t>
      </w:r>
    </w:p>
    <w:p>
      <w:pPr>
        <w:pStyle w:val="Heading2"/>
        <w:spacing w:after="120" w:before="260"/>
      </w:pPr>
      <w:r>
        <w:rPr>
          <w:rFonts w:ascii="Calibri" w:cs="Calibri" w:eastAsia="Calibri" w:hAnsi="Calibri"/>
          <w:b/>
          <w:bCs/>
          <w:color w:val="1D4ED8"/>
          <w:sz w:val="24"/>
          <w:szCs w:val="24"/>
        </w:rPr>
        <w:t xml:space="preserve">4.1 Capacity matters more than credit history</w:t>
      </w:r>
    </w:p>
    <w:p>
      <w:pPr>
        <w:spacing w:after="120" w:line="276"/>
      </w:pPr>
      <w:r>
        <w:rPr>
          <w:rFonts w:ascii="Calibri" w:cs="Calibri" w:eastAsia="Calibri" w:hAnsi="Calibri"/>
          <w:color w:val="1F2937"/>
          <w:sz w:val="21"/>
          <w:szCs w:val="21"/>
        </w:rPr>
        <w:t xml:space="preserve">Median credit scores across the three outcome classes differ by only 32 points — 725 for eligible, 714 for high risk and 695 for ineligible applicants. Affordability ratios, by contrast, separate the classes sharply. For this portfolio, a credit-score-led policy would misclassify a substantial share of applicants, whereas an affordability-led policy aligns closely with outcomes.</w:t>
      </w:r>
    </w:p>
    <w:tbl>
      <w:tblPr>
        <w:tblW w:type="dxa" w:w="9026"/>
        <w:tblBorders>
          <w:top w:val="single" w:color="BFD3F5" w:sz="2"/>
          <w:left w:val="single" w:color="1D4ED8" w:sz="18"/>
          <w:bottom w:val="single" w:color="BFD3F5" w:sz="2"/>
          <w:right w:val="single" w:color="BFD3F5" w:sz="2"/>
          <w:insideH w:val="none"/>
          <w:insideV w:val="none"/>
        </w:tblBorders>
      </w:tblPr>
      <w:tblGrid>
        <w:gridCol w:w="9026"/>
      </w:tblGrid>
      <w:tr>
        <w:tc>
          <w:tcPr>
            <w:tcW w:type="dxa" w:w="9026"/>
            <w:shd w:fill="EEF4FF" w:color="auto" w:val="clear"/>
            <w:tcMar>
              <w:top w:type="dxa" w:w="150"/>
              <w:left w:type="dxa" w:w="200"/>
              <w:bottom w:type="dxa" w:w="150"/>
              <w:right w:type="dxa" w:w="200"/>
            </w:tcMar>
          </w:tcPr>
          <w:p>
            <w:pPr>
              <w:spacing w:after="60"/>
            </w:pPr>
            <w:r>
              <w:rPr>
                <w:rFonts w:ascii="Calibri" w:cs="Calibri" w:eastAsia="Calibri" w:hAnsi="Calibri"/>
                <w:b/>
                <w:bCs/>
                <w:color w:val="0B1220"/>
                <w:sz w:val="20"/>
                <w:szCs w:val="20"/>
              </w:rPr>
              <w:t xml:space="preserve">Implication for credit policy</w:t>
            </w:r>
          </w:p>
          <w:p>
            <w:pPr>
              <w:spacing w:after="0" w:line="276"/>
            </w:pPr>
            <w:r>
              <w:rPr>
                <w:rFonts w:ascii="Calibri" w:cs="Calibri" w:eastAsia="Calibri" w:hAnsi="Calibri"/>
                <w:color w:val="1F2937"/>
                <w:sz w:val="20"/>
                <w:szCs w:val="20"/>
              </w:rPr>
              <w:t xml:space="preserve">The two features the classifier relies on most — requested instalment relative to income, and the affordability ratio — did not exist in the source data. They were derived. The commercial insight is that the data a lender already holds is more predictive when expressed as underwriting ratios than as raw values.</w:t>
            </w:r>
          </w:p>
        </w:tc>
      </w:tr>
    </w:tbl>
    <w:p>
      <w:pPr>
        <w:pStyle w:val="Heading2"/>
        <w:spacing w:after="120" w:before="260"/>
      </w:pPr>
      <w:r>
        <w:rPr>
          <w:rFonts w:ascii="Calibri" w:cs="Calibri" w:eastAsia="Calibri" w:hAnsi="Calibri"/>
          <w:b/>
          <w:bCs/>
          <w:color w:val="1D4ED8"/>
          <w:sz w:val="24"/>
          <w:szCs w:val="24"/>
        </w:rPr>
        <w:t xml:space="preserve">4.2 Product risk profiles</w:t>
      </w:r>
    </w:p>
    <w:tbl>
      <w:tblPr>
        <w:tblW w:type="dxa" w:w="9026"/>
        <w:tblBorders>
          <w:top w:val="single" w:color="C9D1DC" w:sz="4"/>
          <w:left w:val="none"/>
          <w:bottom w:val="single" w:color="C9D1DC" w:sz="4"/>
          <w:right w:val="none"/>
          <w:insideH w:val="single" w:color="E2E8F0" w:sz="2"/>
          <w:insideV w:val="none"/>
        </w:tblBorders>
      </w:tblPr>
      <w:tblGrid>
        <w:gridCol w:w="3000"/>
        <w:gridCol w:w="2000"/>
        <w:gridCol w:w="4026"/>
      </w:tblGrid>
      <w:tr>
        <w:trPr>
          <w:tblHeader/>
        </w:trPr>
        <w:tc>
          <w:tcPr>
            <w:tcW w:type="dxa" w:w="30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Product</w:t>
            </w:r>
          </w:p>
        </w:tc>
        <w:tc>
          <w:tcPr>
            <w:tcW w:type="dxa" w:w="20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Eligibility rate</w:t>
            </w:r>
          </w:p>
        </w:tc>
        <w:tc>
          <w:tcPr>
            <w:tcW w:type="dxa" w:w="40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Commercial interpretation</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E-commerce Shopping</w:t>
            </w:r>
          </w:p>
        </w:tc>
        <w:tc>
          <w:tcPr>
            <w:tcW w:type="dxa" w:w="2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26.3%</w:t>
            </w:r>
          </w:p>
        </w:tc>
        <w:tc>
          <w:tcPr>
            <w:tcW w:type="dxa" w:w="4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Small tickets and short tenures keep instalments within reach of most applicants</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Home Appliances</w:t>
            </w:r>
          </w:p>
        </w:tc>
        <w:tc>
          <w:tcPr>
            <w:tcW w:type="dxa" w:w="2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26.0%</w:t>
            </w:r>
          </w:p>
        </w:tc>
        <w:tc>
          <w:tcPr>
            <w:tcW w:type="dxa" w:w="40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Similar profile; a natural entry product for new-to-credit customers</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Education</w:t>
            </w:r>
          </w:p>
        </w:tc>
        <w:tc>
          <w:tcPr>
            <w:tcW w:type="dxa" w:w="2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17.7%</w:t>
            </w:r>
          </w:p>
        </w:tc>
        <w:tc>
          <w:tcPr>
            <w:tcW w:type="dxa" w:w="4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Mid-sized tickets; instalment burden is moderate but sustained</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Personal Loan</w:t>
            </w:r>
          </w:p>
        </w:tc>
        <w:tc>
          <w:tcPr>
            <w:tcW w:type="dxa" w:w="2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11.3%</w:t>
            </w:r>
          </w:p>
        </w:tc>
        <w:tc>
          <w:tcPr>
            <w:tcW w:type="dxa" w:w="40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Large principal relative to income; strongest candidate for capacity-based limits</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Vehicle</w:t>
            </w:r>
          </w:p>
        </w:tc>
        <w:tc>
          <w:tcPr>
            <w:tcW w:type="dxa" w:w="2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10.6%</w:t>
            </w:r>
          </w:p>
        </w:tc>
        <w:tc>
          <w:tcPr>
            <w:tcW w:type="dxa" w:w="4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Largest tickets and longest tenures; highest rate of over-request</w:t>
            </w:r>
          </w:p>
        </w:tc>
      </w:tr>
    </w:tbl>
    <w:p>
      <w:pPr>
        <w:spacing w:after="200" w:before="60"/>
      </w:pPr>
      <w:r>
        <w:rPr>
          <w:rFonts w:ascii="Calibri" w:cs="Calibri" w:eastAsia="Calibri" w:hAnsi="Calibri"/>
          <w:i/>
          <w:iCs/>
          <w:color w:val="5B6678"/>
          <w:sz w:val="17"/>
          <w:szCs w:val="17"/>
        </w:rPr>
        <w:t xml:space="preserve">Table 3. Eligibility rate by lending product, measured across the full cleaned dataset.</w:t>
      </w:r>
    </w:p>
    <w:p>
      <w:pPr>
        <w:spacing w:after="120" w:line="276"/>
      </w:pPr>
      <w:r>
        <w:rPr>
          <w:rFonts w:ascii="Calibri" w:cs="Calibri" w:eastAsia="Calibri" w:hAnsi="Calibri"/>
          <w:color w:val="1F2937"/>
          <w:sz w:val="21"/>
          <w:szCs w:val="21"/>
        </w:rPr>
        <w:t xml:space="preserve">Vehicle and personal loans reject roughly nine applicants in ten. Rather than treating this as a marketing failure, the affordability model turns it into a product design question: pre-qualification that shows a customer their supportable amount before they apply converts a rejection into a smaller completed sale.</w:t>
      </w:r>
    </w:p>
    <w:p>
      <w:pPr>
        <w:pStyle w:val="Heading2"/>
        <w:spacing w:after="120" w:before="260"/>
      </w:pPr>
      <w:r>
        <w:rPr>
          <w:rFonts w:ascii="Calibri" w:cs="Calibri" w:eastAsia="Calibri" w:hAnsi="Calibri"/>
          <w:b/>
          <w:bCs/>
          <w:color w:val="1D4ED8"/>
          <w:sz w:val="24"/>
          <w:szCs w:val="24"/>
        </w:rPr>
        <w:t xml:space="preserve">4.3 Employment stability</w:t>
      </w:r>
    </w:p>
    <w:tbl>
      <w:tblPr>
        <w:tblW w:type="dxa" w:w="9026"/>
        <w:tblBorders>
          <w:top w:val="single" w:color="C9D1DC" w:sz="4"/>
          <w:left w:val="none"/>
          <w:bottom w:val="single" w:color="C9D1DC" w:sz="4"/>
          <w:right w:val="none"/>
          <w:insideH w:val="single" w:color="E2E8F0" w:sz="2"/>
          <w:insideV w:val="none"/>
        </w:tblBorders>
      </w:tblPr>
      <w:tblGrid>
        <w:gridCol w:w="3400"/>
        <w:gridCol w:w="2400"/>
        <w:gridCol w:w="3226"/>
      </w:tblGrid>
      <w:tr>
        <w:trPr>
          <w:tblHeader/>
        </w:trPr>
        <w:tc>
          <w:tcPr>
            <w:tcW w:type="dxa" w:w="3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Employment type</w:t>
            </w:r>
          </w:p>
        </w:tc>
        <w:tc>
          <w:tcPr>
            <w:tcW w:type="dxa" w:w="2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Eligibility rate</w:t>
            </w:r>
          </w:p>
        </w:tc>
        <w:tc>
          <w:tcPr>
            <w:tcW w:type="dxa" w:w="32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Observation</w:t>
            </w:r>
          </w:p>
        </w:tc>
      </w:tr>
      <w:tr>
        <w:tc>
          <w:tcPr>
            <w:tcW w:type="dxa" w:w="3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Government</w:t>
            </w:r>
          </w:p>
        </w:tc>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21.4%</w:t>
            </w:r>
          </w:p>
        </w:tc>
        <w:tc>
          <w:tcPr>
            <w:tcW w:type="dxa" w:w="32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Highest rate, consistent with predictable income</w:t>
            </w:r>
          </w:p>
        </w:tc>
      </w:tr>
      <w:tr>
        <w:tc>
          <w:tcPr>
            <w:tcW w:type="dxa" w:w="3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Private</w:t>
            </w:r>
          </w:p>
        </w:tc>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17.8%</w:t>
            </w:r>
          </w:p>
        </w:tc>
        <w:tc>
          <w:tcPr>
            <w:tcW w:type="dxa" w:w="32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Close behind; the largest segment by volume</w:t>
            </w:r>
          </w:p>
        </w:tc>
      </w:tr>
      <w:tr>
        <w:tc>
          <w:tcPr>
            <w:tcW w:type="dxa" w:w="3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Self-employed</w:t>
            </w:r>
          </w:p>
        </w:tc>
        <w:tc>
          <w:tcPr>
            <w:tcW w:type="dxa" w:w="24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16.5%</w:t>
            </w:r>
          </w:p>
        </w:tc>
        <w:tc>
          <w:tcPr>
            <w:tcW w:type="dxa" w:w="32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Lowest rate, reflecting income variability</w:t>
            </w:r>
          </w:p>
        </w:tc>
      </w:tr>
    </w:tbl>
    <w:p>
      <w:pPr>
        <w:spacing w:after="200" w:before="60"/>
      </w:pPr>
      <w:r>
        <w:rPr>
          <w:rFonts w:ascii="Calibri" w:cs="Calibri" w:eastAsia="Calibri" w:hAnsi="Calibri"/>
          <w:i/>
          <w:iCs/>
          <w:color w:val="5B6678"/>
          <w:sz w:val="17"/>
          <w:szCs w:val="17"/>
        </w:rPr>
        <w:t xml:space="preserve">Table 4. Eligibility rate by employment category.</w:t>
      </w:r>
    </w:p>
    <w:p>
      <w:pPr>
        <w:spacing w:after="120" w:line="276"/>
      </w:pPr>
      <w:r>
        <w:rPr>
          <w:rFonts w:ascii="Calibri" w:cs="Calibri" w:eastAsia="Calibri" w:hAnsi="Calibri"/>
          <w:color w:val="1F2937"/>
          <w:sz w:val="21"/>
          <w:szCs w:val="21"/>
        </w:rPr>
        <w:t xml:space="preserve">The 4.9 percentage point spread between government and self-employed applicants is real but modest — smaller than commonly assumed. Self-employed applicants are not disproportionately rejected once affordability is measured properly, which argues against blanket policy restrictions on that segment.</w:t>
      </w:r>
    </w:p>
    <w:p>
      <w:pPr>
        <w:pStyle w:val="Heading2"/>
        <w:spacing w:after="120" w:before="260"/>
      </w:pPr>
      <w:r>
        <w:rPr>
          <w:rFonts w:ascii="Calibri" w:cs="Calibri" w:eastAsia="Calibri" w:hAnsi="Calibri"/>
          <w:b/>
          <w:bCs/>
          <w:color w:val="1D4ED8"/>
          <w:sz w:val="24"/>
          <w:szCs w:val="24"/>
        </w:rPr>
        <w:t xml:space="preserve">4.4 Fair lending</w:t>
      </w:r>
    </w:p>
    <w:p>
      <w:pPr>
        <w:spacing w:after="120" w:line="276"/>
      </w:pPr>
      <w:r>
        <w:rPr>
          <w:rFonts w:ascii="Calibri" w:cs="Calibri" w:eastAsia="Calibri" w:hAnsi="Calibri"/>
          <w:color w:val="1F2937"/>
          <w:sz w:val="21"/>
          <w:szCs w:val="21"/>
        </w:rPr>
        <w:t xml:space="preserve">Age is close to uniform across all outcome classes, and gender shows no material association with the decision. Neither variable carries meaningful weight in the models. This is a favourable starting position for fair-lending review, though it should be re-verified on real data before any production use.</w:t>
      </w:r>
    </w:p>
    <w:p>
      <w:pPr>
        <w:pStyle w:val="Heading1"/>
        <w:spacing w:after="160" w:before="340"/>
      </w:pPr>
      <w:r>
        <w:rPr>
          <w:rFonts w:ascii="Calibri" w:cs="Calibri" w:eastAsia="Calibri" w:hAnsi="Calibri"/>
          <w:b/>
          <w:bCs/>
          <w:color w:val="0B1220"/>
          <w:sz w:val="30"/>
          <w:szCs w:val="30"/>
        </w:rPr>
        <w:t xml:space="preserve">5. Recommendations</w:t>
      </w:r>
    </w:p>
    <w:p>
      <w:pPr>
        <w:pStyle w:val="Heading2"/>
        <w:spacing w:after="120" w:before="260"/>
      </w:pPr>
      <w:r>
        <w:rPr>
          <w:rFonts w:ascii="Calibri" w:cs="Calibri" w:eastAsia="Calibri" w:hAnsi="Calibri"/>
          <w:b/>
          <w:bCs/>
          <w:color w:val="1D4ED8"/>
          <w:sz w:val="24"/>
          <w:szCs w:val="24"/>
        </w:rPr>
        <w:t xml:space="preserve">5.1 Immediate deployment</w:t>
      </w:r>
    </w:p>
    <w:p>
      <w:pPr>
        <w:pStyle w:val="ListParagraph"/>
        <w:numPr>
          <w:ilvl w:val="0"/>
          <w:numId w:val="2"/>
        </w:numPr>
        <w:spacing w:after="70" w:line="276"/>
      </w:pPr>
      <w:r>
        <w:rPr>
          <w:rFonts w:ascii="Calibri" w:cs="Calibri" w:eastAsia="Calibri" w:hAnsi="Calibri"/>
          <w:color w:val="1F2937"/>
          <w:sz w:val="21"/>
          <w:szCs w:val="21"/>
        </w:rPr>
        <w:t xml:space="preserve">Deploy as decision support alongside existing underwriting, not as a replacement, and monitor agreement between model and underwriter for an initial period.</w:t>
      </w:r>
    </w:p>
    <w:p>
      <w:pPr>
        <w:pStyle w:val="ListParagraph"/>
        <w:numPr>
          <w:ilvl w:val="0"/>
          <w:numId w:val="2"/>
        </w:numPr>
        <w:spacing w:after="70" w:line="276"/>
      </w:pPr>
      <w:r>
        <w:rPr>
          <w:rFonts w:ascii="Calibri" w:cs="Calibri" w:eastAsia="Calibri" w:hAnsi="Calibri"/>
          <w:color w:val="1F2937"/>
          <w:sz w:val="21"/>
          <w:szCs w:val="21"/>
        </w:rPr>
        <w:t xml:space="preserve">Route the High Risk class to a defined risk-based pricing tier rather than to rejection, capturing revenue currently lost at the margin.</w:t>
      </w:r>
    </w:p>
    <w:p>
      <w:pPr>
        <w:pStyle w:val="ListParagraph"/>
        <w:numPr>
          <w:ilvl w:val="0"/>
          <w:numId w:val="2"/>
        </w:numPr>
        <w:spacing w:after="70" w:line="276"/>
      </w:pPr>
      <w:r>
        <w:rPr>
          <w:rFonts w:ascii="Calibri" w:cs="Calibri" w:eastAsia="Calibri" w:hAnsi="Calibri"/>
          <w:color w:val="1F2937"/>
          <w:sz w:val="21"/>
          <w:szCs w:val="21"/>
        </w:rPr>
        <w:t xml:space="preserve">Apply a human-review threshold for predicted instalments above the 95th percentile, where absolute rupee errors are largest.</w:t>
      </w:r>
    </w:p>
    <w:p>
      <w:pPr>
        <w:pStyle w:val="ListParagraph"/>
        <w:numPr>
          <w:ilvl w:val="0"/>
          <w:numId w:val="2"/>
        </w:numPr>
        <w:spacing w:after="70" w:line="276"/>
      </w:pPr>
      <w:r>
        <w:rPr>
          <w:rFonts w:ascii="Calibri" w:cs="Calibri" w:eastAsia="Calibri" w:hAnsi="Calibri"/>
          <w:color w:val="1F2937"/>
          <w:sz w:val="21"/>
          <w:szCs w:val="21"/>
        </w:rPr>
        <w:t xml:space="preserve">Surface the supportable amount to customers during pre-qualification, converting likely rejections into right-sized applications.</w:t>
      </w:r>
    </w:p>
    <w:p>
      <w:pPr>
        <w:pStyle w:val="Heading2"/>
        <w:spacing w:after="120" w:before="260"/>
      </w:pPr>
      <w:r>
        <w:rPr>
          <w:rFonts w:ascii="Calibri" w:cs="Calibri" w:eastAsia="Calibri" w:hAnsi="Calibri"/>
          <w:b/>
          <w:bCs/>
          <w:color w:val="1D4ED8"/>
          <w:sz w:val="24"/>
          <w:szCs w:val="24"/>
        </w:rPr>
        <w:t xml:space="preserve">5.2 Before scaling</w:t>
      </w:r>
    </w:p>
    <w:p>
      <w:pPr>
        <w:pStyle w:val="ListParagraph"/>
        <w:numPr>
          <w:ilvl w:val="0"/>
          <w:numId w:val="2"/>
        </w:numPr>
        <w:spacing w:after="70" w:line="276"/>
      </w:pPr>
      <w:r>
        <w:rPr>
          <w:rFonts w:ascii="Calibri" w:cs="Calibri" w:eastAsia="Calibri" w:hAnsi="Calibri"/>
          <w:color w:val="1F2937"/>
          <w:sz w:val="21"/>
          <w:szCs w:val="21"/>
        </w:rPr>
        <w:t xml:space="preserve">Retrain and revalidate on real lending data. The current dataset is synthetic, and performance on it establishes methodology rather than production readiness.</w:t>
      </w:r>
    </w:p>
    <w:p>
      <w:pPr>
        <w:pStyle w:val="ListParagraph"/>
        <w:numPr>
          <w:ilvl w:val="0"/>
          <w:numId w:val="2"/>
        </w:numPr>
        <w:spacing w:after="70" w:line="276"/>
      </w:pPr>
      <w:r>
        <w:rPr>
          <w:rFonts w:ascii="Calibri" w:cs="Calibri" w:eastAsia="Calibri" w:hAnsi="Calibri"/>
          <w:color w:val="1F2937"/>
          <w:sz w:val="21"/>
          <w:szCs w:val="21"/>
        </w:rPr>
        <w:t xml:space="preserve">Calibrate the class probabilities so they can be used directly in expected-loss pricing.</w:t>
      </w:r>
    </w:p>
    <w:p>
      <w:pPr>
        <w:pStyle w:val="ListParagraph"/>
        <w:numPr>
          <w:ilvl w:val="0"/>
          <w:numId w:val="2"/>
        </w:numPr>
        <w:spacing w:after="70" w:line="276"/>
      </w:pPr>
      <w:r>
        <w:rPr>
          <w:rFonts w:ascii="Calibri" w:cs="Calibri" w:eastAsia="Calibri" w:hAnsi="Calibri"/>
          <w:color w:val="1F2937"/>
          <w:sz w:val="21"/>
          <w:szCs w:val="21"/>
        </w:rPr>
        <w:t xml:space="preserve">Add per-applicant explanation, so that an adverse decision can be accompanied by specific, defensible reasons.</w:t>
      </w:r>
    </w:p>
    <w:p>
      <w:pPr>
        <w:pStyle w:val="ListParagraph"/>
        <w:numPr>
          <w:ilvl w:val="0"/>
          <w:numId w:val="2"/>
        </w:numPr>
        <w:spacing w:after="70" w:line="276"/>
      </w:pPr>
      <w:r>
        <w:rPr>
          <w:rFonts w:ascii="Calibri" w:cs="Calibri" w:eastAsia="Calibri" w:hAnsi="Calibri"/>
          <w:color w:val="1F2937"/>
          <w:sz w:val="21"/>
          <w:szCs w:val="21"/>
        </w:rPr>
        <w:t xml:space="preserve">Establish drift monitoring against the training distribution, with alerting when the applicant mix shifts materially.</w:t>
      </w:r>
    </w:p>
    <w:p>
      <w:pPr>
        <w:pStyle w:val="Heading2"/>
        <w:spacing w:after="120" w:before="260"/>
      </w:pPr>
      <w:r>
        <w:rPr>
          <w:rFonts w:ascii="Calibri" w:cs="Calibri" w:eastAsia="Calibri" w:hAnsi="Calibri"/>
          <w:b/>
          <w:bCs/>
          <w:color w:val="1D4ED8"/>
          <w:sz w:val="24"/>
          <w:szCs w:val="24"/>
        </w:rPr>
        <w:t xml:space="preserve">5.3 Governance</w:t>
      </w:r>
    </w:p>
    <w:p>
      <w:pPr>
        <w:pStyle w:val="ListParagraph"/>
        <w:numPr>
          <w:ilvl w:val="0"/>
          <w:numId w:val="2"/>
        </w:numPr>
        <w:spacing w:after="70" w:line="276"/>
      </w:pPr>
      <w:r>
        <w:rPr>
          <w:rFonts w:ascii="Calibri" w:cs="Calibri" w:eastAsia="Calibri" w:hAnsi="Calibri"/>
          <w:color w:val="1F2937"/>
          <w:sz w:val="21"/>
          <w:szCs w:val="21"/>
        </w:rPr>
        <w:t xml:space="preserve">Maintain the model registry as the single source of truth for what is in production.</w:t>
      </w:r>
    </w:p>
    <w:p>
      <w:pPr>
        <w:pStyle w:val="ListParagraph"/>
        <w:numPr>
          <w:ilvl w:val="0"/>
          <w:numId w:val="2"/>
        </w:numPr>
        <w:spacing w:after="70" w:line="276"/>
      </w:pPr>
      <w:r>
        <w:rPr>
          <w:rFonts w:ascii="Calibri" w:cs="Calibri" w:eastAsia="Calibri" w:hAnsi="Calibri"/>
          <w:color w:val="1F2937"/>
          <w:sz w:val="21"/>
          <w:szCs w:val="21"/>
        </w:rPr>
        <w:t xml:space="preserve">Record the model version alongside every decision, so any past decision can be reconstructed.</w:t>
      </w:r>
    </w:p>
    <w:p>
      <w:pPr>
        <w:pStyle w:val="ListParagraph"/>
        <w:numPr>
          <w:ilvl w:val="0"/>
          <w:numId w:val="2"/>
        </w:numPr>
        <w:spacing w:after="70" w:line="276"/>
      </w:pPr>
      <w:r>
        <w:rPr>
          <w:rFonts w:ascii="Calibri" w:cs="Calibri" w:eastAsia="Calibri" w:hAnsi="Calibri"/>
          <w:color w:val="1F2937"/>
          <w:sz w:val="21"/>
          <w:szCs w:val="21"/>
        </w:rPr>
        <w:t xml:space="preserve">Re-run fair-lending analysis on production data at a fixed cadence, not only at build time.</w:t>
      </w:r>
    </w:p>
    <w:p>
      <w:pPr>
        <w:pStyle w:val="ListParagraph"/>
        <w:numPr>
          <w:ilvl w:val="0"/>
          <w:numId w:val="2"/>
        </w:numPr>
        <w:spacing w:after="70" w:line="276"/>
      </w:pPr>
      <w:r>
        <w:rPr>
          <w:rFonts w:ascii="Calibri" w:cs="Calibri" w:eastAsia="Calibri" w:hAnsi="Calibri"/>
          <w:color w:val="1F2937"/>
          <w:sz w:val="21"/>
          <w:szCs w:val="21"/>
        </w:rPr>
        <w:t xml:space="preserve">Retrain on observed repayment outcomes once they accumulate, converting an affordability model into a true credit risk model.</w:t>
      </w:r>
    </w:p>
    <w:p>
      <w:pPr>
        <w:pStyle w:val="Heading1"/>
        <w:spacing w:after="160" w:before="340"/>
      </w:pPr>
      <w:r>
        <w:rPr>
          <w:rFonts w:ascii="Calibri" w:cs="Calibri" w:eastAsia="Calibri" w:hAnsi="Calibri"/>
          <w:b/>
          <w:bCs/>
          <w:color w:val="0B1220"/>
          <w:sz w:val="30"/>
          <w:szCs w:val="30"/>
        </w:rPr>
        <w:t xml:space="preserve">6. Limitations</w:t>
      </w:r>
    </w:p>
    <w:p>
      <w:pPr>
        <w:spacing w:after="120" w:line="276"/>
      </w:pPr>
      <w:r>
        <w:rPr>
          <w:rFonts w:ascii="Calibri" w:cs="Calibri" w:eastAsia="Calibri" w:hAnsi="Calibri"/>
          <w:color w:val="1F2937"/>
          <w:sz w:val="21"/>
          <w:szCs w:val="21"/>
        </w:rPr>
        <w:t xml:space="preserve">The following constraints should be stated plainly to any stakeholder evaluating this platform for commercial use.</w:t>
      </w:r>
    </w:p>
    <w:tbl>
      <w:tblPr>
        <w:tblW w:type="dxa" w:w="9026"/>
        <w:tblBorders>
          <w:top w:val="single" w:color="C9D1DC" w:sz="4"/>
          <w:left w:val="none"/>
          <w:bottom w:val="single" w:color="C9D1DC" w:sz="4"/>
          <w:right w:val="none"/>
          <w:insideH w:val="single" w:color="E2E8F0" w:sz="2"/>
          <w:insideV w:val="none"/>
        </w:tblBorders>
      </w:tblPr>
      <w:tblGrid>
        <w:gridCol w:w="3000"/>
        <w:gridCol w:w="6026"/>
      </w:tblGrid>
      <w:tr>
        <w:trPr>
          <w:tblHeader/>
        </w:trPr>
        <w:tc>
          <w:tcPr>
            <w:tcW w:type="dxa" w:w="30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Limitation</w:t>
            </w:r>
          </w:p>
        </w:tc>
        <w:tc>
          <w:tcPr>
            <w:tcW w:type="dxa" w:w="60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Consequence</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The dataset is synthetic</w:t>
            </w:r>
          </w:p>
        </w:tc>
        <w:tc>
          <w:tcPr>
            <w:tcW w:type="dxa" w:w="6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Performance figures demonstrate the methodology, not production accuracy. Revalidation on real data is required before deployment.</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No repayment outcomes are present</w:t>
            </w:r>
          </w:p>
        </w:tc>
        <w:tc>
          <w:tcPr>
            <w:tcW w:type="dxa" w:w="60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The models predict an affordability label, not observed default. They answer 'can this customer afford it', not 'will this customer repay'.</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Probabilities are uncalibrated</w:t>
            </w:r>
          </w:p>
        </w:tc>
        <w:tc>
          <w:tcPr>
            <w:tcW w:type="dxa" w:w="6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Class probabilities rank applicants correctly but should not be read as literal default probabilities in pricing.</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Explanations are global</w:t>
            </w:r>
          </w:p>
        </w:tc>
        <w:tc>
          <w:tcPr>
            <w:tcW w:type="dxa" w:w="6026"/>
            <w:shd w:fill="F5F7FA" w:color="auto" w:val="clear"/>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Feature importances describe the model overall, not an individual decision, which limits their use for adverse-action notices.</w:t>
            </w:r>
          </w:p>
        </w:tc>
      </w:tr>
      <w:tr>
        <w:tc>
          <w:tcPr>
            <w:tcW w:type="dxa" w:w="3000"/>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Single point-in-time assessment</w:t>
            </w:r>
          </w:p>
        </w:tc>
        <w:tc>
          <w:tcPr>
            <w:tcW w:type="dxa" w:w="6026"/>
            <w:tcMar>
              <w:top w:type="dxa" w:w="80"/>
              <w:left w:type="dxa" w:w="110"/>
              <w:bottom w:type="dxa" w:w="80"/>
              <w:right w:type="dxa" w:w="110"/>
            </w:tcMar>
          </w:tcPr>
          <w:p>
            <w:pPr>
              <w:spacing w:after="0" w:line="260"/>
            </w:pPr>
            <w:r>
              <w:rPr>
                <w:rFonts w:ascii="Calibri" w:cs="Calibri" w:eastAsia="Calibri" w:hAnsi="Calibri"/>
                <w:color w:val="1F2937"/>
                <w:sz w:val="19"/>
                <w:szCs w:val="19"/>
              </w:rPr>
              <w:t xml:space="preserve">The platform does not monitor an existing borrower's changing circumstances after origination.</w:t>
            </w:r>
          </w:p>
        </w:tc>
      </w:tr>
    </w:tbl>
    <w:p>
      <w:pPr>
        <w:spacing w:after="200" w:before="60"/>
      </w:pPr>
      <w:r>
        <w:rPr>
          <w:rFonts w:ascii="Calibri" w:cs="Calibri" w:eastAsia="Calibri" w:hAnsi="Calibri"/>
          <w:i/>
          <w:iCs/>
          <w:color w:val="5B6678"/>
          <w:sz w:val="17"/>
          <w:szCs w:val="17"/>
        </w:rPr>
        <w:t xml:space="preserve">Table 5. Known limitations and their practical consequences.</w:t>
      </w:r>
    </w:p>
    <w:p>
      <w:pPr>
        <w:pStyle w:val="Heading1"/>
        <w:spacing w:after="160" w:before="340"/>
      </w:pPr>
      <w:r>
        <w:rPr>
          <w:rFonts w:ascii="Calibri" w:cs="Calibri" w:eastAsia="Calibri" w:hAnsi="Calibri"/>
          <w:b/>
          <w:bCs/>
          <w:color w:val="0B1220"/>
          <w:sz w:val="30"/>
          <w:szCs w:val="30"/>
        </w:rPr>
        <w:t xml:space="preserve">7. Conclusion</w:t>
      </w:r>
    </w:p>
    <w:p>
      <w:pPr>
        <w:spacing w:after="120" w:line="276"/>
      </w:pPr>
      <w:r>
        <w:rPr>
          <w:rFonts w:ascii="Calibri" w:cs="Calibri" w:eastAsia="Calibri" w:hAnsi="Calibri"/>
          <w:color w:val="1F2937"/>
          <w:sz w:val="21"/>
          <w:szCs w:val="21"/>
        </w:rPr>
        <w:t xml:space="preserve">EMIPredict AI demonstrates that affordability-based lending decisions can be automated to a high standard of accuracy while remaining transparent and auditable. Both business targets were exceeded on unseen data: 95.2% classification accuracy against a 90% target, and ₹600 regression error against a ₹2,000 target.</w:t>
      </w:r>
    </w:p>
    <w:p>
      <w:pPr>
        <w:spacing w:after="120" w:line="276"/>
      </w:pPr>
      <w:r>
        <w:rPr>
          <w:rFonts w:ascii="Calibri" w:cs="Calibri" w:eastAsia="Calibri" w:hAnsi="Calibri"/>
          <w:color w:val="1F2937"/>
          <w:sz w:val="21"/>
          <w:szCs w:val="21"/>
        </w:rPr>
        <w:t xml:space="preserve">The most valuable outcome is arguably not the accuracy figure but the finding beneath it — that in this portfolio, capacity to pay predicts eligibility far better than credit history does, and that the ratios expressing capacity had to be constructed from data the lender already held. That is a reusable insight for any institution assessing its own lending policy.</w:t>
      </w:r>
    </w:p>
    <w:p>
      <w:pPr>
        <w:spacing w:after="240" w:line="276"/>
      </w:pPr>
      <w:r>
        <w:rPr>
          <w:rFonts w:ascii="Calibri" w:cs="Calibri" w:eastAsia="Calibri" w:hAnsi="Calibri"/>
          <w:color w:val="1F2937"/>
          <w:sz w:val="21"/>
          <w:szCs w:val="21"/>
        </w:rPr>
        <w:t xml:space="preserve">The recommended path is a controlled deployment as decision support, with retraining on real lending data and probability calibration as the two prerequisites for a fuller rollout.</w:t>
      </w:r>
    </w:p>
    <w:p>
      <w:pPr>
        <w:spacing w:after="120" w:line="276"/>
      </w:pPr>
      <w:r>
        <w:rPr>
          <w:rFonts w:ascii="Calibri" w:cs="Calibri" w:eastAsia="Calibri" w:hAnsi="Calibri"/>
          <w:i/>
          <w:iCs/>
          <w:color w:val="5B6678"/>
          <w:sz w:val="18"/>
          <w:szCs w:val="18"/>
        </w:rPr>
        <w:t xml:space="preserve">All figures in this document are derived from the project's own artifacts and analysis: validation and test metrics recorded during training, and portfolio statistics computed from the source dataset.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8"/>
        <w:sz w:val="16"/>
        <w:szCs w:val="16"/>
      </w:rPr>
      <w:t xml:space="preserve">EMIPredict AI — Business Impact Assessment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EMIPredict AI — Business Impact Assessment</dc:title>
  <dc:creator>Sahil Mohammed</dc:creator>
  <cp:lastModifiedBy>Un-named</cp:lastModifiedBy>
  <cp:revision>1</cp:revision>
  <dcterms:created xsi:type="dcterms:W3CDTF">2026-08-26T09:31:10.458Z</dcterms:created>
  <dcterms:modified xsi:type="dcterms:W3CDTF">2026-08-26T09:31:10.458Z</dcterms:modified>
</cp:coreProperties>
</file>

<file path=docProps/custom.xml><?xml version="1.0" encoding="utf-8"?>
<Properties xmlns="http://schemas.openxmlformats.org/officeDocument/2006/custom-properties" xmlns:vt="http://schemas.openxmlformats.org/officeDocument/2006/docPropsVTypes"/>
</file>