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0B1220"/>
          <w:sz w:val="56"/>
          <w:szCs w:val="56"/>
        </w:rPr>
        <w:t xml:space="preserve">EMIPredict AI</w:t>
      </w:r>
    </w:p>
    <w:p>
      <w:pPr>
        <w:spacing w:after="80"/>
      </w:pPr>
      <w:r>
        <w:rPr>
          <w:rFonts w:ascii="Calibri" w:cs="Calibri" w:eastAsia="Calibri" w:hAnsi="Calibri"/>
          <w:color w:val="1D4ED8"/>
          <w:sz w:val="30"/>
          <w:szCs w:val="30"/>
        </w:rPr>
        <w:t xml:space="preserve">Intelligent Financial Risk Assessment Platform</w:t>
      </w:r>
    </w:p>
    <w:p>
      <w:pPr>
        <w:pBdr>
          <w:bottom w:val="single" w:color="1D4ED8" w:sz="8" w:space="8"/>
        </w:pBdr>
        <w:spacing w:after="500"/>
      </w:pPr>
      <w:r>
        <w:rPr>
          <w:rFonts w:ascii="Calibri" w:cs="Calibri" w:eastAsia="Calibri" w:hAnsi="Calibri"/>
          <w:color w:val="5B6678"/>
          <w:sz w:val="22"/>
          <w:szCs w:val="22"/>
        </w:rPr>
        <w:t xml:space="preserve">Technical Documentation — Methodology and Architecture</w:t>
      </w:r>
    </w:p>
    <w:tbl>
      <w:tblPr>
        <w:tblW w:type="dxa" w:w="9026"/>
        <w:tblBorders>
          <w:top w:val="single" w:color="C9D1DC" w:sz="4"/>
          <w:left w:val="none"/>
          <w:bottom w:val="single" w:color="C9D1DC" w:sz="4"/>
          <w:right w:val="none"/>
          <w:insideH w:val="single" w:color="E2E8F0" w:sz="2"/>
          <w:insideV w:val="none"/>
        </w:tblBorders>
      </w:tblPr>
      <w:tblGrid>
        <w:gridCol w:w="2600"/>
        <w:gridCol w:w="6426"/>
      </w:tblGrid>
      <w:tr>
        <w:trPr>
          <w:tblHeader/>
        </w:trPr>
        <w:tc>
          <w:tcPr>
            <w:tcW w:type="dxa" w:w="2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Field</w:t>
            </w:r>
          </w:p>
        </w:tc>
        <w:tc>
          <w:tcPr>
            <w:tcW w:type="dxa" w:w="64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Detail</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Domain</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FinTech and Banking</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Problem type</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Dual: multi-class classification and regression</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Dataset</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404,800 financial profiles · 25 input features · 2 targets</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Production models</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XGBoost Classifier · XGBoost Regressor</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Classification result</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95.17% accuracy on held-out test set (target: &gt;90%)</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Regression result</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RMSE ₹600 on held-out test set (target: &lt;₹2,000)</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Deployment</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Streamlit Cloud, Python 3.14</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Author</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Sahil Mohammed</w:t>
            </w:r>
          </w:p>
        </w:tc>
      </w:tr>
    </w:tbl>
    <w:p>
      <w:r>
        <w:br w:type="page"/>
      </w:r>
    </w:p>
    <w:p>
      <w:pPr>
        <w:pStyle w:val="Heading1"/>
        <w:spacing w:after="160" w:before="340"/>
      </w:pPr>
      <w:r>
        <w:rPr>
          <w:rFonts w:ascii="Calibri" w:cs="Calibri" w:eastAsia="Calibri" w:hAnsi="Calibri"/>
          <w:b/>
          <w:bCs/>
          <w:color w:val="0B1220"/>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40"/>
      </w:pPr>
      <w:r>
        <w:rPr>
          <w:rFonts w:ascii="Calibri" w:cs="Calibri" w:eastAsia="Calibri" w:hAnsi="Calibri"/>
          <w:b/>
          <w:bCs/>
          <w:color w:val="0B1220"/>
          <w:sz w:val="30"/>
          <w:szCs w:val="30"/>
        </w:rPr>
        <w:t xml:space="preserve">1. Executive Summary</w:t>
      </w:r>
    </w:p>
    <w:p>
      <w:pPr>
        <w:spacing w:after="120" w:line="276"/>
      </w:pPr>
      <w:r>
        <w:rPr>
          <w:rFonts w:ascii="Calibri" w:cs="Calibri" w:eastAsia="Calibri" w:hAnsi="Calibri"/>
          <w:color w:val="1F2937"/>
          <w:sz w:val="21"/>
          <w:szCs w:val="21"/>
        </w:rPr>
        <w:t xml:space="preserve">EMIPredict AI is a financial risk assessment platform that answers two underwriting questions for any loan applicant in a single pass: whether the application should be approved, and what monthly instalment the applicant can safely service. It was built on 404,800 applicant profiles spanning five lending products, and is deployed as a public web application backed by versioned, experiment-tracked machine learning models.</w:t>
      </w:r>
    </w:p>
    <w:p>
      <w:pPr>
        <w:spacing w:after="120" w:line="276"/>
      </w:pPr>
      <w:r>
        <w:rPr>
          <w:rFonts w:ascii="Calibri" w:cs="Calibri" w:eastAsia="Calibri" w:hAnsi="Calibri"/>
          <w:color w:val="1F2937"/>
          <w:sz w:val="21"/>
          <w:szCs w:val="21"/>
        </w:rPr>
        <w:t xml:space="preserve">Both business targets set for the project were met on a held-out test set that was never used during training or model selection. The classifier reaches 95.17% accuracy against a 90% target, and the regressor achieves an RMSE of ₹600 against a ₹2,000 target — a 70% margin below the permitted error.</w:t>
      </w:r>
    </w:p>
    <w:p>
      <w:pPr>
        <w:spacing w:after="120" w:line="276"/>
      </w:pPr>
      <w:r>
        <w:rPr>
          <w:rFonts w:ascii="Calibri" w:cs="Calibri" w:eastAsia="Calibri" w:hAnsi="Calibri"/>
          <w:color w:val="1F2937"/>
          <w:sz w:val="21"/>
          <w:szCs w:val="21"/>
        </w:rPr>
        <w:t xml:space="preserve">The engineering emphasis of the project is reproducibility and auditability. Every candidate model is logged to MLflow with its parameters, metrics and diagnostic artifacts; the two winning models are versioned in the model registry and promoted through a production alias. The same feature-engineering module is imported by both the training notebook and the serving application, which removes the training/serving skew that is the most common cause of silent model degradation in production.</w:t>
      </w:r>
    </w:p>
    <w:p>
      <w:pPr>
        <w:pStyle w:val="Heading1"/>
        <w:spacing w:after="160" w:before="340"/>
      </w:pPr>
      <w:r>
        <w:rPr>
          <w:rFonts w:ascii="Calibri" w:cs="Calibri" w:eastAsia="Calibri" w:hAnsi="Calibri"/>
          <w:b/>
          <w:bCs/>
          <w:color w:val="0B1220"/>
          <w:sz w:val="30"/>
          <w:szCs w:val="30"/>
        </w:rPr>
        <w:t xml:space="preserve">2. Problem Statement and Objectives</w:t>
      </w:r>
    </w:p>
    <w:p>
      <w:pPr>
        <w:spacing w:after="120" w:line="276"/>
      </w:pPr>
      <w:r>
        <w:rPr>
          <w:rFonts w:ascii="Calibri" w:cs="Calibri" w:eastAsia="Calibri" w:hAnsi="Calibri"/>
          <w:color w:val="1F2937"/>
          <w:sz w:val="21"/>
          <w:szCs w:val="21"/>
        </w:rPr>
        <w:t xml:space="preserve">Borrowers frequently commit to instalments they cannot sustain, because affordability is assessed inconsistently and largely manually. The project addresses this with a data-driven assessment that is uniform across lending products.</w:t>
      </w:r>
    </w:p>
    <w:p>
      <w:pPr>
        <w:pStyle w:val="Heading2"/>
        <w:spacing w:after="120" w:before="260"/>
      </w:pPr>
      <w:r>
        <w:rPr>
          <w:rFonts w:ascii="Calibri" w:cs="Calibri" w:eastAsia="Calibri" w:hAnsi="Calibri"/>
          <w:b/>
          <w:bCs/>
          <w:color w:val="1D4ED8"/>
          <w:sz w:val="24"/>
          <w:szCs w:val="24"/>
        </w:rPr>
        <w:t xml:space="preserve">2.1 Learning tasks</w:t>
      </w:r>
    </w:p>
    <w:tbl>
      <w:tblPr>
        <w:tblW w:type="dxa" w:w="9026"/>
        <w:tblBorders>
          <w:top w:val="single" w:color="C9D1DC" w:sz="4"/>
          <w:left w:val="none"/>
          <w:bottom w:val="single" w:color="C9D1DC" w:sz="4"/>
          <w:right w:val="none"/>
          <w:insideH w:val="single" w:color="E2E8F0" w:sz="2"/>
          <w:insideV w:val="none"/>
        </w:tblBorders>
      </w:tblPr>
      <w:tblGrid>
        <w:gridCol w:w="1500"/>
        <w:gridCol w:w="2400"/>
        <w:gridCol w:w="5126"/>
      </w:tblGrid>
      <w:tr>
        <w:trPr>
          <w:tblHeader/>
        </w:trPr>
        <w:tc>
          <w:tcPr>
            <w:tcW w:type="dxa" w:w="15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Task</w:t>
            </w:r>
          </w:p>
        </w:tc>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Target</w:t>
            </w:r>
          </w:p>
        </w:tc>
        <w:tc>
          <w:tcPr>
            <w:tcW w:type="dxa" w:w="51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Description</w:t>
            </w:r>
          </w:p>
        </w:tc>
      </w:tr>
      <w:tr>
        <w:tc>
          <w:tcPr>
            <w:tcW w:type="dxa" w:w="15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Classification</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emi_eligibility</w:t>
            </w:r>
          </w:p>
        </w:tc>
        <w:tc>
          <w:tcPr>
            <w:tcW w:type="dxa" w:w="51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Three classes — Eligible, High_Risk, Not_Eligible — supporting risk-based pricing rather than binary rejection</w:t>
            </w:r>
          </w:p>
        </w:tc>
      </w:tr>
      <w:tr>
        <w:tc>
          <w:tcPr>
            <w:tcW w:type="dxa" w:w="15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Regression</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max_monthly_emi</w:t>
            </w:r>
          </w:p>
        </w:tc>
        <w:tc>
          <w:tcPr>
            <w:tcW w:type="dxa" w:w="51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Continuous maximum safe monthly instalment in INR, bounded by the documented domain range of ₹500–₹50,000</w:t>
            </w:r>
          </w:p>
        </w:tc>
      </w:tr>
    </w:tbl>
    <w:p>
      <w:pPr>
        <w:spacing w:after="200" w:before="60"/>
      </w:pPr>
      <w:r>
        <w:rPr>
          <w:rFonts w:ascii="Calibri" w:cs="Calibri" w:eastAsia="Calibri" w:hAnsi="Calibri"/>
          <w:i/>
          <w:iCs/>
          <w:color w:val="5B6678"/>
          <w:sz w:val="17"/>
          <w:szCs w:val="17"/>
        </w:rPr>
        <w:t xml:space="preserve">Table 1. The two supervised learning problems solved by the platform.</w:t>
      </w:r>
    </w:p>
    <w:p>
      <w:pPr>
        <w:pStyle w:val="Heading2"/>
        <w:spacing w:after="120" w:before="260"/>
      </w:pPr>
      <w:r>
        <w:rPr>
          <w:rFonts w:ascii="Calibri" w:cs="Calibri" w:eastAsia="Calibri" w:hAnsi="Calibri"/>
          <w:b/>
          <w:bCs/>
          <w:color w:val="1D4ED8"/>
          <w:sz w:val="24"/>
          <w:szCs w:val="24"/>
        </w:rPr>
        <w:t xml:space="preserve">2.2 Success criteria</w:t>
      </w:r>
    </w:p>
    <w:p>
      <w:pPr>
        <w:pStyle w:val="ListParagraph"/>
        <w:numPr>
          <w:ilvl w:val="0"/>
          <w:numId w:val="2"/>
        </w:numPr>
        <w:spacing w:after="70" w:line="276"/>
      </w:pPr>
      <w:r>
        <w:rPr>
          <w:rFonts w:ascii="Calibri" w:cs="Calibri" w:eastAsia="Calibri" w:hAnsi="Calibri"/>
          <w:color w:val="1F2937"/>
          <w:sz w:val="21"/>
          <w:szCs w:val="21"/>
        </w:rPr>
        <w:t xml:space="preserve">Classification accuracy above 90% on unseen data.</w:t>
      </w:r>
    </w:p>
    <w:p>
      <w:pPr>
        <w:pStyle w:val="ListParagraph"/>
        <w:numPr>
          <w:ilvl w:val="0"/>
          <w:numId w:val="2"/>
        </w:numPr>
        <w:spacing w:after="70" w:line="276"/>
      </w:pPr>
      <w:r>
        <w:rPr>
          <w:rFonts w:ascii="Calibri" w:cs="Calibri" w:eastAsia="Calibri" w:hAnsi="Calibri"/>
          <w:color w:val="1F2937"/>
          <w:sz w:val="21"/>
          <w:szCs w:val="21"/>
        </w:rPr>
        <w:t xml:space="preserve">Regression RMSE below ₹2,000 on unseen data.</w:t>
      </w:r>
    </w:p>
    <w:p>
      <w:pPr>
        <w:pStyle w:val="ListParagraph"/>
        <w:numPr>
          <w:ilvl w:val="0"/>
          <w:numId w:val="2"/>
        </w:numPr>
        <w:spacing w:after="70" w:line="276"/>
      </w:pPr>
      <w:r>
        <w:rPr>
          <w:rFonts w:ascii="Calibri" w:cs="Calibri" w:eastAsia="Calibri" w:hAnsi="Calibri"/>
          <w:color w:val="1F2937"/>
          <w:sz w:val="21"/>
          <w:szCs w:val="21"/>
        </w:rPr>
        <w:t xml:space="preserve">A minimum of three models trained per task, compared on a common protocol.</w:t>
      </w:r>
    </w:p>
    <w:p>
      <w:pPr>
        <w:pStyle w:val="ListParagraph"/>
        <w:numPr>
          <w:ilvl w:val="0"/>
          <w:numId w:val="2"/>
        </w:numPr>
        <w:spacing w:after="70" w:line="276"/>
      </w:pPr>
      <w:r>
        <w:rPr>
          <w:rFonts w:ascii="Calibri" w:cs="Calibri" w:eastAsia="Calibri" w:hAnsi="Calibri"/>
          <w:color w:val="1F2937"/>
          <w:sz w:val="21"/>
          <w:szCs w:val="21"/>
        </w:rPr>
        <w:t xml:space="preserve">Complete MLflow experiment tracking with a model registry.</w:t>
      </w:r>
    </w:p>
    <w:p>
      <w:pPr>
        <w:pStyle w:val="ListParagraph"/>
        <w:numPr>
          <w:ilvl w:val="0"/>
          <w:numId w:val="2"/>
        </w:numPr>
        <w:spacing w:after="70" w:line="276"/>
      </w:pPr>
      <w:r>
        <w:rPr>
          <w:rFonts w:ascii="Calibri" w:cs="Calibri" w:eastAsia="Calibri" w:hAnsi="Calibri"/>
          <w:color w:val="1F2937"/>
          <w:sz w:val="21"/>
          <w:szCs w:val="21"/>
        </w:rPr>
        <w:t xml:space="preserve">A deployed, publicly accessible application performing real-time inference.</w:t>
      </w:r>
    </w:p>
    <w:p>
      <w:pPr>
        <w:pStyle w:val="Heading1"/>
        <w:spacing w:after="160" w:before="340"/>
      </w:pPr>
      <w:r>
        <w:rPr>
          <w:rFonts w:ascii="Calibri" w:cs="Calibri" w:eastAsia="Calibri" w:hAnsi="Calibri"/>
          <w:b/>
          <w:bCs/>
          <w:color w:val="0B1220"/>
          <w:sz w:val="30"/>
          <w:szCs w:val="30"/>
        </w:rPr>
        <w:t xml:space="preserve">3. System Architecture</w:t>
      </w:r>
    </w:p>
    <w:p>
      <w:pPr>
        <w:spacing w:after="120" w:line="276"/>
      </w:pPr>
      <w:r>
        <w:rPr>
          <w:rFonts w:ascii="Calibri" w:cs="Calibri" w:eastAsia="Calibri" w:hAnsi="Calibri"/>
          <w:color w:val="1F2937"/>
          <w:sz w:val="21"/>
          <w:szCs w:val="21"/>
        </w:rPr>
        <w:t xml:space="preserve">The platform is organised into five layers. Each layer has a single responsibility, and the boundary between the model layer and the application layer is a serialised scikit-learn pipeline, so the application contains no modelling logic of its own.</w:t>
      </w:r>
    </w:p>
    <w:tbl>
      <w:tblPr>
        <w:tblW w:type="dxa" w:w="9026"/>
        <w:tblBorders>
          <w:top w:val="single" w:color="C9D1DC" w:sz="4"/>
          <w:left w:val="none"/>
          <w:bottom w:val="single" w:color="C9D1DC" w:sz="4"/>
          <w:right w:val="none"/>
          <w:insideH w:val="single" w:color="E2E8F0" w:sz="2"/>
          <w:insideV w:val="none"/>
        </w:tblBorders>
      </w:tblPr>
      <w:tblGrid>
        <w:gridCol w:w="2100"/>
        <w:gridCol w:w="6926"/>
      </w:tblGrid>
      <w:tr>
        <w:trPr>
          <w:tblHeader/>
        </w:trPr>
        <w:tc>
          <w:tcPr>
            <w:tcW w:type="dxa" w:w="21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Layer</w:t>
            </w:r>
          </w:p>
        </w:tc>
        <w:tc>
          <w:tcPr>
            <w:tcW w:type="dxa" w:w="69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Responsibility and components</w:t>
            </w:r>
          </w:p>
        </w:tc>
      </w:tr>
      <w:tr>
        <w:tc>
          <w:tcPr>
            <w:tcW w:type="dxa" w:w="21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Data</w:t>
            </w:r>
          </w:p>
        </w:tc>
        <w:tc>
          <w:tcPr>
            <w:tcW w:type="dxa" w:w="69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Source dataset of 404,800 profiles; SQLite record store for administrative CRUD operations</w:t>
            </w:r>
          </w:p>
        </w:tc>
      </w:tr>
      <w:tr>
        <w:tc>
          <w:tcPr>
            <w:tcW w:type="dxa" w:w="21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Processing</w:t>
            </w:r>
          </w:p>
        </w:tc>
        <w:tc>
          <w:tcPr>
            <w:tcW w:type="dxa" w:w="69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emi_features.py — shared feature engineering; scikit-learn ColumnTransformer for imputation, scaling and encoding</w:t>
            </w:r>
          </w:p>
        </w:tc>
      </w:tr>
      <w:tr>
        <w:tc>
          <w:tcPr>
            <w:tcW w:type="dxa" w:w="21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Model</w:t>
            </w:r>
          </w:p>
        </w:tc>
        <w:tc>
          <w:tcPr>
            <w:tcW w:type="dxa" w:w="69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Three classifiers and three regressors; the selected pair serialised as pipelines with joblib</w:t>
            </w:r>
          </w:p>
        </w:tc>
      </w:tr>
      <w:tr>
        <w:tc>
          <w:tcPr>
            <w:tcW w:type="dxa" w:w="21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Tracking</w:t>
            </w:r>
          </w:p>
        </w:tc>
        <w:tc>
          <w:tcPr>
            <w:tcW w:type="dxa" w:w="69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MLflow SQLite backend storing experiments, runs, metrics, parameters, artifacts and the model registry</w:t>
            </w:r>
          </w:p>
        </w:tc>
      </w:tr>
      <w:tr>
        <w:tc>
          <w:tcPr>
            <w:tcW w:type="dxa" w:w="21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Application</w:t>
            </w:r>
          </w:p>
        </w:tc>
        <w:tc>
          <w:tcPr>
            <w:tcW w:type="dxa" w:w="69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Streamlit multi-page interface with a router, view modules, reusable components and a centralised stylesheet</w:t>
            </w:r>
          </w:p>
        </w:tc>
      </w:tr>
    </w:tbl>
    <w:p>
      <w:pPr>
        <w:spacing w:after="200" w:before="60"/>
      </w:pPr>
      <w:r>
        <w:rPr>
          <w:rFonts w:ascii="Calibri" w:cs="Calibri" w:eastAsia="Calibri" w:hAnsi="Calibri"/>
          <w:i/>
          <w:iCs/>
          <w:color w:val="5B6678"/>
          <w:sz w:val="17"/>
          <w:szCs w:val="17"/>
        </w:rPr>
        <w:t xml:space="preserve">Table 2. Architectural layers and their components.</w:t>
      </w:r>
    </w:p>
    <w:p>
      <w:pPr>
        <w:pStyle w:val="Heading2"/>
        <w:spacing w:after="120" w:before="260"/>
      </w:pPr>
      <w:r>
        <w:rPr>
          <w:rFonts w:ascii="Calibri" w:cs="Calibri" w:eastAsia="Calibri" w:hAnsi="Calibri"/>
          <w:b/>
          <w:bCs/>
          <w:color w:val="1D4ED8"/>
          <w:sz w:val="24"/>
          <w:szCs w:val="24"/>
        </w:rPr>
        <w:t xml:space="preserve">3.1 Processing pipeline</w:t>
      </w:r>
    </w:p>
    <w:p>
      <w:pPr>
        <w:spacing w:after="120" w:line="276"/>
      </w:pPr>
      <w:r>
        <w:rPr>
          <w:rFonts w:ascii="Calibri" w:cs="Calibri" w:eastAsia="Calibri" w:hAnsi="Calibri"/>
          <w:color w:val="1F2937"/>
          <w:sz w:val="21"/>
          <w:szCs w:val="21"/>
        </w:rPr>
        <w:t xml:space="preserve">Data flows through the system in a fixed sequence: raw dataset → quality assessment and cleaning → feature engineering → train/validation/test split → model training with MLflow tracking → model evaluation and selection → registry promotion → serialised artifacts → the Streamlit application → cloud deployment.</w:t>
      </w:r>
    </w:p>
    <w:p>
      <w:pPr>
        <w:pStyle w:val="Heading2"/>
        <w:spacing w:after="120" w:before="260"/>
      </w:pPr>
      <w:r>
        <w:rPr>
          <w:rFonts w:ascii="Calibri" w:cs="Calibri" w:eastAsia="Calibri" w:hAnsi="Calibri"/>
          <w:b/>
          <w:bCs/>
          <w:color w:val="1D4ED8"/>
          <w:sz w:val="24"/>
          <w:szCs w:val="24"/>
        </w:rPr>
        <w:t xml:space="preserve">3.2 Technology stack</w:t>
      </w:r>
    </w:p>
    <w:tbl>
      <w:tblPr>
        <w:tblW w:type="dxa" w:w="9026"/>
        <w:tblBorders>
          <w:top w:val="single" w:color="C9D1DC" w:sz="4"/>
          <w:left w:val="none"/>
          <w:bottom w:val="single" w:color="C9D1DC" w:sz="4"/>
          <w:right w:val="none"/>
          <w:insideH w:val="single" w:color="E2E8F0" w:sz="2"/>
          <w:insideV w:val="none"/>
        </w:tblBorders>
      </w:tblPr>
      <w:tblGrid>
        <w:gridCol w:w="2400"/>
        <w:gridCol w:w="2400"/>
        <w:gridCol w:w="4226"/>
      </w:tblGrid>
      <w:tr>
        <w:trPr>
          <w:tblHeader/>
        </w:trPr>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Component</w:t>
            </w:r>
          </w:p>
        </w:tc>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Technology</w:t>
            </w:r>
          </w:p>
        </w:tc>
        <w:tc>
          <w:tcPr>
            <w:tcW w:type="dxa" w:w="42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Purpose</w:t>
            </w:r>
          </w:p>
        </w:tc>
      </w:tr>
      <w:tr>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Language</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Python 3.14 (deployment)</w:t>
            </w:r>
          </w:p>
        </w:tc>
        <w:tc>
          <w:tcPr>
            <w:tcW w:type="dxa" w:w="4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Application runtime on Streamlit Cloud</w:t>
            </w:r>
          </w:p>
        </w:tc>
      </w:tr>
      <w:tr>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Data processing</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pandas 2.3.3, NumPy</w:t>
            </w:r>
          </w:p>
        </w:tc>
        <w:tc>
          <w:tcPr>
            <w:tcW w:type="dxa" w:w="42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Loading, cleaning and transformation</w:t>
            </w:r>
          </w:p>
        </w:tc>
      </w:tr>
      <w:tr>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Modelling</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scikit-learn 1.7.2, XGBoost 3.2.0</w:t>
            </w:r>
          </w:p>
        </w:tc>
        <w:tc>
          <w:tcPr>
            <w:tcW w:type="dxa" w:w="4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Pipelines, baselines and gradient boosting</w:t>
            </w:r>
          </w:p>
        </w:tc>
      </w:tr>
      <w:tr>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Tracking</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MLflow 3.15.1</w:t>
            </w:r>
          </w:p>
        </w:tc>
        <w:tc>
          <w:tcPr>
            <w:tcW w:type="dxa" w:w="42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Experiments, metrics, artifacts, model registry</w:t>
            </w:r>
          </w:p>
        </w:tc>
      </w:tr>
      <w:tr>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Application</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Streamlit 1.62, Plotly</w:t>
            </w:r>
          </w:p>
        </w:tc>
        <w:tc>
          <w:tcPr>
            <w:tcW w:type="dxa" w:w="4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Web interface and interactive charts</w:t>
            </w:r>
          </w:p>
        </w:tc>
      </w:tr>
      <w:tr>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Reporting</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ReportLab</w:t>
            </w:r>
          </w:p>
        </w:tc>
        <w:tc>
          <w:tcPr>
            <w:tcW w:type="dxa" w:w="42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PDF assessment reports</w:t>
            </w:r>
          </w:p>
        </w:tc>
      </w:tr>
    </w:tbl>
    <w:p>
      <w:pPr>
        <w:spacing w:after="200" w:before="60"/>
      </w:pPr>
      <w:r>
        <w:rPr>
          <w:rFonts w:ascii="Calibri" w:cs="Calibri" w:eastAsia="Calibri" w:hAnsi="Calibri"/>
          <w:i/>
          <w:iCs/>
          <w:color w:val="5B6678"/>
          <w:sz w:val="17"/>
          <w:szCs w:val="17"/>
        </w:rPr>
        <w:t xml:space="preserve">Table 3. Technology stack with the versions used in the deployed environment.</w:t>
      </w:r>
    </w:p>
    <w:p>
      <w:pPr>
        <w:pStyle w:val="Heading1"/>
        <w:spacing w:after="160" w:before="340"/>
      </w:pPr>
      <w:r>
        <w:rPr>
          <w:rFonts w:ascii="Calibri" w:cs="Calibri" w:eastAsia="Calibri" w:hAnsi="Calibri"/>
          <w:b/>
          <w:bCs/>
          <w:color w:val="0B1220"/>
          <w:sz w:val="30"/>
          <w:szCs w:val="30"/>
        </w:rPr>
        <w:t xml:space="preserve">4. Dataset</w:t>
      </w:r>
    </w:p>
    <w:p>
      <w:pPr>
        <w:spacing w:after="120" w:line="276"/>
      </w:pPr>
      <w:r>
        <w:rPr>
          <w:rFonts w:ascii="Calibri" w:cs="Calibri" w:eastAsia="Calibri" w:hAnsi="Calibri"/>
          <w:color w:val="1F2937"/>
          <w:sz w:val="21"/>
          <w:szCs w:val="21"/>
        </w:rPr>
        <w:t xml:space="preserve">The dataset contains 404,800 applicant records across 27 columns: 25 input variables and the two target variables. Records are distributed near-uniformly across five lending products, each with roughly 80,000 applications.</w:t>
      </w:r>
    </w:p>
    <w:p>
      <w:pPr>
        <w:pStyle w:val="Heading2"/>
        <w:spacing w:after="120" w:before="260"/>
      </w:pPr>
      <w:r>
        <w:rPr>
          <w:rFonts w:ascii="Calibri" w:cs="Calibri" w:eastAsia="Calibri" w:hAnsi="Calibri"/>
          <w:b/>
          <w:bCs/>
          <w:color w:val="1D4ED8"/>
          <w:sz w:val="24"/>
          <w:szCs w:val="24"/>
        </w:rPr>
        <w:t xml:space="preserve">4.1 Input variables</w:t>
      </w:r>
    </w:p>
    <w:tbl>
      <w:tblPr>
        <w:tblW w:type="dxa" w:w="9026"/>
        <w:tblBorders>
          <w:top w:val="single" w:color="C9D1DC" w:sz="4"/>
          <w:left w:val="none"/>
          <w:bottom w:val="single" w:color="C9D1DC" w:sz="4"/>
          <w:right w:val="none"/>
          <w:insideH w:val="single" w:color="E2E8F0" w:sz="2"/>
          <w:insideV w:val="none"/>
        </w:tblBorders>
      </w:tblPr>
      <w:tblGrid>
        <w:gridCol w:w="2300"/>
        <w:gridCol w:w="6726"/>
      </w:tblGrid>
      <w:tr>
        <w:trPr>
          <w:tblHeader/>
        </w:trPr>
        <w:tc>
          <w:tcPr>
            <w:tcW w:type="dxa" w:w="23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Group</w:t>
            </w:r>
          </w:p>
        </w:tc>
        <w:tc>
          <w:tcPr>
            <w:tcW w:type="dxa" w:w="67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Variables</w:t>
            </w:r>
          </w:p>
        </w:tc>
      </w:tr>
      <w:tr>
        <w:tc>
          <w:tcPr>
            <w:tcW w:type="dxa" w:w="23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Personal demographics</w:t>
            </w:r>
          </w:p>
        </w:tc>
        <w:tc>
          <w:tcPr>
            <w:tcW w:type="dxa" w:w="67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age, gender, marital_status, education</w:t>
            </w:r>
          </w:p>
        </w:tc>
      </w:tr>
      <w:tr>
        <w:tc>
          <w:tcPr>
            <w:tcW w:type="dxa" w:w="23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Employment and income</w:t>
            </w:r>
          </w:p>
        </w:tc>
        <w:tc>
          <w:tcPr>
            <w:tcW w:type="dxa" w:w="67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monthly_salary, employment_type, years_of_employment, company_type</w:t>
            </w:r>
          </w:p>
        </w:tc>
      </w:tr>
      <w:tr>
        <w:tc>
          <w:tcPr>
            <w:tcW w:type="dxa" w:w="23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Housing and family</w:t>
            </w:r>
          </w:p>
        </w:tc>
        <w:tc>
          <w:tcPr>
            <w:tcW w:type="dxa" w:w="67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house_type, monthly_rent, family_size, dependents</w:t>
            </w:r>
          </w:p>
        </w:tc>
      </w:tr>
      <w:tr>
        <w:tc>
          <w:tcPr>
            <w:tcW w:type="dxa" w:w="23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Monthly obligations</w:t>
            </w:r>
          </w:p>
        </w:tc>
        <w:tc>
          <w:tcPr>
            <w:tcW w:type="dxa" w:w="67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school_fees, college_fees, travel_expenses, groceries_utilities, other_monthly_expenses</w:t>
            </w:r>
          </w:p>
        </w:tc>
      </w:tr>
      <w:tr>
        <w:tc>
          <w:tcPr>
            <w:tcW w:type="dxa" w:w="23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Credit and liquidity</w:t>
            </w:r>
          </w:p>
        </w:tc>
        <w:tc>
          <w:tcPr>
            <w:tcW w:type="dxa" w:w="67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existing_loans, current_emi_amount, credit_score, bank_balance, emergency_fund</w:t>
            </w:r>
          </w:p>
        </w:tc>
      </w:tr>
      <w:tr>
        <w:tc>
          <w:tcPr>
            <w:tcW w:type="dxa" w:w="23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Loan request</w:t>
            </w:r>
          </w:p>
        </w:tc>
        <w:tc>
          <w:tcPr>
            <w:tcW w:type="dxa" w:w="67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emi_scenario, requested_amount, requested_tenure</w:t>
            </w:r>
          </w:p>
        </w:tc>
      </w:tr>
    </w:tbl>
    <w:p>
      <w:pPr>
        <w:spacing w:after="200" w:before="60"/>
      </w:pPr>
      <w:r>
        <w:rPr>
          <w:rFonts w:ascii="Calibri" w:cs="Calibri" w:eastAsia="Calibri" w:hAnsi="Calibri"/>
          <w:i/>
          <w:iCs/>
          <w:color w:val="5B6678"/>
          <w:sz w:val="17"/>
          <w:szCs w:val="17"/>
        </w:rPr>
        <w:t xml:space="preserve">Table 4. The 25 input variables, grouped as presented in the application form.</w:t>
      </w:r>
    </w:p>
    <w:p>
      <w:pPr>
        <w:pStyle w:val="Heading2"/>
        <w:spacing w:after="120" w:before="260"/>
      </w:pPr>
      <w:r>
        <w:rPr>
          <w:rFonts w:ascii="Calibri" w:cs="Calibri" w:eastAsia="Calibri" w:hAnsi="Calibri"/>
          <w:b/>
          <w:bCs/>
          <w:color w:val="1D4ED8"/>
          <w:sz w:val="24"/>
          <w:szCs w:val="24"/>
        </w:rPr>
        <w:t xml:space="preserve">4.2 Lending products</w:t>
      </w:r>
    </w:p>
    <w:tbl>
      <w:tblPr>
        <w:tblW w:type="dxa" w:w="9026"/>
        <w:tblBorders>
          <w:top w:val="single" w:color="C9D1DC" w:sz="4"/>
          <w:left w:val="none"/>
          <w:bottom w:val="single" w:color="C9D1DC" w:sz="4"/>
          <w:right w:val="none"/>
          <w:insideH w:val="single" w:color="E2E8F0" w:sz="2"/>
          <w:insideV w:val="none"/>
        </w:tblBorders>
      </w:tblPr>
      <w:tblGrid>
        <w:gridCol w:w="3200"/>
        <w:gridCol w:w="2913"/>
        <w:gridCol w:w="2913"/>
      </w:tblGrid>
      <w:tr>
        <w:trPr>
          <w:tblHeader/>
        </w:trPr>
        <w:tc>
          <w:tcPr>
            <w:tcW w:type="dxa" w:w="32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EMI scenario</w:t>
            </w:r>
          </w:p>
        </w:tc>
        <w:tc>
          <w:tcPr>
            <w:tcW w:type="dxa" w:w="2913"/>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Amount range</w:t>
            </w:r>
          </w:p>
        </w:tc>
        <w:tc>
          <w:tcPr>
            <w:tcW w:type="dxa" w:w="2913"/>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Tenure range</w:t>
            </w:r>
          </w:p>
        </w:tc>
      </w:tr>
      <w:tr>
        <w:tc>
          <w:tcPr>
            <w:tcW w:type="dxa" w:w="32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E-commerce Shopping</w:t>
            </w:r>
          </w:p>
        </w:tc>
        <w:tc>
          <w:tcPr>
            <w:tcW w:type="dxa" w:w="2913"/>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₹10K – ₹200K</w:t>
            </w:r>
          </w:p>
        </w:tc>
        <w:tc>
          <w:tcPr>
            <w:tcW w:type="dxa" w:w="2913"/>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3 – 24 months</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Home Appliances</w:t>
            </w:r>
          </w:p>
        </w:tc>
        <w:tc>
          <w:tcPr>
            <w:tcW w:type="dxa" w:w="2913"/>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₹20K – ₹300K</w:t>
            </w:r>
          </w:p>
        </w:tc>
        <w:tc>
          <w:tcPr>
            <w:tcW w:type="dxa" w:w="2913"/>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6 – 36 months</w:t>
            </w:r>
          </w:p>
        </w:tc>
      </w:tr>
      <w:tr>
        <w:tc>
          <w:tcPr>
            <w:tcW w:type="dxa" w:w="32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Vehicle</w:t>
            </w:r>
          </w:p>
        </w:tc>
        <w:tc>
          <w:tcPr>
            <w:tcW w:type="dxa" w:w="2913"/>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₹80K – ₹1,500K</w:t>
            </w:r>
          </w:p>
        </w:tc>
        <w:tc>
          <w:tcPr>
            <w:tcW w:type="dxa" w:w="2913"/>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12 – 84 months</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Personal Loan</w:t>
            </w:r>
          </w:p>
        </w:tc>
        <w:tc>
          <w:tcPr>
            <w:tcW w:type="dxa" w:w="2913"/>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₹50K – ₹1,000K</w:t>
            </w:r>
          </w:p>
        </w:tc>
        <w:tc>
          <w:tcPr>
            <w:tcW w:type="dxa" w:w="2913"/>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12 – 60 months</w:t>
            </w:r>
          </w:p>
        </w:tc>
      </w:tr>
      <w:tr>
        <w:tc>
          <w:tcPr>
            <w:tcW w:type="dxa" w:w="32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Education</w:t>
            </w:r>
          </w:p>
        </w:tc>
        <w:tc>
          <w:tcPr>
            <w:tcW w:type="dxa" w:w="2913"/>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₹50K – ₹500K</w:t>
            </w:r>
          </w:p>
        </w:tc>
        <w:tc>
          <w:tcPr>
            <w:tcW w:type="dxa" w:w="2913"/>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6 – 48 months</w:t>
            </w:r>
          </w:p>
        </w:tc>
      </w:tr>
    </w:tbl>
    <w:p>
      <w:pPr>
        <w:spacing w:after="200" w:before="60"/>
      </w:pPr>
      <w:r>
        <w:rPr>
          <w:rFonts w:ascii="Calibri" w:cs="Calibri" w:eastAsia="Calibri" w:hAnsi="Calibri"/>
          <w:i/>
          <w:iCs/>
          <w:color w:val="5B6678"/>
          <w:sz w:val="17"/>
          <w:szCs w:val="17"/>
        </w:rPr>
        <w:t xml:space="preserve">Table 5. Lending products covered by the dataset.</w:t>
      </w:r>
    </w:p>
    <w:p>
      <w:pPr>
        <w:pStyle w:val="Heading1"/>
        <w:spacing w:after="160" w:before="340"/>
      </w:pPr>
      <w:r>
        <w:rPr>
          <w:rFonts w:ascii="Calibri" w:cs="Calibri" w:eastAsia="Calibri" w:hAnsi="Calibri"/>
          <w:b/>
          <w:bCs/>
          <w:color w:val="0B1220"/>
          <w:sz w:val="30"/>
          <w:szCs w:val="30"/>
        </w:rPr>
        <w:t xml:space="preserve">5. Data Quality Assessment and Preprocessing</w:t>
      </w:r>
    </w:p>
    <w:p>
      <w:pPr>
        <w:spacing w:after="120" w:line="276"/>
      </w:pPr>
      <w:r>
        <w:rPr>
          <w:rFonts w:ascii="Calibri" w:cs="Calibri" w:eastAsia="Calibri" w:hAnsi="Calibri"/>
          <w:color w:val="1F2937"/>
          <w:sz w:val="21"/>
          <w:szCs w:val="21"/>
        </w:rPr>
        <w:t xml:space="preserve">The raw file contains defects representative of production banking data. Each was identified through an explicit audit and corrected with a documented rule, since a regulated lender must be able to explain every transformation applied to an applicant's data.</w:t>
      </w:r>
    </w:p>
    <w:p>
      <w:pPr>
        <w:pStyle w:val="Heading2"/>
        <w:spacing w:after="120" w:before="260"/>
      </w:pPr>
      <w:r>
        <w:rPr>
          <w:rFonts w:ascii="Calibri" w:cs="Calibri" w:eastAsia="Calibri" w:hAnsi="Calibri"/>
          <w:b/>
          <w:bCs/>
          <w:color w:val="1D4ED8"/>
          <w:sz w:val="24"/>
          <w:szCs w:val="24"/>
        </w:rPr>
        <w:t xml:space="preserve">5.1 Defects identified and remediation</w:t>
      </w:r>
    </w:p>
    <w:tbl>
      <w:tblPr>
        <w:tblW w:type="dxa" w:w="9026"/>
        <w:tblBorders>
          <w:top w:val="single" w:color="C9D1DC" w:sz="4"/>
          <w:left w:val="none"/>
          <w:bottom w:val="single" w:color="C9D1DC" w:sz="4"/>
          <w:right w:val="none"/>
          <w:insideH w:val="single" w:color="E2E8F0" w:sz="2"/>
          <w:insideV w:val="none"/>
        </w:tblBorders>
      </w:tblPr>
      <w:tblGrid>
        <w:gridCol w:w="2500"/>
        <w:gridCol w:w="1500"/>
        <w:gridCol w:w="5026"/>
      </w:tblGrid>
      <w:tr>
        <w:trPr>
          <w:tblHeader/>
        </w:trPr>
        <w:tc>
          <w:tcPr>
            <w:tcW w:type="dxa" w:w="25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Defect</w:t>
            </w:r>
          </w:p>
        </w:tc>
        <w:tc>
          <w:tcPr>
            <w:tcW w:type="dxa" w:w="15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Volume</w:t>
            </w:r>
          </w:p>
        </w:tc>
        <w:tc>
          <w:tcPr>
            <w:tcW w:type="dxa" w:w="50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Remediation rule</w:t>
            </w:r>
          </w:p>
        </w:tc>
      </w:tr>
      <w:tr>
        <w:tc>
          <w:tcPr>
            <w:tcW w:type="dxa" w:w="25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Corrupted numeric strings (e.g. '64300.0.0') in age, monthly_salary, bank_balance</w:t>
            </w:r>
          </w:p>
        </w:tc>
        <w:tc>
          <w:tcPr>
            <w:tcW w:type="dxa" w:w="15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3,962 values</w:t>
            </w:r>
          </w:p>
        </w:tc>
        <w:tc>
          <w:tcPr>
            <w:tcW w:type="dxa" w:w="5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Regular expression extracts the leading valid float; the column is then cast to a numeric type</w:t>
            </w:r>
          </w:p>
        </w:tc>
      </w:tr>
      <w:tr>
        <w:tc>
          <w:tcPr>
            <w:tcW w:type="dxa" w:w="25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Eight spelling variants of gender (Male, MALE, M, male, …)</w:t>
            </w:r>
          </w:p>
        </w:tc>
        <w:tc>
          <w:tcPr>
            <w:tcW w:type="dxa" w:w="15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8 distinct labels</w:t>
            </w:r>
          </w:p>
        </w:tc>
        <w:tc>
          <w:tcPr>
            <w:tcW w:type="dxa" w:w="5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Normalised to lowercase and mapped to two canonical categories</w:t>
            </w:r>
          </w:p>
        </w:tc>
      </w:tr>
      <w:tr>
        <w:tc>
          <w:tcPr>
            <w:tcW w:type="dxa" w:w="25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Credit scores outside the valid 300–850 range</w:t>
            </w:r>
          </w:p>
        </w:tc>
        <w:tc>
          <w:tcPr>
            <w:tcW w:type="dxa" w:w="15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4,776 values</w:t>
            </w:r>
          </w:p>
        </w:tc>
        <w:tc>
          <w:tcPr>
            <w:tcW w:type="dxa" w:w="5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Treated as missing, then imputed with the column median</w:t>
            </w:r>
          </w:p>
        </w:tc>
      </w:tr>
      <w:tr>
        <w:tc>
          <w:tcPr>
            <w:tcW w:type="dxa" w:w="25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Home owners recorded with positive monthly rent</w:t>
            </w:r>
          </w:p>
        </w:tc>
        <w:tc>
          <w:tcPr>
            <w:tcW w:type="dxa" w:w="15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2,547 records</w:t>
            </w:r>
          </w:p>
        </w:tc>
        <w:tc>
          <w:tcPr>
            <w:tcW w:type="dxa" w:w="5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Rent set to zero, as ownership precludes rent</w:t>
            </w:r>
          </w:p>
        </w:tc>
      </w:tr>
      <w:tr>
        <w:tc>
          <w:tcPr>
            <w:tcW w:type="dxa" w:w="25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Missing values across education, monthly_rent, credit_score, bank_balance, emergency_fund</w:t>
            </w:r>
          </w:p>
        </w:tc>
        <w:tc>
          <w:tcPr>
            <w:tcW w:type="dxa" w:w="15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12,027 cells</w:t>
            </w:r>
          </w:p>
        </w:tc>
        <w:tc>
          <w:tcPr>
            <w:tcW w:type="dxa" w:w="5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Mode for the categorical field; median within house_type for rent; column median for the remainder</w:t>
            </w:r>
          </w:p>
        </w:tc>
      </w:tr>
      <w:tr>
        <w:tc>
          <w:tcPr>
            <w:tcW w:type="dxa" w:w="25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Regression target outside the documented ₹500–₹50,000 range</w:t>
            </w:r>
          </w:p>
        </w:tc>
        <w:tc>
          <w:tcPr>
            <w:tcW w:type="dxa" w:w="15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Clipped</w:t>
            </w:r>
          </w:p>
        </w:tc>
        <w:tc>
          <w:tcPr>
            <w:tcW w:type="dxa" w:w="5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Bounded to the documented domain range</w:t>
            </w:r>
          </w:p>
        </w:tc>
      </w:tr>
    </w:tbl>
    <w:p>
      <w:pPr>
        <w:spacing w:after="200" w:before="60"/>
      </w:pPr>
      <w:r>
        <w:rPr>
          <w:rFonts w:ascii="Calibri" w:cs="Calibri" w:eastAsia="Calibri" w:hAnsi="Calibri"/>
          <w:i/>
          <w:iCs/>
          <w:color w:val="5B6678"/>
          <w:sz w:val="17"/>
          <w:szCs w:val="17"/>
        </w:rPr>
        <w:t xml:space="preserve">Table 6. Data quality defects and the remediation applied to each.</w:t>
      </w:r>
    </w:p>
    <w:p>
      <w:pPr>
        <w:pStyle w:val="Heading2"/>
        <w:spacing w:after="120" w:before="260"/>
      </w:pPr>
      <w:r>
        <w:rPr>
          <w:rFonts w:ascii="Calibri" w:cs="Calibri" w:eastAsia="Calibri" w:hAnsi="Calibri"/>
          <w:b/>
          <w:bCs/>
          <w:color w:val="1D4ED8"/>
          <w:sz w:val="24"/>
          <w:szCs w:val="24"/>
        </w:rPr>
        <w:t xml:space="preserve">5.2 Imputation rationale</w:t>
      </w:r>
    </w:p>
    <w:p>
      <w:pPr>
        <w:spacing w:after="120" w:line="276"/>
      </w:pPr>
      <w:r>
        <w:rPr>
          <w:rFonts w:ascii="Calibri" w:cs="Calibri" w:eastAsia="Calibri" w:hAnsi="Calibri"/>
          <w:color w:val="1F2937"/>
          <w:sz w:val="21"/>
          <w:szCs w:val="21"/>
        </w:rPr>
        <w:t xml:space="preserve">Imputation strategies were chosen per column rather than applied uniformly. Education is categorical, so the mode preserves the existing distribution. Monthly rent depends strongly on housing type, so it is imputed with the median within each house_type group rather than the global median, which would otherwise assign rent to owners. Credit score, bank balance and emergency fund are heavily right-skewed, so the median is used in preference to the mean, which the affluent tail would distort.</w:t>
      </w:r>
    </w:p>
    <w:p>
      <w:pPr>
        <w:pStyle w:val="Heading2"/>
        <w:spacing w:after="120" w:before="260"/>
      </w:pPr>
      <w:r>
        <w:rPr>
          <w:rFonts w:ascii="Calibri" w:cs="Calibri" w:eastAsia="Calibri" w:hAnsi="Calibri"/>
          <w:b/>
          <w:bCs/>
          <w:color w:val="1D4ED8"/>
          <w:sz w:val="24"/>
          <w:szCs w:val="24"/>
        </w:rPr>
        <w:t xml:space="preserve">5.3 Outlier treatment</w:t>
      </w:r>
    </w:p>
    <w:p>
      <w:pPr>
        <w:spacing w:after="120" w:line="276"/>
      </w:pPr>
      <w:r>
        <w:rPr>
          <w:rFonts w:ascii="Calibri" w:cs="Calibri" w:eastAsia="Calibri" w:hAnsi="Calibri"/>
          <w:color w:val="1F2937"/>
          <w:sz w:val="21"/>
          <w:szCs w:val="21"/>
        </w:rPr>
        <w:t xml:space="preserve">Monetary columns were winsorised at the 0.5th and 99.5th percentiles rather than having outlier rows removed. Extreme but plausible values — a very high salary, a large bank balance — are legitimate applicants, not errors; discarding them would bias the model against high-income customers. Capping limits their leverage while retaining the records.</w:t>
      </w:r>
    </w:p>
    <w:p>
      <w:pPr>
        <w:pStyle w:val="Heading1"/>
        <w:spacing w:after="160" w:before="340"/>
      </w:pPr>
      <w:r>
        <w:rPr>
          <w:rFonts w:ascii="Calibri" w:cs="Calibri" w:eastAsia="Calibri" w:hAnsi="Calibri"/>
          <w:b/>
          <w:bCs/>
          <w:color w:val="0B1220"/>
          <w:sz w:val="30"/>
          <w:szCs w:val="30"/>
        </w:rPr>
        <w:t xml:space="preserve">6. Exploratory Data Analysis</w:t>
      </w:r>
    </w:p>
    <w:p>
      <w:pPr>
        <w:spacing w:after="120" w:line="276"/>
      </w:pPr>
      <w:r>
        <w:rPr>
          <w:rFonts w:ascii="Calibri" w:cs="Calibri" w:eastAsia="Calibri" w:hAnsi="Calibri"/>
          <w:color w:val="1F2937"/>
          <w:sz w:val="21"/>
          <w:szCs w:val="21"/>
        </w:rPr>
        <w:t xml:space="preserve">Fifteen visualisations were produced covering target distributions, correlation structure, demographic patterns and product-level behaviour. The findings below shaped both the feature engineering and the model evaluation strategy.</w:t>
      </w:r>
    </w:p>
    <w:p>
      <w:pPr>
        <w:pStyle w:val="Heading2"/>
        <w:spacing w:after="120" w:before="260"/>
      </w:pPr>
      <w:r>
        <w:rPr>
          <w:rFonts w:ascii="Calibri" w:cs="Calibri" w:eastAsia="Calibri" w:hAnsi="Calibri"/>
          <w:b/>
          <w:bCs/>
          <w:color w:val="1D4ED8"/>
          <w:sz w:val="24"/>
          <w:szCs w:val="24"/>
        </w:rPr>
        <w:t xml:space="preserve">6.1 Class distribution</w:t>
      </w:r>
    </w:p>
    <w:tbl>
      <w:tblPr>
        <w:tblW w:type="dxa" w:w="9026"/>
        <w:tblBorders>
          <w:top w:val="single" w:color="C9D1DC" w:sz="4"/>
          <w:left w:val="none"/>
          <w:bottom w:val="single" w:color="C9D1DC" w:sz="4"/>
          <w:right w:val="none"/>
          <w:insideH w:val="single" w:color="E2E8F0" w:sz="2"/>
          <w:insideV w:val="none"/>
        </w:tblBorders>
      </w:tblPr>
      <w:tblGrid>
        <w:gridCol w:w="3000"/>
        <w:gridCol w:w="2000"/>
        <w:gridCol w:w="4026"/>
      </w:tblGrid>
      <w:tr>
        <w:trPr>
          <w:tblHeader/>
        </w:trPr>
        <w:tc>
          <w:tcPr>
            <w:tcW w:type="dxa" w:w="3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Class</w:t>
            </w:r>
          </w:p>
        </w:tc>
        <w:tc>
          <w:tcPr>
            <w:tcW w:type="dxa" w:w="2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Share</w:t>
            </w:r>
          </w:p>
        </w:tc>
        <w:tc>
          <w:tcPr>
            <w:tcW w:type="dxa" w:w="40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Interpretation</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Not_Eligible</w:t>
            </w:r>
          </w:p>
        </w:tc>
        <w:tc>
          <w:tcPr>
            <w:tcW w:type="dxa" w:w="2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77.3%</w:t>
            </w:r>
          </w:p>
        </w:tc>
        <w:tc>
          <w:tcPr>
            <w:tcW w:type="dxa" w:w="4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The dominant outcome; a naive majority-class predictor would score 77% accuracy</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Eligible</w:t>
            </w:r>
          </w:p>
        </w:tc>
        <w:tc>
          <w:tcPr>
            <w:tcW w:type="dxa" w:w="2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18.4%</w:t>
            </w:r>
          </w:p>
        </w:tc>
        <w:tc>
          <w:tcPr>
            <w:tcW w:type="dxa" w:w="4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Approved applications</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High_Risk</w:t>
            </w:r>
          </w:p>
        </w:tc>
        <w:tc>
          <w:tcPr>
            <w:tcW w:type="dxa" w:w="2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4.3%</w:t>
            </w:r>
          </w:p>
        </w:tc>
        <w:tc>
          <w:tcPr>
            <w:tcW w:type="dxa" w:w="4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The smallest and operationally most valuable class — marginal cases suited to risk-based pricing</w:t>
            </w:r>
          </w:p>
        </w:tc>
      </w:tr>
    </w:tbl>
    <w:p>
      <w:pPr>
        <w:spacing w:after="200" w:before="60"/>
      </w:pPr>
      <w:r>
        <w:rPr>
          <w:rFonts w:ascii="Calibri" w:cs="Calibri" w:eastAsia="Calibri" w:hAnsi="Calibri"/>
          <w:i/>
          <w:iCs/>
          <w:color w:val="5B6678"/>
          <w:sz w:val="17"/>
          <w:szCs w:val="17"/>
        </w:rPr>
        <w:t xml:space="preserve">Table 7. Eligibility class balance, measured across the full cleaned dataset.</w:t>
      </w:r>
    </w:p>
    <w:p>
      <w:pPr>
        <w:spacing w:after="120" w:line="276"/>
      </w:pPr>
      <w:r>
        <w:rPr>
          <w:rFonts w:ascii="Calibri" w:cs="Calibri" w:eastAsia="Calibri" w:hAnsi="Calibri"/>
          <w:color w:val="1F2937"/>
          <w:sz w:val="21"/>
          <w:szCs w:val="21"/>
        </w:rPr>
        <w:t xml:space="preserve">This imbalance is the single most consequential property of the dataset. Because accuracy can reach 77% while completely ignoring the High_Risk class, model selection was based on macro-averaged F1, which weights all three classes equally.</w:t>
      </w:r>
    </w:p>
    <w:p>
      <w:pPr>
        <w:pStyle w:val="Heading2"/>
        <w:spacing w:after="120" w:before="260"/>
      </w:pPr>
      <w:r>
        <w:rPr>
          <w:rFonts w:ascii="Calibri" w:cs="Calibri" w:eastAsia="Calibri" w:hAnsi="Calibri"/>
          <w:b/>
          <w:bCs/>
          <w:color w:val="1D4ED8"/>
          <w:sz w:val="24"/>
          <w:szCs w:val="24"/>
        </w:rPr>
        <w:t xml:space="preserve">6.2 Eligibility by lending product</w:t>
      </w:r>
    </w:p>
    <w:tbl>
      <w:tblPr>
        <w:tblW w:type="dxa" w:w="9026"/>
        <w:tblBorders>
          <w:top w:val="single" w:color="C9D1DC" w:sz="4"/>
          <w:left w:val="none"/>
          <w:bottom w:val="single" w:color="C9D1DC" w:sz="4"/>
          <w:right w:val="none"/>
          <w:insideH w:val="single" w:color="E2E8F0" w:sz="2"/>
          <w:insideV w:val="none"/>
        </w:tblBorders>
      </w:tblPr>
      <w:tblGrid>
        <w:gridCol w:w="3400"/>
        <w:gridCol w:w="2400"/>
        <w:gridCol w:w="3226"/>
      </w:tblGrid>
      <w:tr>
        <w:trPr>
          <w:tblHeader/>
        </w:trPr>
        <w:tc>
          <w:tcPr>
            <w:tcW w:type="dxa" w:w="3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Lending product</w:t>
            </w:r>
          </w:p>
        </w:tc>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Eligibility rate</w:t>
            </w:r>
          </w:p>
        </w:tc>
        <w:tc>
          <w:tcPr>
            <w:tcW w:type="dxa" w:w="32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Characteristic</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E-commerce Shopping</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26.3%</w:t>
            </w:r>
          </w:p>
        </w:tc>
        <w:tc>
          <w:tcPr>
            <w:tcW w:type="dxa" w:w="3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Small ticket, short tenure</w:t>
            </w:r>
          </w:p>
        </w:tc>
      </w:tr>
      <w:tr>
        <w:tc>
          <w:tcPr>
            <w:tcW w:type="dxa" w:w="3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Home Appliances</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26.0%</w:t>
            </w:r>
          </w:p>
        </w:tc>
        <w:tc>
          <w:tcPr>
            <w:tcW w:type="dxa" w:w="32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Small ticket, moderate tenure</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Education</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17.7%</w:t>
            </w:r>
          </w:p>
        </w:tc>
        <w:tc>
          <w:tcPr>
            <w:tcW w:type="dxa" w:w="3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Mid ticket, moderate tenure</w:t>
            </w:r>
          </w:p>
        </w:tc>
      </w:tr>
      <w:tr>
        <w:tc>
          <w:tcPr>
            <w:tcW w:type="dxa" w:w="3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Personal Loan</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11.3%</w:t>
            </w:r>
          </w:p>
        </w:tc>
        <w:tc>
          <w:tcPr>
            <w:tcW w:type="dxa" w:w="32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Large ticket relative to income</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Vehicle</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10.6%</w:t>
            </w:r>
          </w:p>
        </w:tc>
        <w:tc>
          <w:tcPr>
            <w:tcW w:type="dxa" w:w="3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Largest ticket, longest tenure</w:t>
            </w:r>
          </w:p>
        </w:tc>
      </w:tr>
    </w:tbl>
    <w:p>
      <w:pPr>
        <w:spacing w:after="200" w:before="60"/>
      </w:pPr>
      <w:r>
        <w:rPr>
          <w:rFonts w:ascii="Calibri" w:cs="Calibri" w:eastAsia="Calibri" w:hAnsi="Calibri"/>
          <w:i/>
          <w:iCs/>
          <w:color w:val="5B6678"/>
          <w:sz w:val="17"/>
          <w:szCs w:val="17"/>
        </w:rPr>
        <w:t xml:space="preserve">Table 8. Approval rates differ by a factor of 2.5 across products.</w:t>
      </w:r>
    </w:p>
    <w:p>
      <w:pPr>
        <w:pStyle w:val="Heading2"/>
        <w:spacing w:after="120" w:before="260"/>
      </w:pPr>
      <w:r>
        <w:rPr>
          <w:rFonts w:ascii="Calibri" w:cs="Calibri" w:eastAsia="Calibri" w:hAnsi="Calibri"/>
          <w:b/>
          <w:bCs/>
          <w:color w:val="1D4ED8"/>
          <w:sz w:val="24"/>
          <w:szCs w:val="24"/>
        </w:rPr>
        <w:t xml:space="preserve">6.3 Principal findings</w:t>
      </w:r>
    </w:p>
    <w:p>
      <w:pPr>
        <w:pStyle w:val="ListParagraph"/>
        <w:numPr>
          <w:ilvl w:val="0"/>
          <w:numId w:val="2"/>
        </w:numPr>
        <w:spacing w:after="70" w:line="276"/>
      </w:pPr>
      <w:r>
        <w:rPr>
          <w:rFonts w:ascii="Calibri" w:cs="Calibri" w:eastAsia="Calibri" w:hAnsi="Calibri"/>
          <w:color w:val="1F2937"/>
          <w:sz w:val="21"/>
          <w:szCs w:val="21"/>
        </w:rPr>
        <w:t xml:space="preserve">Income is the strongest single driver of both eligibility and affordability; eligible applicants cluster well above the portfolio median salary of ₹51,700.</w:t>
      </w:r>
    </w:p>
    <w:p>
      <w:pPr>
        <w:pStyle w:val="ListParagraph"/>
        <w:numPr>
          <w:ilvl w:val="0"/>
          <w:numId w:val="2"/>
        </w:numPr>
        <w:spacing w:after="70" w:line="276"/>
      </w:pPr>
      <w:r>
        <w:rPr>
          <w:rFonts w:ascii="Calibri" w:cs="Calibri" w:eastAsia="Calibri" w:hAnsi="Calibri"/>
          <w:color w:val="1F2937"/>
          <w:sz w:val="21"/>
          <w:szCs w:val="21"/>
        </w:rPr>
        <w:t xml:space="preserve">Credit score is a comparatively weak separator: median scores are 725 for eligible, 714 for high-risk and 695 for ineligible applicants — a spread of only 30 points across the full outcome range.</w:t>
      </w:r>
    </w:p>
    <w:p>
      <w:pPr>
        <w:pStyle w:val="ListParagraph"/>
        <w:numPr>
          <w:ilvl w:val="0"/>
          <w:numId w:val="2"/>
        </w:numPr>
        <w:spacing w:after="70" w:line="276"/>
      </w:pPr>
      <w:r>
        <w:rPr>
          <w:rFonts w:ascii="Calibri" w:cs="Calibri" w:eastAsia="Calibri" w:hAnsi="Calibri"/>
          <w:color w:val="1F2937"/>
          <w:sz w:val="21"/>
          <w:szCs w:val="21"/>
        </w:rPr>
        <w:t xml:space="preserve">Absolute expenses are similar across all three classes; the expense-to-income ratio, not the rupee value, is what discriminates.</w:t>
      </w:r>
    </w:p>
    <w:p>
      <w:pPr>
        <w:pStyle w:val="ListParagraph"/>
        <w:numPr>
          <w:ilvl w:val="0"/>
          <w:numId w:val="2"/>
        </w:numPr>
        <w:spacing w:after="70" w:line="276"/>
      </w:pPr>
      <w:r>
        <w:rPr>
          <w:rFonts w:ascii="Calibri" w:cs="Calibri" w:eastAsia="Calibri" w:hAnsi="Calibri"/>
          <w:color w:val="1F2937"/>
          <w:sz w:val="21"/>
          <w:szCs w:val="21"/>
        </w:rPr>
        <w:t xml:space="preserve">Existing debt burden clearly separates rejected applicants, confirming debt-to-income as a necessary engineered feature.</w:t>
      </w:r>
    </w:p>
    <w:p>
      <w:pPr>
        <w:pStyle w:val="ListParagraph"/>
        <w:numPr>
          <w:ilvl w:val="0"/>
          <w:numId w:val="2"/>
        </w:numPr>
        <w:spacing w:after="70" w:line="276"/>
      </w:pPr>
      <w:r>
        <w:rPr>
          <w:rFonts w:ascii="Calibri" w:cs="Calibri" w:eastAsia="Calibri" w:hAnsi="Calibri"/>
          <w:color w:val="1F2937"/>
          <w:sz w:val="21"/>
          <w:szCs w:val="21"/>
        </w:rPr>
        <w:t xml:space="preserve">Liquidity buffers — bank balance and emergency fund — are markedly higher among eligible applicants.</w:t>
      </w:r>
    </w:p>
    <w:p>
      <w:pPr>
        <w:pStyle w:val="ListParagraph"/>
        <w:numPr>
          <w:ilvl w:val="0"/>
          <w:numId w:val="2"/>
        </w:numPr>
        <w:spacing w:after="70" w:line="276"/>
      </w:pPr>
      <w:r>
        <w:rPr>
          <w:rFonts w:ascii="Calibri" w:cs="Calibri" w:eastAsia="Calibri" w:hAnsi="Calibri"/>
          <w:color w:val="1F2937"/>
          <w:sz w:val="21"/>
          <w:szCs w:val="21"/>
        </w:rPr>
        <w:t xml:space="preserve">Employment stability follows expectation: government 21.4%, private 17.8%, self-employed 16.5% eligibility rates.</w:t>
      </w:r>
    </w:p>
    <w:p>
      <w:pPr>
        <w:pStyle w:val="ListParagraph"/>
        <w:numPr>
          <w:ilvl w:val="0"/>
          <w:numId w:val="2"/>
        </w:numPr>
        <w:spacing w:after="70" w:line="276"/>
      </w:pPr>
      <w:r>
        <w:rPr>
          <w:rFonts w:ascii="Calibri" w:cs="Calibri" w:eastAsia="Calibri" w:hAnsi="Calibri"/>
          <w:color w:val="1F2937"/>
          <w:sz w:val="21"/>
          <w:szCs w:val="21"/>
        </w:rPr>
        <w:t xml:space="preserve">Age and gender show no material association with outcome, a positive indicator for fair-lending review.</w:t>
      </w:r>
    </w:p>
    <w:p>
      <w:pPr>
        <w:spacing w:after="120" w:line="276"/>
      </w:pPr>
      <w:r>
        <w:rPr>
          <w:rFonts w:ascii="Calibri" w:cs="Calibri" w:eastAsia="Calibri" w:hAnsi="Calibri"/>
          <w:color w:val="1F2937"/>
          <w:sz w:val="21"/>
          <w:szCs w:val="21"/>
        </w:rPr>
        <w:t xml:space="preserve">The finding that credit score is weak while affordability ratios are strong is the defining insight of this portfolio: eligibility here is governed by capacity to pay rather than credit history, which is characteristic of affordability-based lending.</w:t>
      </w:r>
    </w:p>
    <w:p>
      <w:pPr>
        <w:pStyle w:val="Heading1"/>
        <w:spacing w:after="160" w:before="340"/>
      </w:pPr>
      <w:r>
        <w:rPr>
          <w:rFonts w:ascii="Calibri" w:cs="Calibri" w:eastAsia="Calibri" w:hAnsi="Calibri"/>
          <w:b/>
          <w:bCs/>
          <w:color w:val="0B1220"/>
          <w:sz w:val="30"/>
          <w:szCs w:val="30"/>
        </w:rPr>
        <w:t xml:space="preserve">7. Feature Engineering</w:t>
      </w:r>
    </w:p>
    <w:p>
      <w:pPr>
        <w:spacing w:after="120" w:line="276"/>
      </w:pPr>
      <w:r>
        <w:rPr>
          <w:rFonts w:ascii="Calibri" w:cs="Calibri" w:eastAsia="Calibri" w:hAnsi="Calibri"/>
          <w:color w:val="1F2937"/>
          <w:sz w:val="21"/>
          <w:szCs w:val="21"/>
        </w:rPr>
        <w:t xml:space="preserve">Twelve features were derived from the raw variables, encoding the ratios a human underwriter would compute. All are defined in emi_features.py, which is imported by both the training notebook and the serving application — guaranteeing that an applicant scored in production is transformed exactly as the training data was.</w:t>
      </w:r>
    </w:p>
    <w:tbl>
      <w:tblPr>
        <w:tblW w:type="dxa" w:w="9026"/>
        <w:tblBorders>
          <w:top w:val="single" w:color="C9D1DC" w:sz="4"/>
          <w:left w:val="none"/>
          <w:bottom w:val="single" w:color="C9D1DC" w:sz="4"/>
          <w:right w:val="none"/>
          <w:insideH w:val="single" w:color="E2E8F0" w:sz="2"/>
          <w:insideV w:val="none"/>
        </w:tblBorders>
      </w:tblPr>
      <w:tblGrid>
        <w:gridCol w:w="2600"/>
        <w:gridCol w:w="6426"/>
      </w:tblGrid>
      <w:tr>
        <w:trPr>
          <w:tblHeader/>
        </w:trPr>
        <w:tc>
          <w:tcPr>
            <w:tcW w:type="dxa" w:w="2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Feature</w:t>
            </w:r>
          </w:p>
        </w:tc>
        <w:tc>
          <w:tcPr>
            <w:tcW w:type="dxa" w:w="64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Definition and underwriting rationale</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total_monthly_expenses</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Sum of all six expense columns; the base for every expense ratio</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debt_to_income</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current_emi_amount ÷ salary — the standard measure of existing obligation burden</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expense_to_income</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Total expenses ÷ salary — captures household cost pressure independent of income level</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disposable_income</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Salary less expenses and existing EMI — the rupee amount genuinely available for a new instalment</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affordability_ratio</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Disposable income ÷ salary — the same quantity expressed proportionally</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requested_emi_simple</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Requested amount ÷ tenure — the requested obligation as a monthly figure</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requested_emi_to_income</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Requested instalment ÷ salary — the size of the ask relative to capacity</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savings_months</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(Bank balance + emergency fund) ÷ monthly outgoings — months of resilience to an income shock</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credit_band</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Credit score binned into Poor, Fair, Good and Excellent — introduces the non-linearity of scoring bands</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employment_stability</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Years of employment weighted by employment type (government 1.2, private 1.0, self-employed 0.8)</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salary_x_credit</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Interaction of income and creditworthiness</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dependents_burden</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Dependants ÷ family size — the proportion of the household reliant on the applicant's income</w:t>
            </w:r>
          </w:p>
        </w:tc>
      </w:tr>
    </w:tbl>
    <w:p>
      <w:pPr>
        <w:spacing w:after="200" w:before="60"/>
      </w:pPr>
      <w:r>
        <w:rPr>
          <w:rFonts w:ascii="Calibri" w:cs="Calibri" w:eastAsia="Calibri" w:hAnsi="Calibri"/>
          <w:i/>
          <w:iCs/>
          <w:color w:val="5B6678"/>
          <w:sz w:val="17"/>
          <w:szCs w:val="17"/>
        </w:rPr>
        <w:t xml:space="preserve">Table 9. Engineered features. With encoded categoricals, the models consume 37 features.</w:t>
      </w:r>
    </w:p>
    <w:p>
      <w:pPr>
        <w:pStyle w:val="Heading2"/>
        <w:spacing w:after="120" w:before="260"/>
      </w:pPr>
      <w:r>
        <w:rPr>
          <w:rFonts w:ascii="Calibri" w:cs="Calibri" w:eastAsia="Calibri" w:hAnsi="Calibri"/>
          <w:b/>
          <w:bCs/>
          <w:color w:val="1D4ED8"/>
          <w:sz w:val="24"/>
          <w:szCs w:val="24"/>
        </w:rPr>
        <w:t xml:space="preserve">7.1 Preprocessing pipeline</w:t>
      </w:r>
    </w:p>
    <w:p>
      <w:pPr>
        <w:spacing w:after="120" w:line="276"/>
      </w:pPr>
      <w:r>
        <w:rPr>
          <w:rFonts w:ascii="Calibri" w:cs="Calibri" w:eastAsia="Calibri" w:hAnsi="Calibri"/>
          <w:color w:val="1F2937"/>
          <w:sz w:val="21"/>
          <w:szCs w:val="21"/>
        </w:rPr>
        <w:t xml:space="preserve">Numeric features are median-imputed and standardised; categorical features are mode-imputed and one-hot encoded with unknown categories ignored at inference. Both branches are combined in a ColumnTransformer fitted only on the training split, so no validation or test information influences the transformation parameters.</w:t>
      </w:r>
    </w:p>
    <w:p>
      <w:pPr>
        <w:pStyle w:val="Heading2"/>
        <w:spacing w:after="120" w:before="260"/>
      </w:pPr>
      <w:r>
        <w:rPr>
          <w:rFonts w:ascii="Calibri" w:cs="Calibri" w:eastAsia="Calibri" w:hAnsi="Calibri"/>
          <w:b/>
          <w:bCs/>
          <w:color w:val="1D4ED8"/>
          <w:sz w:val="24"/>
          <w:szCs w:val="24"/>
        </w:rPr>
        <w:t xml:space="preserve">7.2 Data splitting</w:t>
      </w:r>
    </w:p>
    <w:p>
      <w:pPr>
        <w:spacing w:after="120" w:line="276"/>
      </w:pPr>
      <w:r>
        <w:rPr>
          <w:rFonts w:ascii="Calibri" w:cs="Calibri" w:eastAsia="Calibri" w:hAnsi="Calibri"/>
          <w:color w:val="1F2937"/>
          <w:sz w:val="21"/>
          <w:szCs w:val="21"/>
        </w:rPr>
        <w:t xml:space="preserve">The data was divided 70/15/15 into training, validation and test sets, stratified on the eligibility class so that the 77/18/4 distribution is preserved in each partition. The validation set drives model comparison and selection; the test set is evaluated exactly once, after selection is final, and provides the unbiased performance estimate quoted to stakeholders.</w:t>
      </w:r>
    </w:p>
    <w:p>
      <w:pPr>
        <w:pStyle w:val="Heading1"/>
        <w:spacing w:after="160" w:before="340"/>
      </w:pPr>
      <w:r>
        <w:rPr>
          <w:rFonts w:ascii="Calibri" w:cs="Calibri" w:eastAsia="Calibri" w:hAnsi="Calibri"/>
          <w:b/>
          <w:bCs/>
          <w:color w:val="0B1220"/>
          <w:sz w:val="30"/>
          <w:szCs w:val="30"/>
        </w:rPr>
        <w:t xml:space="preserve">8. Model Development</w:t>
      </w:r>
    </w:p>
    <w:p>
      <w:pPr>
        <w:spacing w:after="120" w:line="276"/>
      </w:pPr>
      <w:r>
        <w:rPr>
          <w:rFonts w:ascii="Calibri" w:cs="Calibri" w:eastAsia="Calibri" w:hAnsi="Calibri"/>
          <w:color w:val="1F2937"/>
          <w:sz w:val="21"/>
          <w:szCs w:val="21"/>
        </w:rPr>
        <w:t xml:space="preserve">Six models were trained — three per task — spanning a linear baseline, a bagged ensemble and gradient boosting. This progression makes the value of model complexity measurable rather than assumed.</w:t>
      </w:r>
    </w:p>
    <w:p>
      <w:pPr>
        <w:pStyle w:val="Heading2"/>
        <w:spacing w:after="120" w:before="260"/>
      </w:pPr>
      <w:r>
        <w:rPr>
          <w:rFonts w:ascii="Calibri" w:cs="Calibri" w:eastAsia="Calibri" w:hAnsi="Calibri"/>
          <w:b/>
          <w:bCs/>
          <w:color w:val="1D4ED8"/>
          <w:sz w:val="24"/>
          <w:szCs w:val="24"/>
        </w:rPr>
        <w:t xml:space="preserve">8.1 Training protocol</w:t>
      </w:r>
    </w:p>
    <w:p>
      <w:pPr>
        <w:pStyle w:val="ListParagraph"/>
        <w:numPr>
          <w:ilvl w:val="0"/>
          <w:numId w:val="2"/>
        </w:numPr>
        <w:spacing w:after="70" w:line="276"/>
      </w:pPr>
      <w:r>
        <w:rPr>
          <w:rFonts w:ascii="Calibri" w:cs="Calibri" w:eastAsia="Calibri" w:hAnsi="Calibri"/>
          <w:color w:val="1F2937"/>
          <w:sz w:val="21"/>
          <w:szCs w:val="21"/>
        </w:rPr>
        <w:t xml:space="preserve">Every model is wrapped in a pipeline whose first stage is the fitted preprocessor, so no transformation can be applied inconsistently.</w:t>
      </w:r>
    </w:p>
    <w:p>
      <w:pPr>
        <w:pStyle w:val="ListParagraph"/>
        <w:numPr>
          <w:ilvl w:val="0"/>
          <w:numId w:val="2"/>
        </w:numPr>
        <w:spacing w:after="70" w:line="276"/>
      </w:pPr>
      <w:r>
        <w:rPr>
          <w:rFonts w:ascii="Calibri" w:cs="Calibri" w:eastAsia="Calibri" w:hAnsi="Calibri"/>
          <w:color w:val="1F2937"/>
          <w:sz w:val="21"/>
          <w:szCs w:val="21"/>
        </w:rPr>
        <w:t xml:space="preserve">Class imbalance is addressed with balanced class weights for the linear and forest classifiers, and balanced sample weights for XGBoost.</w:t>
      </w:r>
    </w:p>
    <w:p>
      <w:pPr>
        <w:pStyle w:val="ListParagraph"/>
        <w:numPr>
          <w:ilvl w:val="0"/>
          <w:numId w:val="2"/>
        </w:numPr>
        <w:spacing w:after="70" w:line="276"/>
      </w:pPr>
      <w:r>
        <w:rPr>
          <w:rFonts w:ascii="Calibri" w:cs="Calibri" w:eastAsia="Calibri" w:hAnsi="Calibri"/>
          <w:color w:val="1F2937"/>
          <w:sz w:val="21"/>
          <w:szCs w:val="21"/>
        </w:rPr>
        <w:t xml:space="preserve">A fixed random seed of 42 is used throughout for reproducibility.</w:t>
      </w:r>
    </w:p>
    <w:p>
      <w:pPr>
        <w:pStyle w:val="ListParagraph"/>
        <w:numPr>
          <w:ilvl w:val="0"/>
          <w:numId w:val="2"/>
        </w:numPr>
        <w:spacing w:after="70" w:line="276"/>
      </w:pPr>
      <w:r>
        <w:rPr>
          <w:rFonts w:ascii="Calibri" w:cs="Calibri" w:eastAsia="Calibri" w:hAnsi="Calibri"/>
          <w:color w:val="1F2937"/>
          <w:sz w:val="21"/>
          <w:szCs w:val="21"/>
        </w:rPr>
        <w:t xml:space="preserve">Each model is trained inside an MLflow run that captures its parameters, metrics, diagnostic plots and the serialised pipeline.</w:t>
      </w:r>
    </w:p>
    <w:p>
      <w:pPr>
        <w:pStyle w:val="Heading2"/>
        <w:spacing w:after="120" w:before="260"/>
      </w:pPr>
      <w:r>
        <w:rPr>
          <w:rFonts w:ascii="Calibri" w:cs="Calibri" w:eastAsia="Calibri" w:hAnsi="Calibri"/>
          <w:b/>
          <w:bCs/>
          <w:color w:val="1D4ED8"/>
          <w:sz w:val="24"/>
          <w:szCs w:val="24"/>
        </w:rPr>
        <w:t xml:space="preserve">8.2 Classification results (validation set)</w:t>
      </w:r>
    </w:p>
    <w:tbl>
      <w:tblPr>
        <w:tblW w:type="dxa" w:w="9026"/>
        <w:tblBorders>
          <w:top w:val="single" w:color="C9D1DC" w:sz="4"/>
          <w:left w:val="none"/>
          <w:bottom w:val="single" w:color="C9D1DC" w:sz="4"/>
          <w:right w:val="none"/>
          <w:insideH w:val="single" w:color="E2E8F0" w:sz="2"/>
          <w:insideV w:val="none"/>
        </w:tblBorders>
      </w:tblPr>
      <w:tblGrid>
        <w:gridCol w:w="2400"/>
        <w:gridCol w:w="1200"/>
        <w:gridCol w:w="1200"/>
        <w:gridCol w:w="1200"/>
        <w:gridCol w:w="1200"/>
        <w:gridCol w:w="1826"/>
      </w:tblGrid>
      <w:tr>
        <w:trPr>
          <w:tblHeader/>
        </w:trPr>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Model</w:t>
            </w:r>
          </w:p>
        </w:tc>
        <w:tc>
          <w:tcPr>
            <w:tcW w:type="dxa" w:w="12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Accuracy</w:t>
            </w:r>
          </w:p>
        </w:tc>
        <w:tc>
          <w:tcPr>
            <w:tcW w:type="dxa" w:w="12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Precision</w:t>
            </w:r>
          </w:p>
        </w:tc>
        <w:tc>
          <w:tcPr>
            <w:tcW w:type="dxa" w:w="12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Recall</w:t>
            </w:r>
          </w:p>
        </w:tc>
        <w:tc>
          <w:tcPr>
            <w:tcW w:type="dxa" w:w="12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F1 macro</w:t>
            </w:r>
          </w:p>
        </w:tc>
        <w:tc>
          <w:tcPr>
            <w:tcW w:type="dxa" w:w="182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ROC-AUC</w:t>
            </w:r>
          </w:p>
        </w:tc>
      </w:tr>
      <w:tr>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Logistic Regression</w:t>
            </w:r>
          </w:p>
        </w:tc>
        <w:tc>
          <w:tcPr>
            <w:tcW w:type="dxa" w:w="12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0.8244</w:t>
            </w:r>
          </w:p>
        </w:tc>
        <w:tc>
          <w:tcPr>
            <w:tcW w:type="dxa" w:w="12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0.6820</w:t>
            </w:r>
          </w:p>
        </w:tc>
        <w:tc>
          <w:tcPr>
            <w:tcW w:type="dxa" w:w="12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0.7903</w:t>
            </w:r>
          </w:p>
        </w:tc>
        <w:tc>
          <w:tcPr>
            <w:tcW w:type="dxa" w:w="12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0.6746</w:t>
            </w:r>
          </w:p>
        </w:tc>
        <w:tc>
          <w:tcPr>
            <w:tcW w:type="dxa" w:w="18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0.9495</w:t>
            </w:r>
          </w:p>
        </w:tc>
      </w:tr>
      <w:tr>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Random Forest</w:t>
            </w:r>
          </w:p>
        </w:tc>
        <w:tc>
          <w:tcPr>
            <w:tcW w:type="dxa" w:w="12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0.9237</w:t>
            </w:r>
          </w:p>
        </w:tc>
        <w:tc>
          <w:tcPr>
            <w:tcW w:type="dxa" w:w="12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0.7673</w:t>
            </w:r>
          </w:p>
        </w:tc>
        <w:tc>
          <w:tcPr>
            <w:tcW w:type="dxa" w:w="12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0.8849</w:t>
            </w:r>
          </w:p>
        </w:tc>
        <w:tc>
          <w:tcPr>
            <w:tcW w:type="dxa" w:w="12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0.7939</w:t>
            </w:r>
          </w:p>
        </w:tc>
        <w:tc>
          <w:tcPr>
            <w:tcW w:type="dxa" w:w="1826"/>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0.9836</w:t>
            </w:r>
          </w:p>
        </w:tc>
      </w:tr>
      <w:tr>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XGBoost</w:t>
            </w:r>
          </w:p>
        </w:tc>
        <w:tc>
          <w:tcPr>
            <w:tcW w:type="dxa" w:w="12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0.9511</w:t>
            </w:r>
          </w:p>
        </w:tc>
        <w:tc>
          <w:tcPr>
            <w:tcW w:type="dxa" w:w="12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0.8202</w:t>
            </w:r>
          </w:p>
        </w:tc>
        <w:tc>
          <w:tcPr>
            <w:tcW w:type="dxa" w:w="12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0.9456</w:t>
            </w:r>
          </w:p>
        </w:tc>
        <w:tc>
          <w:tcPr>
            <w:tcW w:type="dxa" w:w="12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0.8563</w:t>
            </w:r>
          </w:p>
        </w:tc>
        <w:tc>
          <w:tcPr>
            <w:tcW w:type="dxa" w:w="18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0.9946</w:t>
            </w:r>
          </w:p>
        </w:tc>
      </w:tr>
    </w:tbl>
    <w:p>
      <w:pPr>
        <w:spacing w:after="200" w:before="60"/>
      </w:pPr>
      <w:r>
        <w:rPr>
          <w:rFonts w:ascii="Calibri" w:cs="Calibri" w:eastAsia="Calibri" w:hAnsi="Calibri"/>
          <w:i/>
          <w:iCs/>
          <w:color w:val="5B6678"/>
          <w:sz w:val="17"/>
          <w:szCs w:val="17"/>
        </w:rPr>
        <w:t xml:space="preserve">Table 10. Classification performance. Precision and recall are macro-averaged.</w:t>
      </w:r>
    </w:p>
    <w:p>
      <w:pPr>
        <w:pStyle w:val="Heading2"/>
        <w:spacing w:after="120" w:before="260"/>
      </w:pPr>
      <w:r>
        <w:rPr>
          <w:rFonts w:ascii="Calibri" w:cs="Calibri" w:eastAsia="Calibri" w:hAnsi="Calibri"/>
          <w:b/>
          <w:bCs/>
          <w:color w:val="1D4ED8"/>
          <w:sz w:val="24"/>
          <w:szCs w:val="24"/>
        </w:rPr>
        <w:t xml:space="preserve">8.3 Regression results (validation set)</w:t>
      </w:r>
    </w:p>
    <w:tbl>
      <w:tblPr>
        <w:tblW w:type="dxa" w:w="9026"/>
        <w:tblBorders>
          <w:top w:val="single" w:color="C9D1DC" w:sz="4"/>
          <w:left w:val="none"/>
          <w:bottom w:val="single" w:color="C9D1DC" w:sz="4"/>
          <w:right w:val="none"/>
          <w:insideH w:val="single" w:color="E2E8F0" w:sz="2"/>
          <w:insideV w:val="none"/>
        </w:tblBorders>
      </w:tblPr>
      <w:tblGrid>
        <w:gridCol w:w="2600"/>
        <w:gridCol w:w="1600"/>
        <w:gridCol w:w="1600"/>
        <w:gridCol w:w="1600"/>
        <w:gridCol w:w="1626"/>
      </w:tblGrid>
      <w:tr>
        <w:trPr>
          <w:tblHeader/>
        </w:trPr>
        <w:tc>
          <w:tcPr>
            <w:tcW w:type="dxa" w:w="2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Model</w:t>
            </w:r>
          </w:p>
        </w:tc>
        <w:tc>
          <w:tcPr>
            <w:tcW w:type="dxa" w:w="16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RMSE (₹)</w:t>
            </w:r>
          </w:p>
        </w:tc>
        <w:tc>
          <w:tcPr>
            <w:tcW w:type="dxa" w:w="16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MAE (₹)</w:t>
            </w:r>
          </w:p>
        </w:tc>
        <w:tc>
          <w:tcPr>
            <w:tcW w:type="dxa" w:w="16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R²</w:t>
            </w:r>
          </w:p>
        </w:tc>
        <w:tc>
          <w:tcPr>
            <w:tcW w:type="dxa" w:w="162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MAPE</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Linear Regression</w:t>
            </w:r>
          </w:p>
        </w:tc>
        <w:tc>
          <w:tcPr>
            <w:tcW w:type="dxa" w:w="16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3,952.50</w:t>
            </w:r>
          </w:p>
        </w:tc>
        <w:tc>
          <w:tcPr>
            <w:tcW w:type="dxa" w:w="16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2,834.73</w:t>
            </w:r>
          </w:p>
        </w:tc>
        <w:tc>
          <w:tcPr>
            <w:tcW w:type="dxa" w:w="16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0.7382</w:t>
            </w:r>
          </w:p>
        </w:tc>
        <w:tc>
          <w:tcPr>
            <w:tcW w:type="dxa" w:w="16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1.8345</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Random Forest</w:t>
            </w:r>
          </w:p>
        </w:tc>
        <w:tc>
          <w:tcPr>
            <w:tcW w:type="dxa" w:w="16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847.78</w:t>
            </w:r>
          </w:p>
        </w:tc>
        <w:tc>
          <w:tcPr>
            <w:tcW w:type="dxa" w:w="16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274.63</w:t>
            </w:r>
          </w:p>
        </w:tc>
        <w:tc>
          <w:tcPr>
            <w:tcW w:type="dxa" w:w="16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0.9880</w:t>
            </w:r>
          </w:p>
        </w:tc>
        <w:tc>
          <w:tcPr>
            <w:tcW w:type="dxa" w:w="1626"/>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0.0534</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XGBoost</w:t>
            </w:r>
          </w:p>
        </w:tc>
        <w:tc>
          <w:tcPr>
            <w:tcW w:type="dxa" w:w="16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632.66</w:t>
            </w:r>
          </w:p>
        </w:tc>
        <w:tc>
          <w:tcPr>
            <w:tcW w:type="dxa" w:w="16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216.99</w:t>
            </w:r>
          </w:p>
        </w:tc>
        <w:tc>
          <w:tcPr>
            <w:tcW w:type="dxa" w:w="16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0.9933</w:t>
            </w:r>
          </w:p>
        </w:tc>
        <w:tc>
          <w:tcPr>
            <w:tcW w:type="dxa" w:w="16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0.0595</w:t>
            </w:r>
          </w:p>
        </w:tc>
      </w:tr>
    </w:tbl>
    <w:p>
      <w:pPr>
        <w:spacing w:after="200" w:before="60"/>
      </w:pPr>
      <w:r>
        <w:rPr>
          <w:rFonts w:ascii="Calibri" w:cs="Calibri" w:eastAsia="Calibri" w:hAnsi="Calibri"/>
          <w:i/>
          <w:iCs/>
          <w:color w:val="5B6678"/>
          <w:sz w:val="17"/>
          <w:szCs w:val="17"/>
        </w:rPr>
        <w:t xml:space="preserve">Table 11. Regression performance. Lower RMSE, MAE and MAPE are better.</w:t>
      </w:r>
    </w:p>
    <w:p>
      <w:pPr>
        <w:pStyle w:val="Heading2"/>
        <w:spacing w:after="120" w:before="260"/>
      </w:pPr>
      <w:r>
        <w:rPr>
          <w:rFonts w:ascii="Calibri" w:cs="Calibri" w:eastAsia="Calibri" w:hAnsi="Calibri"/>
          <w:b/>
          <w:bCs/>
          <w:color w:val="1D4ED8"/>
          <w:sz w:val="24"/>
          <w:szCs w:val="24"/>
        </w:rPr>
        <w:t xml:space="preserve">8.4 Model selection</w:t>
      </w:r>
    </w:p>
    <w:p>
      <w:pPr>
        <w:spacing w:after="120" w:line="276"/>
      </w:pPr>
      <w:r>
        <w:rPr>
          <w:rFonts w:ascii="Calibri" w:cs="Calibri" w:eastAsia="Calibri" w:hAnsi="Calibri"/>
          <w:color w:val="1F2937"/>
          <w:sz w:val="21"/>
          <w:szCs w:val="21"/>
        </w:rPr>
        <w:t xml:space="preserve">XGBoost was selected for both tasks. For classification the decisive metric is macro-F1, where XGBoost scores 0.8563 against 0.7939 for the random forest and 0.6746 for logistic regression. Accuracy alone would have understated the gap, because the majority class inflates it for every model.</w:t>
      </w:r>
    </w:p>
    <w:p>
      <w:pPr>
        <w:spacing w:after="120" w:line="276"/>
      </w:pPr>
      <w:r>
        <w:rPr>
          <w:rFonts w:ascii="Calibri" w:cs="Calibri" w:eastAsia="Calibri" w:hAnsi="Calibri"/>
          <w:color w:val="1F2937"/>
          <w:sz w:val="21"/>
          <w:szCs w:val="21"/>
        </w:rPr>
        <w:t xml:space="preserve">For regression the criterion is RMSE, the metric named in the business target. XGBoost achieves ₹632.66 against ₹847.78 for the random forest and ₹3,952.50 for the linear baseline. The linear model's R² of 0.738 shows that affordability is a materially non-linear function of the inputs — capacity does not scale smoothly with income once obligation thresholds are crossed.</w:t>
      </w:r>
    </w:p>
    <w:p>
      <w:pPr>
        <w:spacing w:after="120" w:line="276"/>
      </w:pPr>
      <w:r>
        <w:rPr>
          <w:rFonts w:ascii="Calibri" w:cs="Calibri" w:eastAsia="Calibri" w:hAnsi="Calibri"/>
          <w:color w:val="1F2937"/>
          <w:sz w:val="21"/>
          <w:szCs w:val="21"/>
        </w:rPr>
        <w:t xml:space="preserve">Training cost reinforced the choice: XGBoost fitted the regression task in 9.4 seconds against 121.4 seconds for the random forest, roughly thirteen times faster while also being more accurate.</w:t>
      </w:r>
    </w:p>
    <w:p>
      <w:pPr>
        <w:pStyle w:val="Heading2"/>
        <w:spacing w:after="120" w:before="260"/>
      </w:pPr>
      <w:r>
        <w:rPr>
          <w:rFonts w:ascii="Calibri" w:cs="Calibri" w:eastAsia="Calibri" w:hAnsi="Calibri"/>
          <w:b/>
          <w:bCs/>
          <w:color w:val="1D4ED8"/>
          <w:sz w:val="24"/>
          <w:szCs w:val="24"/>
        </w:rPr>
        <w:t xml:space="preserve">8.5 Feature importance</w:t>
      </w:r>
    </w:p>
    <w:tbl>
      <w:tblPr>
        <w:tblW w:type="dxa" w:w="9026"/>
        <w:tblBorders>
          <w:top w:val="single" w:color="C9D1DC" w:sz="4"/>
          <w:left w:val="none"/>
          <w:bottom w:val="single" w:color="C9D1DC" w:sz="4"/>
          <w:right w:val="none"/>
          <w:insideH w:val="single" w:color="E2E8F0" w:sz="2"/>
          <w:insideV w:val="none"/>
        </w:tblBorders>
      </w:tblPr>
      <w:tblGrid>
        <w:gridCol w:w="3400"/>
        <w:gridCol w:w="1800"/>
        <w:gridCol w:w="3826"/>
      </w:tblGrid>
      <w:tr>
        <w:trPr>
          <w:tblHeader/>
        </w:trPr>
        <w:tc>
          <w:tcPr>
            <w:tcW w:type="dxa" w:w="3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Feature</w:t>
            </w:r>
          </w:p>
        </w:tc>
        <w:tc>
          <w:tcPr>
            <w:tcW w:type="dxa" w:w="18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Importance</w:t>
            </w:r>
          </w:p>
        </w:tc>
        <w:tc>
          <w:tcPr>
            <w:tcW w:type="dxa" w:w="38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Model</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requested_emi_to_income</w:t>
            </w:r>
          </w:p>
        </w:tc>
        <w:tc>
          <w:tcPr>
            <w:tcW w:type="dxa" w:w="18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0.120</w:t>
            </w:r>
          </w:p>
        </w:tc>
        <w:tc>
          <w:tcPr>
            <w:tcW w:type="dxa" w:w="38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Classifier</w:t>
            </w:r>
          </w:p>
        </w:tc>
      </w:tr>
      <w:tr>
        <w:tc>
          <w:tcPr>
            <w:tcW w:type="dxa" w:w="3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affordability_ratio</w:t>
            </w:r>
          </w:p>
        </w:tc>
        <w:tc>
          <w:tcPr>
            <w:tcW w:type="dxa" w:w="18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0.113</w:t>
            </w:r>
          </w:p>
        </w:tc>
        <w:tc>
          <w:tcPr>
            <w:tcW w:type="dxa" w:w="38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Classifier</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existing_loans (No)</w:t>
            </w:r>
          </w:p>
        </w:tc>
        <w:tc>
          <w:tcPr>
            <w:tcW w:type="dxa" w:w="18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0.108</w:t>
            </w:r>
          </w:p>
        </w:tc>
        <w:tc>
          <w:tcPr>
            <w:tcW w:type="dxa" w:w="38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Classifier</w:t>
            </w:r>
          </w:p>
        </w:tc>
      </w:tr>
      <w:tr>
        <w:tc>
          <w:tcPr>
            <w:tcW w:type="dxa" w:w="3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disposable_income</w:t>
            </w:r>
          </w:p>
        </w:tc>
        <w:tc>
          <w:tcPr>
            <w:tcW w:type="dxa" w:w="18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0.559</w:t>
            </w:r>
          </w:p>
        </w:tc>
        <w:tc>
          <w:tcPr>
            <w:tcW w:type="dxa" w:w="38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Regressor</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existing_loans (No)</w:t>
            </w:r>
          </w:p>
        </w:tc>
        <w:tc>
          <w:tcPr>
            <w:tcW w:type="dxa" w:w="18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0.100</w:t>
            </w:r>
          </w:p>
        </w:tc>
        <w:tc>
          <w:tcPr>
            <w:tcW w:type="dxa" w:w="38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Regressor</w:t>
            </w:r>
          </w:p>
        </w:tc>
      </w:tr>
      <w:tr>
        <w:tc>
          <w:tcPr>
            <w:tcW w:type="dxa" w:w="3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current_emi_amount</w:t>
            </w:r>
          </w:p>
        </w:tc>
        <w:tc>
          <w:tcPr>
            <w:tcW w:type="dxa" w:w="18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0.063</w:t>
            </w:r>
          </w:p>
        </w:tc>
        <w:tc>
          <w:tcPr>
            <w:tcW w:type="dxa" w:w="38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Regressor</w:t>
            </w:r>
          </w:p>
        </w:tc>
      </w:tr>
    </w:tbl>
    <w:p>
      <w:pPr>
        <w:spacing w:after="200" w:before="60"/>
      </w:pPr>
      <w:r>
        <w:rPr>
          <w:rFonts w:ascii="Calibri" w:cs="Calibri" w:eastAsia="Calibri" w:hAnsi="Calibri"/>
          <w:i/>
          <w:iCs/>
          <w:color w:val="5B6678"/>
          <w:sz w:val="17"/>
          <w:szCs w:val="17"/>
        </w:rPr>
        <w:t xml:space="preserve">Table 12. Leading features for each production model, read from the fitted pipelines.</w:t>
      </w:r>
    </w:p>
    <w:p>
      <w:pPr>
        <w:spacing w:after="120" w:line="276"/>
      </w:pPr>
      <w:r>
        <w:rPr>
          <w:rFonts w:ascii="Calibri" w:cs="Calibri" w:eastAsia="Calibri" w:hAnsi="Calibri"/>
          <w:color w:val="1F2937"/>
          <w:sz w:val="21"/>
          <w:szCs w:val="21"/>
        </w:rPr>
        <w:t xml:space="preserve">Both models rely primarily on engineered features rather than raw inputs. The regressor derives 55.9% of its importance from disposable income alone, and the classifier's top two features are both affordability ratios that did not exist in the source data — direct evidence that the feature engineering, not the algorithm alone, produced the result.</w:t>
      </w:r>
    </w:p>
    <w:p>
      <w:pPr>
        <w:pStyle w:val="Heading1"/>
        <w:spacing w:after="160" w:before="340"/>
      </w:pPr>
      <w:r>
        <w:rPr>
          <w:rFonts w:ascii="Calibri" w:cs="Calibri" w:eastAsia="Calibri" w:hAnsi="Calibri"/>
          <w:b/>
          <w:bCs/>
          <w:color w:val="0B1220"/>
          <w:sz w:val="30"/>
          <w:szCs w:val="30"/>
        </w:rPr>
        <w:t xml:space="preserve">9. Experiment Tracking and Model Governance</w:t>
      </w:r>
    </w:p>
    <w:p>
      <w:pPr>
        <w:spacing w:after="120" w:line="276"/>
      </w:pPr>
      <w:r>
        <w:rPr>
          <w:rFonts w:ascii="Calibri" w:cs="Calibri" w:eastAsia="Calibri" w:hAnsi="Calibri"/>
          <w:color w:val="1F2937"/>
          <w:sz w:val="21"/>
          <w:szCs w:val="21"/>
        </w:rPr>
        <w:t xml:space="preserve">MLflow is configured with a SQLite backend and two experiments, EMI_Classification and EMI_Regression, holding three runs each.</w:t>
      </w:r>
    </w:p>
    <w:p>
      <w:pPr>
        <w:pStyle w:val="Heading2"/>
        <w:spacing w:after="120" w:before="260"/>
      </w:pPr>
      <w:r>
        <w:rPr>
          <w:rFonts w:ascii="Calibri" w:cs="Calibri" w:eastAsia="Calibri" w:hAnsi="Calibri"/>
          <w:b/>
          <w:bCs/>
          <w:color w:val="1D4ED8"/>
          <w:sz w:val="24"/>
          <w:szCs w:val="24"/>
        </w:rPr>
        <w:t xml:space="preserve">9.1 What is logged</w:t>
      </w:r>
    </w:p>
    <w:p>
      <w:pPr>
        <w:pStyle w:val="ListParagraph"/>
        <w:numPr>
          <w:ilvl w:val="0"/>
          <w:numId w:val="2"/>
        </w:numPr>
        <w:spacing w:after="70" w:line="276"/>
      </w:pPr>
      <w:r>
        <w:rPr>
          <w:rFonts w:ascii="Calibri" w:cs="Calibri" w:eastAsia="Calibri" w:hAnsi="Calibri"/>
          <w:color w:val="1F2937"/>
          <w:sz w:val="21"/>
          <w:szCs w:val="21"/>
        </w:rPr>
        <w:t xml:space="preserve">All model hyperparameters, captured programmatically from the estimator.</w:t>
      </w:r>
    </w:p>
    <w:p>
      <w:pPr>
        <w:pStyle w:val="ListParagraph"/>
        <w:numPr>
          <w:ilvl w:val="0"/>
          <w:numId w:val="2"/>
        </w:numPr>
        <w:spacing w:after="70" w:line="276"/>
      </w:pPr>
      <w:r>
        <w:rPr>
          <w:rFonts w:ascii="Calibri" w:cs="Calibri" w:eastAsia="Calibri" w:hAnsi="Calibri"/>
          <w:color w:val="1F2937"/>
          <w:sz w:val="21"/>
          <w:szCs w:val="21"/>
        </w:rPr>
        <w:t xml:space="preserve">Evaluation metrics: accuracy, macro precision, macro recall, macro F1 and ROC-AUC for classification; RMSE, MAE, R² and MAPE for regression; training time for both.</w:t>
      </w:r>
    </w:p>
    <w:p>
      <w:pPr>
        <w:pStyle w:val="ListParagraph"/>
        <w:numPr>
          <w:ilvl w:val="0"/>
          <w:numId w:val="2"/>
        </w:numPr>
        <w:spacing w:after="70" w:line="276"/>
      </w:pPr>
      <w:r>
        <w:rPr>
          <w:rFonts w:ascii="Calibri" w:cs="Calibri" w:eastAsia="Calibri" w:hAnsi="Calibri"/>
          <w:color w:val="1F2937"/>
          <w:sz w:val="21"/>
          <w:szCs w:val="21"/>
        </w:rPr>
        <w:t xml:space="preserve">Diagnostic artifacts: a confusion matrix per classifier and a predicted-versus-actual plot per regressor.</w:t>
      </w:r>
    </w:p>
    <w:p>
      <w:pPr>
        <w:pStyle w:val="ListParagraph"/>
        <w:numPr>
          <w:ilvl w:val="0"/>
          <w:numId w:val="2"/>
        </w:numPr>
        <w:spacing w:after="70" w:line="276"/>
      </w:pPr>
      <w:r>
        <w:rPr>
          <w:rFonts w:ascii="Calibri" w:cs="Calibri" w:eastAsia="Calibri" w:hAnsi="Calibri"/>
          <w:color w:val="1F2937"/>
          <w:sz w:val="21"/>
          <w:szCs w:val="21"/>
        </w:rPr>
        <w:t xml:space="preserve">The complete fitted pipeline, including the preprocessor, as a loadable model artifact with an input signature.</w:t>
      </w:r>
    </w:p>
    <w:p>
      <w:pPr>
        <w:pStyle w:val="Heading2"/>
        <w:spacing w:after="120" w:before="260"/>
      </w:pPr>
      <w:r>
        <w:rPr>
          <w:rFonts w:ascii="Calibri" w:cs="Calibri" w:eastAsia="Calibri" w:hAnsi="Calibri"/>
          <w:b/>
          <w:bCs/>
          <w:color w:val="1D4ED8"/>
          <w:sz w:val="24"/>
          <w:szCs w:val="24"/>
        </w:rPr>
        <w:t xml:space="preserve">9.2 Model registry</w:t>
      </w:r>
    </w:p>
    <w:p>
      <w:pPr>
        <w:spacing w:after="120" w:line="276"/>
      </w:pPr>
      <w:r>
        <w:rPr>
          <w:rFonts w:ascii="Calibri" w:cs="Calibri" w:eastAsia="Calibri" w:hAnsi="Calibri"/>
          <w:color w:val="1F2937"/>
          <w:sz w:val="21"/>
          <w:szCs w:val="21"/>
        </w:rPr>
        <w:t xml:space="preserve">The two selected models are registered as EMI_Eligibility_Classifier and Max_EMI_Regressor. Each carries a version and a production alias pointing at the promoted version, and each version links back to the run that produced it. This is the distinction between tracking and governance: tracking records what was tried, while the registry records what is in production and how it got there.</w:t>
      </w:r>
    </w:p>
    <w:p>
      <w:pPr>
        <w:spacing w:after="120" w:line="276"/>
      </w:pPr>
      <w:r>
        <w:rPr>
          <w:rFonts w:ascii="Calibri" w:cs="Calibri" w:eastAsia="Calibri" w:hAnsi="Calibri"/>
          <w:color w:val="1F2937"/>
          <w:sz w:val="21"/>
          <w:szCs w:val="21"/>
        </w:rPr>
        <w:t xml:space="preserve">Both models can be loaded by alias rather than by file path, which decouples the serving code from any particular artifact location and allows promotion of a new version without a code change.</w:t>
      </w:r>
    </w:p>
    <w:p>
      <w:pPr>
        <w:pStyle w:val="Heading1"/>
        <w:spacing w:after="160" w:before="340"/>
      </w:pPr>
      <w:r>
        <w:rPr>
          <w:rFonts w:ascii="Calibri" w:cs="Calibri" w:eastAsia="Calibri" w:hAnsi="Calibri"/>
          <w:b/>
          <w:bCs/>
          <w:color w:val="0B1220"/>
          <w:sz w:val="30"/>
          <w:szCs w:val="30"/>
        </w:rPr>
        <w:t xml:space="preserve">10. Final Evaluation</w:t>
      </w:r>
    </w:p>
    <w:p>
      <w:pPr>
        <w:spacing w:after="120" w:line="276"/>
      </w:pPr>
      <w:r>
        <w:rPr>
          <w:rFonts w:ascii="Calibri" w:cs="Calibri" w:eastAsia="Calibri" w:hAnsi="Calibri"/>
          <w:color w:val="1F2937"/>
          <w:sz w:val="21"/>
          <w:szCs w:val="21"/>
        </w:rPr>
        <w:t xml:space="preserve">The held-out test set of approximately 60,720 records was evaluated once, after model selection was complete.</w:t>
      </w:r>
    </w:p>
    <w:tbl>
      <w:tblPr>
        <w:tblW w:type="dxa" w:w="9026"/>
        <w:tblBorders>
          <w:top w:val="single" w:color="C9D1DC" w:sz="4"/>
          <w:left w:val="none"/>
          <w:bottom w:val="single" w:color="C9D1DC" w:sz="4"/>
          <w:right w:val="none"/>
          <w:insideH w:val="single" w:color="E2E8F0" w:sz="2"/>
          <w:insideV w:val="none"/>
        </w:tblBorders>
      </w:tblPr>
      <w:tblGrid>
        <w:gridCol w:w="3000"/>
        <w:gridCol w:w="2000"/>
        <w:gridCol w:w="2000"/>
        <w:gridCol w:w="2026"/>
      </w:tblGrid>
      <w:tr>
        <w:trPr>
          <w:tblHeader/>
        </w:trPr>
        <w:tc>
          <w:tcPr>
            <w:tcW w:type="dxa" w:w="3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Metric</w:t>
            </w:r>
          </w:p>
        </w:tc>
        <w:tc>
          <w:tcPr>
            <w:tcW w:type="dxa" w:w="20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Test result</w:t>
            </w:r>
          </w:p>
        </w:tc>
        <w:tc>
          <w:tcPr>
            <w:tcW w:type="dxa" w:w="20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Target</w:t>
            </w:r>
          </w:p>
        </w:tc>
        <w:tc>
          <w:tcPr>
            <w:tcW w:type="dxa" w:w="202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Status</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Accuracy</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0.9517</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&gt; 0.90</w:t>
            </w:r>
          </w:p>
        </w:tc>
        <w:tc>
          <w:tcPr>
            <w:tcW w:type="dxa" w:w="20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Met</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Precision (macro)</w:t>
            </w:r>
          </w:p>
        </w:tc>
        <w:tc>
          <w:tcPr>
            <w:tcW w:type="dxa" w:w="20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0.8214</w:t>
            </w:r>
          </w:p>
        </w:tc>
        <w:tc>
          <w:tcPr>
            <w:tcW w:type="dxa" w:w="20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c>
          <w:tcPr>
            <w:tcW w:type="dxa" w:w="2026"/>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Recall (macro)</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0.9471</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c>
          <w:tcPr>
            <w:tcW w:type="dxa" w:w="20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F1 (macro)</w:t>
            </w:r>
          </w:p>
        </w:tc>
        <w:tc>
          <w:tcPr>
            <w:tcW w:type="dxa" w:w="20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0.8575</w:t>
            </w:r>
          </w:p>
        </w:tc>
        <w:tc>
          <w:tcPr>
            <w:tcW w:type="dxa" w:w="20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c>
          <w:tcPr>
            <w:tcW w:type="dxa" w:w="2026"/>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ROC-AUC (one-vs-rest)</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0.9948</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c>
          <w:tcPr>
            <w:tcW w:type="dxa" w:w="20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RMSE</w:t>
            </w:r>
          </w:p>
        </w:tc>
        <w:tc>
          <w:tcPr>
            <w:tcW w:type="dxa" w:w="20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₹600.01</w:t>
            </w:r>
          </w:p>
        </w:tc>
        <w:tc>
          <w:tcPr>
            <w:tcW w:type="dxa" w:w="20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&lt; ₹2,000</w:t>
            </w:r>
          </w:p>
        </w:tc>
        <w:tc>
          <w:tcPr>
            <w:tcW w:type="dxa" w:w="2026"/>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Met</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MAE</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₹216.85</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c>
          <w:tcPr>
            <w:tcW w:type="dxa" w:w="20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R²</w:t>
            </w:r>
          </w:p>
        </w:tc>
        <w:tc>
          <w:tcPr>
            <w:tcW w:type="dxa" w:w="20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0.9940</w:t>
            </w:r>
          </w:p>
        </w:tc>
        <w:tc>
          <w:tcPr>
            <w:tcW w:type="dxa" w:w="2000"/>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c>
          <w:tcPr>
            <w:tcW w:type="dxa" w:w="2026"/>
            <w:shd w:fill="F5F7FA" w:color="auto" w:val="clear"/>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MAPE</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5.88%</w:t>
            </w:r>
          </w:p>
        </w:tc>
        <w:tc>
          <w:tcPr>
            <w:tcW w:type="dxa" w:w="2000"/>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c>
          <w:tcPr>
            <w:tcW w:type="dxa" w:w="2026"/>
            <w:tcMar>
              <w:top w:type="dxa" w:w="80"/>
              <w:left w:type="dxa" w:w="110"/>
              <w:bottom w:type="dxa" w:w="80"/>
              <w:right w:type="dxa" w:w="110"/>
            </w:tcMar>
          </w:tcPr>
          <w:p>
            <w:pPr>
              <w:spacing w:after="0" w:line="260"/>
              <w:jc w:val="right"/>
            </w:pPr>
            <w:r>
              <w:rPr>
                <w:rFonts w:ascii="Calibri" w:cs="Calibri" w:eastAsia="Calibri" w:hAnsi="Calibri"/>
                <w:color w:val="1F2937"/>
                <w:sz w:val="19"/>
                <w:szCs w:val="19"/>
              </w:rPr>
              <w:t xml:space="preserve">—</w:t>
            </w:r>
          </w:p>
        </w:tc>
      </w:tr>
    </w:tbl>
    <w:p>
      <w:pPr>
        <w:spacing w:after="200" w:before="60"/>
      </w:pPr>
      <w:r>
        <w:rPr>
          <w:rFonts w:ascii="Calibri" w:cs="Calibri" w:eastAsia="Calibri" w:hAnsi="Calibri"/>
          <w:i/>
          <w:iCs/>
          <w:color w:val="5B6678"/>
          <w:sz w:val="17"/>
          <w:szCs w:val="17"/>
        </w:rPr>
        <w:t xml:space="preserve">Table 13. Held-out test performance for both production models.</w:t>
      </w:r>
    </w:p>
    <w:p>
      <w:pPr>
        <w:spacing w:after="120" w:line="276"/>
      </w:pPr>
      <w:r>
        <w:rPr>
          <w:rFonts w:ascii="Calibri" w:cs="Calibri" w:eastAsia="Calibri" w:hAnsi="Calibri"/>
          <w:color w:val="1F2937"/>
          <w:sz w:val="21"/>
          <w:szCs w:val="21"/>
        </w:rPr>
        <w:t xml:space="preserve">Test performance matches validation performance closely — accuracy of 0.9517 against 0.9511, and RMSE of ₹600 against ₹633 — indicating that model selection did not overfit the validation set. Macro recall of 0.9471 exceeds macro precision of 0.8214, meaning the classifier errs toward flagging risk rather than missing it, which is the correct asymmetry for credit decisioning: a false High_Risk flag costs a manual review, whereas a missed one costs a default.</w:t>
      </w:r>
    </w:p>
    <w:p>
      <w:pPr>
        <w:spacing w:after="120" w:line="276"/>
      </w:pPr>
      <w:r>
        <w:rPr>
          <w:rFonts w:ascii="Calibri" w:cs="Calibri" w:eastAsia="Calibri" w:hAnsi="Calibri"/>
          <w:color w:val="1F2937"/>
          <w:sz w:val="21"/>
          <w:szCs w:val="21"/>
        </w:rPr>
        <w:t xml:space="preserve">Regression error is well-controlled in relative terms, with a mean absolute percentage error of 5.88%. The largest rupee errors concentrate among high-capacity applicants where absolute instalment values are largest; a human-review threshold above the 95th percentile of predicted EMI is a low-cost safeguard for production use.</w:t>
      </w:r>
    </w:p>
    <w:p>
      <w:pPr>
        <w:pStyle w:val="Heading1"/>
        <w:spacing w:after="160" w:before="340"/>
      </w:pPr>
      <w:r>
        <w:rPr>
          <w:rFonts w:ascii="Calibri" w:cs="Calibri" w:eastAsia="Calibri" w:hAnsi="Calibri"/>
          <w:b/>
          <w:bCs/>
          <w:color w:val="0B1220"/>
          <w:sz w:val="30"/>
          <w:szCs w:val="30"/>
        </w:rPr>
        <w:t xml:space="preserve">11. Application Architecture</w:t>
      </w:r>
    </w:p>
    <w:p>
      <w:pPr>
        <w:spacing w:after="120" w:line="276"/>
      </w:pPr>
      <w:r>
        <w:rPr>
          <w:rFonts w:ascii="Calibri" w:cs="Calibri" w:eastAsia="Calibri" w:hAnsi="Calibri"/>
          <w:color w:val="1F2937"/>
          <w:sz w:val="21"/>
          <w:szCs w:val="21"/>
        </w:rPr>
        <w:t xml:space="preserve">The web application is a nine-page Streamlit interface. It contains no modelling logic: it loads the serialised pipelines and calls them, so behaviour cannot drift from the trained artifacts.</w:t>
      </w:r>
    </w:p>
    <w:p>
      <w:pPr>
        <w:pStyle w:val="Heading2"/>
        <w:spacing w:after="120" w:before="260"/>
      </w:pPr>
      <w:r>
        <w:rPr>
          <w:rFonts w:ascii="Calibri" w:cs="Calibri" w:eastAsia="Calibri" w:hAnsi="Calibri"/>
          <w:b/>
          <w:bCs/>
          <w:color w:val="1D4ED8"/>
          <w:sz w:val="24"/>
          <w:szCs w:val="24"/>
        </w:rPr>
        <w:t xml:space="preserve">11.1 Module structure</w:t>
      </w:r>
    </w:p>
    <w:tbl>
      <w:tblPr>
        <w:tblW w:type="dxa" w:w="9026"/>
        <w:tblBorders>
          <w:top w:val="single" w:color="C9D1DC" w:sz="4"/>
          <w:left w:val="none"/>
          <w:bottom w:val="single" w:color="C9D1DC" w:sz="4"/>
          <w:right w:val="none"/>
          <w:insideH w:val="single" w:color="E2E8F0" w:sz="2"/>
          <w:insideV w:val="none"/>
        </w:tblBorders>
      </w:tblPr>
      <w:tblGrid>
        <w:gridCol w:w="2400"/>
        <w:gridCol w:w="6626"/>
      </w:tblGrid>
      <w:tr>
        <w:trPr>
          <w:tblHeader/>
        </w:trPr>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Path</w:t>
            </w:r>
          </w:p>
        </w:tc>
        <w:tc>
          <w:tcPr>
            <w:tcW w:type="dxa" w:w="66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Responsibility</w:t>
            </w:r>
          </w:p>
        </w:tc>
      </w:tr>
      <w:tr>
        <w:tc>
          <w:tcPr>
            <w:tcW w:type="dxa" w:w="2400"/>
            <w:tcMar>
              <w:top w:type="dxa" w:w="80"/>
              <w:left w:type="dxa" w:w="110"/>
              <w:bottom w:type="dxa" w:w="80"/>
              <w:right w:type="dxa" w:w="110"/>
            </w:tcMar>
          </w:tcPr>
          <w:p>
            <w:pPr>
              <w:spacing w:after="0" w:line="260"/>
            </w:pPr>
            <w:r>
              <w:rPr>
                <w:rFonts w:ascii="Consolas" w:cs="Consolas" w:eastAsia="Consolas" w:hAnsi="Consolas"/>
                <w:color w:val="1F2937"/>
                <w:sz w:val="19"/>
                <w:szCs w:val="19"/>
              </w:rPr>
              <w:t xml:space="preserve">app.py</w:t>
            </w:r>
          </w:p>
        </w:tc>
        <w:tc>
          <w:tcPr>
            <w:tcW w:type="dxa" w:w="66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Page configuration, stylesheet injection, navigation and routing</w:t>
            </w:r>
          </w:p>
        </w:tc>
      </w:tr>
      <w:tr>
        <w:tc>
          <w:tcPr>
            <w:tcW w:type="dxa" w:w="2400"/>
            <w:shd w:fill="F5F7FA" w:color="auto" w:val="clear"/>
            <w:tcMar>
              <w:top w:type="dxa" w:w="80"/>
              <w:left w:type="dxa" w:w="110"/>
              <w:bottom w:type="dxa" w:w="80"/>
              <w:right w:type="dxa" w:w="110"/>
            </w:tcMar>
          </w:tcPr>
          <w:p>
            <w:pPr>
              <w:spacing w:after="0" w:line="260"/>
            </w:pPr>
            <w:r>
              <w:rPr>
                <w:rFonts w:ascii="Consolas" w:cs="Consolas" w:eastAsia="Consolas" w:hAnsi="Consolas"/>
                <w:color w:val="1F2937"/>
                <w:sz w:val="19"/>
                <w:szCs w:val="19"/>
              </w:rPr>
              <w:t xml:space="preserve">core/services.py</w:t>
            </w:r>
          </w:p>
        </w:tc>
        <w:tc>
          <w:tcPr>
            <w:tcW w:type="dxa" w:w="66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Model loading, prediction, dataset access, MLflow reader, insight derivation</w:t>
            </w:r>
          </w:p>
        </w:tc>
      </w:tr>
      <w:tr>
        <w:tc>
          <w:tcPr>
            <w:tcW w:type="dxa" w:w="2400"/>
            <w:tcMar>
              <w:top w:type="dxa" w:w="80"/>
              <w:left w:type="dxa" w:w="110"/>
              <w:bottom w:type="dxa" w:w="80"/>
              <w:right w:type="dxa" w:w="110"/>
            </w:tcMar>
          </w:tcPr>
          <w:p>
            <w:pPr>
              <w:spacing w:after="0" w:line="260"/>
            </w:pPr>
            <w:r>
              <w:rPr>
                <w:rFonts w:ascii="Consolas" w:cs="Consolas" w:eastAsia="Consolas" w:hAnsi="Consolas"/>
                <w:color w:val="1F2937"/>
                <w:sz w:val="19"/>
                <w:szCs w:val="19"/>
              </w:rPr>
              <w:t xml:space="preserve">core/report.py</w:t>
            </w:r>
          </w:p>
        </w:tc>
        <w:tc>
          <w:tcPr>
            <w:tcW w:type="dxa" w:w="66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PDF assessment report generation</w:t>
            </w:r>
          </w:p>
        </w:tc>
      </w:tr>
      <w:tr>
        <w:tc>
          <w:tcPr>
            <w:tcW w:type="dxa" w:w="2400"/>
            <w:shd w:fill="F5F7FA" w:color="auto" w:val="clear"/>
            <w:tcMar>
              <w:top w:type="dxa" w:w="80"/>
              <w:left w:type="dxa" w:w="110"/>
              <w:bottom w:type="dxa" w:w="80"/>
              <w:right w:type="dxa" w:w="110"/>
            </w:tcMar>
          </w:tcPr>
          <w:p>
            <w:pPr>
              <w:spacing w:after="0" w:line="260"/>
            </w:pPr>
            <w:r>
              <w:rPr>
                <w:rFonts w:ascii="Consolas" w:cs="Consolas" w:eastAsia="Consolas" w:hAnsi="Consolas"/>
                <w:color w:val="1F2937"/>
                <w:sz w:val="19"/>
                <w:szCs w:val="19"/>
              </w:rPr>
              <w:t xml:space="preserve">components/</w:t>
            </w:r>
          </w:p>
        </w:tc>
        <w:tc>
          <w:tcPr>
            <w:tcW w:type="dxa" w:w="66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Shell, cards, charts and the applicant form</w:t>
            </w:r>
          </w:p>
        </w:tc>
      </w:tr>
      <w:tr>
        <w:tc>
          <w:tcPr>
            <w:tcW w:type="dxa" w:w="2400"/>
            <w:tcMar>
              <w:top w:type="dxa" w:w="80"/>
              <w:left w:type="dxa" w:w="110"/>
              <w:bottom w:type="dxa" w:w="80"/>
              <w:right w:type="dxa" w:w="110"/>
            </w:tcMar>
          </w:tcPr>
          <w:p>
            <w:pPr>
              <w:spacing w:after="0" w:line="260"/>
            </w:pPr>
            <w:r>
              <w:rPr>
                <w:rFonts w:ascii="Consolas" w:cs="Consolas" w:eastAsia="Consolas" w:hAnsi="Consolas"/>
                <w:color w:val="1F2937"/>
                <w:sz w:val="19"/>
                <w:szCs w:val="19"/>
              </w:rPr>
              <w:t xml:space="preserve">views/</w:t>
            </w:r>
          </w:p>
        </w:tc>
        <w:tc>
          <w:tcPr>
            <w:tcW w:type="dxa" w:w="66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One module per page</w:t>
            </w:r>
          </w:p>
        </w:tc>
      </w:tr>
      <w:tr>
        <w:tc>
          <w:tcPr>
            <w:tcW w:type="dxa" w:w="2400"/>
            <w:shd w:fill="F5F7FA" w:color="auto" w:val="clear"/>
            <w:tcMar>
              <w:top w:type="dxa" w:w="80"/>
              <w:left w:type="dxa" w:w="110"/>
              <w:bottom w:type="dxa" w:w="80"/>
              <w:right w:type="dxa" w:w="110"/>
            </w:tcMar>
          </w:tcPr>
          <w:p>
            <w:pPr>
              <w:spacing w:after="0" w:line="260"/>
            </w:pPr>
            <w:r>
              <w:rPr>
                <w:rFonts w:ascii="Consolas" w:cs="Consolas" w:eastAsia="Consolas" w:hAnsi="Consolas"/>
                <w:color w:val="1F2937"/>
                <w:sz w:val="19"/>
                <w:szCs w:val="19"/>
              </w:rPr>
              <w:t xml:space="preserve">utils/</w:t>
            </w:r>
          </w:p>
        </w:tc>
        <w:tc>
          <w:tcPr>
            <w:tcW w:type="dxa" w:w="66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Indian-format currency helpers and input validation</w:t>
            </w:r>
          </w:p>
        </w:tc>
      </w:tr>
      <w:tr>
        <w:tc>
          <w:tcPr>
            <w:tcW w:type="dxa" w:w="2400"/>
            <w:tcMar>
              <w:top w:type="dxa" w:w="80"/>
              <w:left w:type="dxa" w:w="110"/>
              <w:bottom w:type="dxa" w:w="80"/>
              <w:right w:type="dxa" w:w="110"/>
            </w:tcMar>
          </w:tcPr>
          <w:p>
            <w:pPr>
              <w:spacing w:after="0" w:line="260"/>
            </w:pPr>
            <w:r>
              <w:rPr>
                <w:rFonts w:ascii="Consolas" w:cs="Consolas" w:eastAsia="Consolas" w:hAnsi="Consolas"/>
                <w:color w:val="1F2937"/>
                <w:sz w:val="19"/>
                <w:szCs w:val="19"/>
              </w:rPr>
              <w:t xml:space="preserve">styles/theme.css</w:t>
            </w:r>
          </w:p>
        </w:tc>
        <w:tc>
          <w:tcPr>
            <w:tcW w:type="dxa" w:w="66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Centralised design system</w:t>
            </w:r>
          </w:p>
        </w:tc>
      </w:tr>
    </w:tbl>
    <w:p>
      <w:pPr>
        <w:spacing w:after="200" w:before="60"/>
      </w:pPr>
      <w:r>
        <w:rPr>
          <w:rFonts w:ascii="Calibri" w:cs="Calibri" w:eastAsia="Calibri" w:hAnsi="Calibri"/>
          <w:i/>
          <w:iCs/>
          <w:color w:val="5B6678"/>
          <w:sz w:val="17"/>
          <w:szCs w:val="17"/>
        </w:rPr>
        <w:t xml:space="preserve">Table 14. Application module structure.</w:t>
      </w:r>
    </w:p>
    <w:p>
      <w:pPr>
        <w:spacing w:after="120" w:line="276"/>
      </w:pPr>
      <w:r>
        <w:rPr>
          <w:rFonts w:ascii="Calibri" w:cs="Calibri" w:eastAsia="Calibri" w:hAnsi="Calibri"/>
          <w:color w:val="1F2937"/>
          <w:sz w:val="21"/>
          <w:szCs w:val="21"/>
        </w:rPr>
        <w:t xml:space="preserve">View modules are held in views/ rather than the Streamlit-conventional pages/ directory, because that directory name triggers Streamlit's automatic navigation, which would conflict with the custom sidebar.</w:t>
      </w:r>
    </w:p>
    <w:p>
      <w:pPr>
        <w:pStyle w:val="Heading2"/>
        <w:spacing w:after="120" w:before="260"/>
      </w:pPr>
      <w:r>
        <w:rPr>
          <w:rFonts w:ascii="Calibri" w:cs="Calibri" w:eastAsia="Calibri" w:hAnsi="Calibri"/>
          <w:b/>
          <w:bCs/>
          <w:color w:val="1D4ED8"/>
          <w:sz w:val="24"/>
          <w:szCs w:val="24"/>
        </w:rPr>
        <w:t xml:space="preserve">11.2 Inference path</w:t>
      </w:r>
    </w:p>
    <w:p>
      <w:pPr>
        <w:spacing w:after="120" w:line="276"/>
      </w:pPr>
      <w:r>
        <w:rPr>
          <w:rFonts w:ascii="Calibri" w:cs="Calibri" w:eastAsia="Calibri" w:hAnsi="Calibri"/>
          <w:color w:val="1F2937"/>
          <w:sz w:val="21"/>
          <w:szCs w:val="21"/>
        </w:rPr>
        <w:t xml:space="preserve">A submitted profile becomes a single-row DataFrame, passes through engineer_features(), is restricted to the 37 training columns in their original order, and is scored by both pipelines. The classifier returns class probabilities from which the label is taken; the regressor returns the maximum safe instalment. No rounding, clipping or post-processing is applied to either output.</w:t>
      </w:r>
    </w:p>
    <w:p>
      <w:pPr>
        <w:pStyle w:val="Heading2"/>
        <w:spacing w:after="120" w:before="260"/>
      </w:pPr>
      <w:r>
        <w:rPr>
          <w:rFonts w:ascii="Calibri" w:cs="Calibri" w:eastAsia="Calibri" w:hAnsi="Calibri"/>
          <w:b/>
          <w:bCs/>
          <w:color w:val="1D4ED8"/>
          <w:sz w:val="24"/>
          <w:szCs w:val="24"/>
        </w:rPr>
        <w:t xml:space="preserve">11.3 Performance measures</w:t>
      </w:r>
    </w:p>
    <w:p>
      <w:pPr>
        <w:pStyle w:val="ListParagraph"/>
        <w:numPr>
          <w:ilvl w:val="0"/>
          <w:numId w:val="2"/>
        </w:numPr>
        <w:spacing w:after="70" w:line="276"/>
      </w:pPr>
      <w:r>
        <w:rPr>
          <w:rFonts w:ascii="Calibri" w:cs="Calibri" w:eastAsia="Calibri" w:hAnsi="Calibri"/>
          <w:color w:val="1F2937"/>
          <w:sz w:val="21"/>
          <w:szCs w:val="21"/>
        </w:rPr>
        <w:t xml:space="preserve">Models are cached with st.cache_resource so they are deserialised once per application process rather than per interaction.</w:t>
      </w:r>
    </w:p>
    <w:p>
      <w:pPr>
        <w:pStyle w:val="ListParagraph"/>
        <w:numPr>
          <w:ilvl w:val="0"/>
          <w:numId w:val="2"/>
        </w:numPr>
        <w:spacing w:after="70" w:line="276"/>
      </w:pPr>
      <w:r>
        <w:rPr>
          <w:rFonts w:ascii="Calibri" w:cs="Calibri" w:eastAsia="Calibri" w:hAnsi="Calibri"/>
          <w:color w:val="1F2937"/>
          <w:sz w:val="21"/>
          <w:szCs w:val="21"/>
        </w:rPr>
        <w:t xml:space="preserve">The dataset is cached with st.cache_data and loaded as a bounded sample; the full 404,800-row file is never rendered in the browser.</w:t>
      </w:r>
    </w:p>
    <w:p>
      <w:pPr>
        <w:pStyle w:val="ListParagraph"/>
        <w:numPr>
          <w:ilvl w:val="0"/>
          <w:numId w:val="2"/>
        </w:numPr>
        <w:spacing w:after="70" w:line="276"/>
      </w:pPr>
      <w:r>
        <w:rPr>
          <w:rFonts w:ascii="Calibri" w:cs="Calibri" w:eastAsia="Calibri" w:hAnsi="Calibri"/>
          <w:color w:val="1F2937"/>
          <w:sz w:val="21"/>
          <w:szCs w:val="21"/>
        </w:rPr>
        <w:t xml:space="preserve">The applicant form is wrapped in st.form, so editing any of the 22 fields does not trigger a rerun — only submission does.</w:t>
      </w:r>
    </w:p>
    <w:p>
      <w:pPr>
        <w:pStyle w:val="ListParagraph"/>
        <w:numPr>
          <w:ilvl w:val="0"/>
          <w:numId w:val="2"/>
        </w:numPr>
        <w:spacing w:after="70" w:line="276"/>
      </w:pPr>
      <w:r>
        <w:rPr>
          <w:rFonts w:ascii="Calibri" w:cs="Calibri" w:eastAsia="Calibri" w:hAnsi="Calibri"/>
          <w:color w:val="1F2937"/>
          <w:sz w:val="21"/>
          <w:szCs w:val="21"/>
        </w:rPr>
        <w:t xml:space="preserve">Assessment results are held in session state, so the report page renders without re-running inference.</w:t>
      </w:r>
    </w:p>
    <w:p>
      <w:pPr>
        <w:pStyle w:val="ListParagraph"/>
        <w:numPr>
          <w:ilvl w:val="0"/>
          <w:numId w:val="2"/>
        </w:numPr>
        <w:spacing w:after="70" w:line="276"/>
      </w:pPr>
      <w:r>
        <w:rPr>
          <w:rFonts w:ascii="Calibri" w:cs="Calibri" w:eastAsia="Calibri" w:hAnsi="Calibri"/>
          <w:color w:val="1F2937"/>
          <w:sz w:val="21"/>
          <w:szCs w:val="21"/>
        </w:rPr>
        <w:t xml:space="preserve">The record browser paginates at 50 rows and scatter plots are drawn from bounded samples.</w:t>
      </w:r>
    </w:p>
    <w:p>
      <w:pPr>
        <w:pStyle w:val="Heading2"/>
        <w:spacing w:after="120" w:before="260"/>
      </w:pPr>
      <w:r>
        <w:rPr>
          <w:rFonts w:ascii="Calibri" w:cs="Calibri" w:eastAsia="Calibri" w:hAnsi="Calibri"/>
          <w:b/>
          <w:bCs/>
          <w:color w:val="1D4ED8"/>
          <w:sz w:val="24"/>
          <w:szCs w:val="24"/>
        </w:rPr>
        <w:t xml:space="preserve">11.4 Error handling</w:t>
      </w:r>
    </w:p>
    <w:p>
      <w:pPr>
        <w:spacing w:after="120" w:line="276"/>
      </w:pPr>
      <w:r>
        <w:rPr>
          <w:rFonts w:ascii="Calibri" w:cs="Calibri" w:eastAsia="Calibri" w:hAnsi="Calibri"/>
          <w:color w:val="1F2937"/>
          <w:sz w:val="21"/>
          <w:szCs w:val="21"/>
        </w:rPr>
        <w:t xml:space="preserve">Missing artifacts, an absent dataset and an unavailable tracking store each render an explicit unavailable state rather than a placeholder value or a traceback. Technical detail is available in a collapsible section for developers. This behaviour is deliberate: a financial application that silently displays a fabricated figure is more dangerous than one that reports it cannot compute.</w:t>
      </w:r>
    </w:p>
    <w:p>
      <w:pPr>
        <w:pStyle w:val="Heading1"/>
        <w:spacing w:after="160" w:before="340"/>
      </w:pPr>
      <w:r>
        <w:rPr>
          <w:rFonts w:ascii="Calibri" w:cs="Calibri" w:eastAsia="Calibri" w:hAnsi="Calibri"/>
          <w:b/>
          <w:bCs/>
          <w:color w:val="0B1220"/>
          <w:sz w:val="30"/>
          <w:szCs w:val="30"/>
        </w:rPr>
        <w:t xml:space="preserve">12. Deployment</w:t>
      </w:r>
    </w:p>
    <w:p>
      <w:pPr>
        <w:spacing w:after="120" w:line="276"/>
      </w:pPr>
      <w:r>
        <w:rPr>
          <w:rFonts w:ascii="Calibri" w:cs="Calibri" w:eastAsia="Calibri" w:hAnsi="Calibri"/>
          <w:color w:val="1F2937"/>
          <w:sz w:val="21"/>
          <w:szCs w:val="21"/>
        </w:rPr>
        <w:t xml:space="preserve">The application is deployed on Streamlit Cloud from a GitHub repository, with automatic redeployment on push. The runtime provisions Python 3.14 with the pinned dependency set.</w:t>
      </w:r>
    </w:p>
    <w:p>
      <w:pPr>
        <w:pStyle w:val="Heading2"/>
        <w:spacing w:after="120" w:before="260"/>
      </w:pPr>
      <w:r>
        <w:rPr>
          <w:rFonts w:ascii="Calibri" w:cs="Calibri" w:eastAsia="Calibri" w:hAnsi="Calibri"/>
          <w:b/>
          <w:bCs/>
          <w:color w:val="1D4ED8"/>
          <w:sz w:val="24"/>
          <w:szCs w:val="24"/>
        </w:rPr>
        <w:t xml:space="preserve">12.1 Deployment issues encountered</w:t>
      </w:r>
    </w:p>
    <w:tbl>
      <w:tblPr>
        <w:tblW w:type="dxa" w:w="9026"/>
        <w:tblBorders>
          <w:top w:val="single" w:color="C9D1DC" w:sz="4"/>
          <w:left w:val="none"/>
          <w:bottom w:val="single" w:color="C9D1DC" w:sz="4"/>
          <w:right w:val="none"/>
          <w:insideH w:val="single" w:color="E2E8F0" w:sz="2"/>
          <w:insideV w:val="none"/>
        </w:tblBorders>
      </w:tblPr>
      <w:tblGrid>
        <w:gridCol w:w="2600"/>
        <w:gridCol w:w="6426"/>
      </w:tblGrid>
      <w:tr>
        <w:trPr>
          <w:tblHeader/>
        </w:trPr>
        <w:tc>
          <w:tcPr>
            <w:tcW w:type="dxa" w:w="2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Issue</w:t>
            </w:r>
          </w:p>
        </w:tc>
        <w:tc>
          <w:tcPr>
            <w:tcW w:type="dxa" w:w="64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Diagnosis and resolution</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Models failed to load in the cloud environment with 'No module named dill'</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The notebook was executed by a runner that used dill for namespace persistence, and its reducers were serialised into the artifacts. Resolved by re-serialising the pipelines in a clean process; verified by loading them with dill made unimportable. Compression also reduced artifact size from 6.3 MB to 2.2 MB.</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Stale error persisted after the corrected artifacts were deployed</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The failure was cached by st.cache_resource. Resolved by restarting the application; a cache-clearing control was added to the Settings page to make this recoverable in future.</w:t>
            </w:r>
          </w:p>
        </w:tc>
      </w:tr>
      <w:tr>
        <w:tc>
          <w:tcPr>
            <w:tcW w:type="dxa" w:w="26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MLflow monitoring reported no tracking store</w:t>
            </w:r>
          </w:p>
        </w:tc>
        <w:tc>
          <w:tcPr>
            <w:tcW w:type="dxa" w:w="64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The tracking database was excluded by .gitignore. Since the monitoring page reads only the SQLite store and not the artifact files, shipping the 913 KB database alone restored the page without adding the 90 MB artifact directory.</w:t>
            </w:r>
          </w:p>
        </w:tc>
      </w:tr>
    </w:tbl>
    <w:p>
      <w:pPr>
        <w:spacing w:after="200" w:before="60"/>
      </w:pPr>
      <w:r>
        <w:rPr>
          <w:rFonts w:ascii="Calibri" w:cs="Calibri" w:eastAsia="Calibri" w:hAnsi="Calibri"/>
          <w:i/>
          <w:iCs/>
          <w:color w:val="5B6678"/>
          <w:sz w:val="17"/>
          <w:szCs w:val="17"/>
        </w:rPr>
        <w:t xml:space="preserve">Table 15. Deployment issues and their resolutions.</w:t>
      </w:r>
    </w:p>
    <w:p>
      <w:pPr>
        <w:pStyle w:val="Heading1"/>
        <w:spacing w:after="160" w:before="340"/>
      </w:pPr>
      <w:r>
        <w:rPr>
          <w:rFonts w:ascii="Calibri" w:cs="Calibri" w:eastAsia="Calibri" w:hAnsi="Calibri"/>
          <w:b/>
          <w:bCs/>
          <w:color w:val="0B1220"/>
          <w:sz w:val="30"/>
          <w:szCs w:val="30"/>
        </w:rPr>
        <w:t xml:space="preserve">13. Limitations and Future Work</w:t>
      </w:r>
    </w:p>
    <w:p>
      <w:pPr>
        <w:pStyle w:val="Heading2"/>
        <w:spacing w:after="120" w:before="260"/>
      </w:pPr>
      <w:r>
        <w:rPr>
          <w:rFonts w:ascii="Calibri" w:cs="Calibri" w:eastAsia="Calibri" w:hAnsi="Calibri"/>
          <w:b/>
          <w:bCs/>
          <w:color w:val="1D4ED8"/>
          <w:sz w:val="24"/>
          <w:szCs w:val="24"/>
        </w:rPr>
        <w:t xml:space="preserve">13.1 Limitations</w:t>
      </w:r>
    </w:p>
    <w:p>
      <w:pPr>
        <w:pStyle w:val="ListParagraph"/>
        <w:numPr>
          <w:ilvl w:val="0"/>
          <w:numId w:val="2"/>
        </w:numPr>
        <w:spacing w:after="70" w:line="276"/>
      </w:pPr>
      <w:r>
        <w:rPr>
          <w:rFonts w:ascii="Calibri" w:cs="Calibri" w:eastAsia="Calibri" w:hAnsi="Calibri"/>
          <w:color w:val="1F2937"/>
          <w:sz w:val="21"/>
          <w:szCs w:val="21"/>
        </w:rPr>
        <w:t xml:space="preserve">The dataset is synthetic. Model performance reflects the generating process and would need revalidation against real lending data.</w:t>
      </w:r>
    </w:p>
    <w:p>
      <w:pPr>
        <w:pStyle w:val="ListParagraph"/>
        <w:numPr>
          <w:ilvl w:val="0"/>
          <w:numId w:val="2"/>
        </w:numPr>
        <w:spacing w:after="70" w:line="276"/>
      </w:pPr>
      <w:r>
        <w:rPr>
          <w:rFonts w:ascii="Calibri" w:cs="Calibri" w:eastAsia="Calibri" w:hAnsi="Calibri"/>
          <w:color w:val="1F2937"/>
          <w:sz w:val="21"/>
          <w:szCs w:val="21"/>
        </w:rPr>
        <w:t xml:space="preserve">No repayment outcomes are present. The targets are affordability assessments, not observed defaults, so the models predict eligibility as defined by the labelling rule rather than realised credit risk.</w:t>
      </w:r>
    </w:p>
    <w:p>
      <w:pPr>
        <w:pStyle w:val="ListParagraph"/>
        <w:numPr>
          <w:ilvl w:val="0"/>
          <w:numId w:val="2"/>
        </w:numPr>
        <w:spacing w:after="70" w:line="276"/>
      </w:pPr>
      <w:r>
        <w:rPr>
          <w:rFonts w:ascii="Calibri" w:cs="Calibri" w:eastAsia="Calibri" w:hAnsi="Calibri"/>
          <w:color w:val="1F2937"/>
          <w:sz w:val="21"/>
          <w:szCs w:val="21"/>
        </w:rPr>
        <w:t xml:space="preserve">Hyperparameter tuning was intentionally light, prioritising a clean comparison across model families over maximum performance from any one of them.</w:t>
      </w:r>
    </w:p>
    <w:p>
      <w:pPr>
        <w:pStyle w:val="ListParagraph"/>
        <w:numPr>
          <w:ilvl w:val="0"/>
          <w:numId w:val="2"/>
        </w:numPr>
        <w:spacing w:after="70" w:line="276"/>
      </w:pPr>
      <w:r>
        <w:rPr>
          <w:rFonts w:ascii="Calibri" w:cs="Calibri" w:eastAsia="Calibri" w:hAnsi="Calibri"/>
          <w:color w:val="1F2937"/>
          <w:sz w:val="21"/>
          <w:szCs w:val="21"/>
        </w:rPr>
        <w:t xml:space="preserve">Class probabilities are uncalibrated; they rank correctly but should not be read as literal default probabilities.</w:t>
      </w:r>
    </w:p>
    <w:p>
      <w:pPr>
        <w:pStyle w:val="ListParagraph"/>
        <w:numPr>
          <w:ilvl w:val="0"/>
          <w:numId w:val="2"/>
        </w:numPr>
        <w:spacing w:after="70" w:line="276"/>
      </w:pPr>
      <w:r>
        <w:rPr>
          <w:rFonts w:ascii="Calibri" w:cs="Calibri" w:eastAsia="Calibri" w:hAnsi="Calibri"/>
          <w:color w:val="1F2937"/>
          <w:sz w:val="21"/>
          <w:szCs w:val="21"/>
        </w:rPr>
        <w:t xml:space="preserve">Reported feature importances are global, describing the model overall rather than attributing an individual decision.</w:t>
      </w:r>
    </w:p>
    <w:p>
      <w:pPr>
        <w:pStyle w:val="Heading2"/>
        <w:spacing w:after="120" w:before="260"/>
      </w:pPr>
      <w:r>
        <w:rPr>
          <w:rFonts w:ascii="Calibri" w:cs="Calibri" w:eastAsia="Calibri" w:hAnsi="Calibri"/>
          <w:b/>
          <w:bCs/>
          <w:color w:val="1D4ED8"/>
          <w:sz w:val="24"/>
          <w:szCs w:val="24"/>
        </w:rPr>
        <w:t xml:space="preserve">13.2 Future work</w:t>
      </w:r>
    </w:p>
    <w:p>
      <w:pPr>
        <w:pStyle w:val="ListParagraph"/>
        <w:numPr>
          <w:ilvl w:val="0"/>
          <w:numId w:val="2"/>
        </w:numPr>
        <w:spacing w:after="70" w:line="276"/>
      </w:pPr>
      <w:r>
        <w:rPr>
          <w:rFonts w:ascii="Calibri" w:cs="Calibri" w:eastAsia="Calibri" w:hAnsi="Calibri"/>
          <w:color w:val="1F2937"/>
          <w:sz w:val="21"/>
          <w:szCs w:val="21"/>
        </w:rPr>
        <w:t xml:space="preserve">Systematic hyperparameter search, for example with Optuna, once a target metric is fixed.</w:t>
      </w:r>
    </w:p>
    <w:p>
      <w:pPr>
        <w:pStyle w:val="ListParagraph"/>
        <w:numPr>
          <w:ilvl w:val="0"/>
          <w:numId w:val="2"/>
        </w:numPr>
        <w:spacing w:after="70" w:line="276"/>
      </w:pPr>
      <w:r>
        <w:rPr>
          <w:rFonts w:ascii="Calibri" w:cs="Calibri" w:eastAsia="Calibri" w:hAnsi="Calibri"/>
          <w:color w:val="1F2937"/>
          <w:sz w:val="21"/>
          <w:szCs w:val="21"/>
        </w:rPr>
        <w:t xml:space="preserve">Probability calibration to make the classifier's outputs usable for expected-loss pricing.</w:t>
      </w:r>
    </w:p>
    <w:p>
      <w:pPr>
        <w:pStyle w:val="ListParagraph"/>
        <w:numPr>
          <w:ilvl w:val="0"/>
          <w:numId w:val="2"/>
        </w:numPr>
        <w:spacing w:after="70" w:line="276"/>
      </w:pPr>
      <w:r>
        <w:rPr>
          <w:rFonts w:ascii="Calibri" w:cs="Calibri" w:eastAsia="Calibri" w:hAnsi="Calibri"/>
          <w:color w:val="1F2937"/>
          <w:sz w:val="21"/>
          <w:szCs w:val="21"/>
        </w:rPr>
        <w:t xml:space="preserve">Per-applicant attribution using SHAP, giving adverse-action reasoning at the individual level.</w:t>
      </w:r>
    </w:p>
    <w:p>
      <w:pPr>
        <w:pStyle w:val="ListParagraph"/>
        <w:numPr>
          <w:ilvl w:val="0"/>
          <w:numId w:val="2"/>
        </w:numPr>
        <w:spacing w:after="70" w:line="276"/>
      </w:pPr>
      <w:r>
        <w:rPr>
          <w:rFonts w:ascii="Calibri" w:cs="Calibri" w:eastAsia="Calibri" w:hAnsi="Calibri"/>
          <w:color w:val="1F2937"/>
          <w:sz w:val="21"/>
          <w:szCs w:val="21"/>
        </w:rPr>
        <w:t xml:space="preserve">Data drift monitoring against the training distribution, with alerting on significant shift.</w:t>
      </w:r>
    </w:p>
    <w:p>
      <w:pPr>
        <w:pStyle w:val="ListParagraph"/>
        <w:numPr>
          <w:ilvl w:val="0"/>
          <w:numId w:val="2"/>
        </w:numPr>
        <w:spacing w:after="70" w:line="276"/>
      </w:pPr>
      <w:r>
        <w:rPr>
          <w:rFonts w:ascii="Calibri" w:cs="Calibri" w:eastAsia="Calibri" w:hAnsi="Calibri"/>
          <w:color w:val="1F2937"/>
          <w:sz w:val="21"/>
          <w:szCs w:val="21"/>
        </w:rPr>
        <w:t xml:space="preserve">Retraining on observed repayment outcomes once available, converting the system from an affordability model into a credit risk model.</w:t>
      </w:r>
    </w:p>
    <w:p>
      <w:pPr>
        <w:pStyle w:val="Heading1"/>
        <w:spacing w:after="160" w:before="340"/>
      </w:pPr>
      <w:r>
        <w:rPr>
          <w:rFonts w:ascii="Calibri" w:cs="Calibri" w:eastAsia="Calibri" w:hAnsi="Calibri"/>
          <w:b/>
          <w:bCs/>
          <w:color w:val="0B1220"/>
          <w:sz w:val="30"/>
          <w:szCs w:val="30"/>
        </w:rPr>
        <w:t xml:space="preserve">Appendix A. Reproduction</w:t>
      </w:r>
    </w:p>
    <w:p>
      <w:pPr>
        <w:spacing w:after="120" w:line="276"/>
      </w:pPr>
      <w:r>
        <w:rPr>
          <w:rFonts w:ascii="Calibri" w:cs="Calibri" w:eastAsia="Calibri" w:hAnsi="Calibri"/>
          <w:color w:val="1F2937"/>
          <w:sz w:val="21"/>
          <w:szCs w:val="21"/>
        </w:rPr>
        <w:t xml:space="preserve">The project reproduces end to end from the training notebook, which regenerates the cleaned dataset, all fifteen EDA figures, six MLflow runs, both registry entries and every artifact consumed by the application.</w:t>
      </w:r>
    </w:p>
    <w:p>
      <w:pPr>
        <w:spacing w:after="120" w:line="276"/>
      </w:pPr>
      <w:r>
        <w:rPr>
          <w:rFonts w:ascii="Calibri" w:cs="Calibri" w:eastAsia="Calibri" w:hAnsi="Calibri"/>
          <w:b/>
          <w:bCs/>
          <w:color w:val="1F2937"/>
          <w:sz w:val="21"/>
          <w:szCs w:val="21"/>
        </w:rPr>
        <w:t xml:space="preserve">Install dependencies:  </w:t>
      </w:r>
      <w:r>
        <w:rPr>
          <w:rFonts w:ascii="Consolas" w:cs="Consolas" w:eastAsia="Consolas" w:hAnsi="Consolas"/>
          <w:color w:val="1F2937"/>
          <w:sz w:val="21"/>
          <w:szCs w:val="21"/>
        </w:rPr>
        <w:t xml:space="preserve">pip install -r requirements.txt</w:t>
      </w:r>
    </w:p>
    <w:p>
      <w:pPr>
        <w:spacing w:after="120" w:line="276"/>
      </w:pPr>
      <w:r>
        <w:rPr>
          <w:rFonts w:ascii="Calibri" w:cs="Calibri" w:eastAsia="Calibri" w:hAnsi="Calibri"/>
          <w:b/>
          <w:bCs/>
          <w:color w:val="1F2937"/>
          <w:sz w:val="21"/>
          <w:szCs w:val="21"/>
        </w:rPr>
        <w:t xml:space="preserve">Retrain and regenerate artifacts:  </w:t>
      </w:r>
      <w:r>
        <w:rPr>
          <w:rFonts w:ascii="Consolas" w:cs="Consolas" w:eastAsia="Consolas" w:hAnsi="Consolas"/>
          <w:color w:val="1F2937"/>
          <w:sz w:val="21"/>
          <w:szCs w:val="21"/>
        </w:rPr>
        <w:t xml:space="preserve">run EMIPredict_AI.ipynb top to bottom</w:t>
      </w:r>
    </w:p>
    <w:p>
      <w:pPr>
        <w:spacing w:after="120" w:line="276"/>
      </w:pPr>
      <w:r>
        <w:rPr>
          <w:rFonts w:ascii="Calibri" w:cs="Calibri" w:eastAsia="Calibri" w:hAnsi="Calibri"/>
          <w:b/>
          <w:bCs/>
          <w:color w:val="1F2937"/>
          <w:sz w:val="21"/>
          <w:szCs w:val="21"/>
        </w:rPr>
        <w:t xml:space="preserve">Inspect experiments:  </w:t>
      </w:r>
      <w:r>
        <w:rPr>
          <w:rFonts w:ascii="Consolas" w:cs="Consolas" w:eastAsia="Consolas" w:hAnsi="Consolas"/>
          <w:color w:val="1F2937"/>
          <w:sz w:val="21"/>
          <w:szCs w:val="21"/>
        </w:rPr>
        <w:t xml:space="preserve">mlflow ui --backend-store-uri sqlite:///mlflow.db</w:t>
      </w:r>
    </w:p>
    <w:p>
      <w:pPr>
        <w:spacing w:after="120" w:line="276"/>
      </w:pPr>
      <w:r>
        <w:rPr>
          <w:rFonts w:ascii="Calibri" w:cs="Calibri" w:eastAsia="Calibri" w:hAnsi="Calibri"/>
          <w:b/>
          <w:bCs/>
          <w:color w:val="1F2937"/>
          <w:sz w:val="21"/>
          <w:szCs w:val="21"/>
        </w:rPr>
        <w:t xml:space="preserve">Run the application:  </w:t>
      </w:r>
      <w:r>
        <w:rPr>
          <w:rFonts w:ascii="Consolas" w:cs="Consolas" w:eastAsia="Consolas" w:hAnsi="Consolas"/>
          <w:color w:val="1F2937"/>
          <w:sz w:val="21"/>
          <w:szCs w:val="21"/>
        </w:rPr>
        <w:t xml:space="preserve">streamlit run app.py</w:t>
      </w:r>
    </w:p>
    <w:p>
      <w:pPr>
        <w:spacing w:after="200" w:line="276"/>
      </w:pPr>
      <w:r>
        <w:rPr>
          <w:rFonts w:ascii="Calibri" w:cs="Calibri" w:eastAsia="Calibri" w:hAnsi="Calibri"/>
          <w:color w:val="1F2937"/>
          <w:sz w:val="21"/>
          <w:szCs w:val="21"/>
        </w:rPr>
        <w:t xml:space="preserve">A utility script, fix_mlflow_paths.py, re-anchors the absolute artifact paths held in the MLflow store when the project folder is moved, renamed or cloned onto another machine.</w:t>
      </w:r>
    </w:p>
    <w:p>
      <w:pPr>
        <w:spacing w:after="120" w:line="276"/>
      </w:pPr>
      <w:r>
        <w:rPr>
          <w:rFonts w:ascii="Calibri" w:cs="Calibri" w:eastAsia="Calibri" w:hAnsi="Calibri"/>
          <w:i/>
          <w:iCs/>
          <w:color w:val="5B6678"/>
          <w:sz w:val="18"/>
          <w:szCs w:val="18"/>
        </w:rPr>
        <w:t xml:space="preserve">All figures quoted in this document are read from the project's own artifacts: models/clf_comparison.json, models/reg_comparison.json, models/test_metrics.json, models/metadata.json, the fitted pipelines and the MLflow tracking store.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8"/>
        <w:sz w:val="16"/>
        <w:szCs w:val="16"/>
      </w:rPr>
      <w:t xml:space="preserve">EMIPredict AI — Technical Documentation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EMIPredict AI — Technical Documentation</dc:title>
  <dc:creator>Sahil Mohammed</dc:creator>
  <dc:description>Methodology and architecture for the EMIPredict AI platform</dc:description>
  <cp:lastModifiedBy>Un-named</cp:lastModifiedBy>
  <cp:revision>1</cp:revision>
  <dcterms:created xsi:type="dcterms:W3CDTF">2026-08-26T09:31:25.171Z</dcterms:created>
  <dcterms:modified xsi:type="dcterms:W3CDTF">2026-08-26T09:31:25.171Z</dcterms:modified>
</cp:coreProperties>
</file>

<file path=docProps/custom.xml><?xml version="1.0" encoding="utf-8"?>
<Properties xmlns="http://schemas.openxmlformats.org/officeDocument/2006/custom-properties" xmlns:vt="http://schemas.openxmlformats.org/officeDocument/2006/docPropsVTypes"/>
</file>