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A5F"/>
          <w:sz w:val="40"/>
          <w:szCs w:val="40"/>
        </w:rPr>
        <w:t xml:space="preserve">HealMatrix AI</w:t>
      </w:r>
    </w:p>
    <w:p>
      <w:pPr>
        <w:spacing w:after="40"/>
        <w:jc w:val="center"/>
      </w:pPr>
      <w:r>
        <w:rPr>
          <w:rFonts w:ascii="Calibri" w:cs="Calibri" w:eastAsia="Calibri" w:hAnsi="Calibri"/>
          <w:b/>
          <w:bCs/>
          <w:color w:val="555555"/>
          <w:sz w:val="24"/>
          <w:szCs w:val="24"/>
        </w:rPr>
        <w:t xml:space="preserve">Concept Note</w:t>
      </w:r>
    </w:p>
    <w:p>
      <w:pPr>
        <w:spacing w:after="300"/>
        <w:jc w:val="center"/>
      </w:pPr>
      <w:r>
        <w:rPr>
          <w:rFonts w:ascii="Calibri" w:cs="Calibri" w:eastAsia="Calibri" w:hAnsi="Calibri"/>
          <w:i/>
          <w:iCs/>
          <w:color w:val="555555"/>
          <w:sz w:val="19"/>
          <w:szCs w:val="19"/>
        </w:rPr>
        <w:t xml:space="preserve">Multi-Agent Sustainable Healthcare Intelligence Platform</w:t>
      </w:r>
    </w:p>
    <w:p>
      <w:pPr>
        <w:pStyle w:val="Heading1"/>
        <w:spacing w:after="120" w:before="260"/>
      </w:pPr>
      <w:r>
        <w:rPr>
          <w:rFonts w:ascii="Calibri" w:cs="Calibri" w:eastAsia="Calibri" w:hAnsi="Calibri"/>
          <w:b/>
          <w:bCs/>
          <w:color w:val="1F3A5F"/>
          <w:sz w:val="26"/>
          <w:szCs w:val="26"/>
        </w:rPr>
        <w:t xml:space="preserve">1. Problem Statement</w:t>
      </w:r>
    </w:p>
    <w:p>
      <w:pPr>
        <w:spacing w:after="140" w:line="280"/>
      </w:pPr>
      <w:r>
        <w:rPr>
          <w:rFonts w:ascii="Calibri" w:cs="Calibri" w:eastAsia="Calibri" w:hAnsi="Calibri"/>
          <w:i w:val="false"/>
          <w:iCs w:val="false"/>
          <w:color w:val="1A1A1A"/>
          <w:sz w:val="21"/>
          <w:szCs w:val="21"/>
        </w:rPr>
        <w:t xml:space="preserve">Hospitals run two systems in parallel that never talk to each other. Clinical operations — triage, bed assignment, patient flow — are managed under time pressure by clinicians and administrators making judgment calls with incomplete real-time information; a busy emergency department can under-triage a time-critical patient simply because no one has a consolidated view of acuity, bed availability and department load at the moment a decision must be made. Separately, hospital sustainability — energy consumption, water usage, biomedical waste, carbon footprint — is tracked, where it is tracked at all, through monthly manual logs long after the consumption or the compliance risk has already occurred.</w:t>
      </w:r>
    </w:p>
    <w:p>
      <w:pPr>
        <w:spacing w:after="140" w:line="280"/>
      </w:pPr>
      <w:r>
        <w:rPr>
          <w:rFonts w:ascii="Calibri" w:cs="Calibri" w:eastAsia="Calibri" w:hAnsi="Calibri"/>
          <w:i w:val="false"/>
          <w:iCs w:val="false"/>
          <w:color w:val="1A1A1A"/>
          <w:sz w:val="21"/>
          <w:szCs w:val="21"/>
        </w:rPr>
        <w:t xml:space="preserve">Commercial Hospital Management Systems (HMS) digitise records well but do not reason over them: they store the vitals, the bed chart and the utility meter reading, but the decision of what to do next is still left entirely to a human working from memory and habit under load. Meanwhile hospitals are increasingly held to sustainability and accreditation standards (NABH, JCI green-hospital criteria, state ESG reporting) with no operational tooling that connects day-to-day clinical decisions to their environmental consequence.</w:t>
      </w:r>
    </w:p>
    <w:p>
      <w:pPr>
        <w:spacing w:after="140" w:line="280"/>
      </w:pPr>
      <w:r>
        <w:rPr>
          <w:rFonts w:ascii="Calibri" w:cs="Calibri" w:eastAsia="Calibri" w:hAnsi="Calibri"/>
          <w:i w:val="false"/>
          <w:iCs w:val="false"/>
          <w:color w:val="1A1A1A"/>
          <w:sz w:val="21"/>
          <w:szCs w:val="21"/>
        </w:rPr>
        <w:t xml:space="preserve">The result is two linked but unaddressed gaps: a clinical decision-support gap during high-pressure moments, and a sustainability-visibility gap that leaves environmental performance as an afterthought rather than a live operating variable.</w:t>
      </w:r>
    </w:p>
    <w:p>
      <w:pPr>
        <w:pStyle w:val="Heading1"/>
        <w:spacing w:after="120" w:before="260"/>
      </w:pPr>
      <w:r>
        <w:rPr>
          <w:rFonts w:ascii="Calibri" w:cs="Calibri" w:eastAsia="Calibri" w:hAnsi="Calibri"/>
          <w:b/>
          <w:bCs/>
          <w:color w:val="1F3A5F"/>
          <w:sz w:val="26"/>
          <w:szCs w:val="26"/>
        </w:rPr>
        <w:t xml:space="preserve">2. Proposed Solution</w:t>
      </w:r>
    </w:p>
    <w:p>
      <w:pPr>
        <w:spacing w:after="140" w:line="280"/>
      </w:pPr>
      <w:r>
        <w:rPr>
          <w:rFonts w:ascii="Calibri" w:cs="Calibri" w:eastAsia="Calibri" w:hAnsi="Calibri"/>
          <w:i w:val="false"/>
          <w:iCs w:val="false"/>
          <w:color w:val="1A1A1A"/>
          <w:sz w:val="21"/>
          <w:szCs w:val="21"/>
        </w:rPr>
        <w:t xml:space="preserve">HealMatrix AI is an agentic operations layer that sits above a hospital's existing systems and data feeds. Ten specialised AI agents observe the live state of the hospital, reason over it individually, and negotiate through a shared orchestration state so their outputs are consistent with one another, then emit decisions a human can act on immediately: a bed assignment, a redistribution order for a medicine at risk of expiring, an HVAC setpoint change, a waste pickup schedule, or a board-level sustainability action plan.</w:t>
      </w:r>
    </w:p>
    <w:p>
      <w:pPr>
        <w:spacing w:after="140" w:line="280"/>
      </w:pPr>
      <w:r>
        <w:rPr>
          <w:rFonts w:ascii="Calibri" w:cs="Calibri" w:eastAsia="Calibri" w:hAnsi="Calibri"/>
          <w:i w:val="false"/>
          <w:iCs w:val="false"/>
          <w:color w:val="1A1A1A"/>
          <w:sz w:val="21"/>
          <w:szCs w:val="21"/>
        </w:rPr>
        <w:t xml:space="preserve">Two trigger paths drive the system. A patient-arrival event runs Patient Triage and Bed Allocation synchronously, in well under a second, so the recommendation is available before the patient reaches the ward. A scheduled cycle (hourly, via Celery beat) runs the remaining eight agents — forecasting, energy, water, waste, medicine, ambulance and the Executive Decision crew — over the hospital's telemetry and produces a single ranked action plan rather than eight disconnected alerts.</w:t>
      </w:r>
    </w:p>
    <w:p>
      <w:pPr>
        <w:spacing w:after="140" w:line="280"/>
      </w:pPr>
      <w:r>
        <w:rPr>
          <w:rFonts w:ascii="Calibri" w:cs="Calibri" w:eastAsia="Calibri" w:hAnsi="Calibri"/>
          <w:i w:val="false"/>
          <w:iCs w:val="false"/>
          <w:color w:val="1A1A1A"/>
          <w:sz w:val="21"/>
          <w:szCs w:val="21"/>
        </w:rPr>
        <w:t xml:space="preserve">Every agent decision carries a confidence score and a plain-language rationale, and every agent has a deterministic, network-free fallback path that runs when no LLM is configured — so the system degrades safely rather than failing silently, which matters in a clinical setting.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4800"/>
      </w:tblGrid>
      <w:tr>
        <w:trPr>
          <w:cantSplit/>
          <w:tblHeader/>
        </w:trPr>
        <w:tc>
          <w:tcPr>
            <w:tcW w:type="dxa" w:w="2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Agent</w:t>
            </w:r>
          </w:p>
        </w:tc>
        <w:tc>
          <w:tcPr>
            <w:tcW w:type="dxa" w:w="2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Intelligence</w:t>
            </w:r>
          </w:p>
        </w:tc>
        <w:tc>
          <w:tcPr>
            <w:tcW w:type="dxa" w:w="2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Responsibility</w:t>
            </w:r>
          </w:p>
        </w:tc>
      </w:tr>
      <w:tr>
        <w:trPr>
          <w:cantSplit/>
        </w:trP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Patient Triage</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XGBoost classifier + Gemini rationale</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Severity/ESI classification, department routing</w:t>
            </w:r>
          </w:p>
        </w:tc>
      </w:tr>
      <w:tr>
        <w:trPr>
          <w:cantSplit/>
        </w:trPr>
        <w:tc>
          <w:tcPr>
            <w:tcW w:type="dxa" w:w="2500"/>
            <w:tcBorders>
              <w:top w:val="single" w:color="CCCCCC" w:sz="4"/>
              <w:left w:val="single" w:color="CCCCCC" w:sz="4"/>
              <w:bottom w:val="single" w:color="CCCCCC" w:sz="4"/>
              <w:right w:val="single" w:color="CCCCCC" w:sz="4"/>
            </w:tcBorders>
            <w:shd w:fill="F2F6FA" w:val="clear"/>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Disease Forecast</w:t>
            </w:r>
          </w:p>
        </w:tc>
        <w:tc>
          <w:tcPr>
            <w:tcW w:type="dxa" w:w="2500"/>
            <w:tcBorders>
              <w:top w:val="single" w:color="CCCCCC" w:sz="4"/>
              <w:left w:val="single" w:color="CCCCCC" w:sz="4"/>
              <w:bottom w:val="single" w:color="CCCCCC" w:sz="4"/>
              <w:right w:val="single" w:color="CCCCCC" w:sz="4"/>
            </w:tcBorders>
            <w:shd w:fill="F2F6FA" w:val="clear"/>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SARIMA / XGBoost regressor</w:t>
            </w:r>
          </w:p>
        </w:tc>
        <w:tc>
          <w:tcPr>
            <w:tcW w:type="dxa" w:w="2500"/>
            <w:tcBorders>
              <w:top w:val="single" w:color="CCCCCC" w:sz="4"/>
              <w:left w:val="single" w:color="CCCCCC" w:sz="4"/>
              <w:bottom w:val="single" w:color="CCCCCC" w:sz="4"/>
              <w:right w:val="single" w:color="CCCCCC" w:sz="4"/>
            </w:tcBorders>
            <w:shd w:fill="F2F6FA" w:val="clear"/>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Seasonal outbreak &amp; admission forecasting</w:t>
            </w:r>
          </w:p>
        </w:tc>
      </w:tr>
      <w:tr>
        <w:trPr>
          <w:cantSplit/>
        </w:trP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Bed Allocation</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Constraint solver + LOS regressor</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Bed/ICU assignment, discharge prediction</w:t>
            </w:r>
          </w:p>
        </w:tc>
      </w:tr>
      <w:tr>
        <w:trPr>
          <w:cantSplit/>
        </w:trPr>
        <w:tc>
          <w:tcPr>
            <w:tcW w:type="dxa" w:w="2500"/>
            <w:tcBorders>
              <w:top w:val="single" w:color="CCCCCC" w:sz="4"/>
              <w:left w:val="single" w:color="CCCCCC" w:sz="4"/>
              <w:bottom w:val="single" w:color="CCCCCC" w:sz="4"/>
              <w:right w:val="single" w:color="CCCCCC" w:sz="4"/>
            </w:tcBorders>
            <w:shd w:fill="F2F6FA" w:val="clear"/>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Medicine Intelligence</w:t>
            </w:r>
          </w:p>
        </w:tc>
        <w:tc>
          <w:tcPr>
            <w:tcW w:type="dxa" w:w="2500"/>
            <w:tcBorders>
              <w:top w:val="single" w:color="CCCCCC" w:sz="4"/>
              <w:left w:val="single" w:color="CCCCCC" w:sz="4"/>
              <w:bottom w:val="single" w:color="CCCCCC" w:sz="4"/>
              <w:right w:val="single" w:color="CCCCCC" w:sz="4"/>
            </w:tcBorders>
            <w:shd w:fill="F2F6FA" w:val="clear"/>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XGBoost + optimisation heuristic</w:t>
            </w:r>
          </w:p>
        </w:tc>
        <w:tc>
          <w:tcPr>
            <w:tcW w:type="dxa" w:w="2500"/>
            <w:tcBorders>
              <w:top w:val="single" w:color="CCCCCC" w:sz="4"/>
              <w:left w:val="single" w:color="CCCCCC" w:sz="4"/>
              <w:bottom w:val="single" w:color="CCCCCC" w:sz="4"/>
              <w:right w:val="single" w:color="CCCCCC" w:sz="4"/>
            </w:tcBorders>
            <w:shd w:fill="F2F6FA" w:val="clear"/>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Demand forecast, expiry risk, transfers</w:t>
            </w:r>
          </w:p>
        </w:tc>
      </w:tr>
      <w:tr>
        <w:trPr>
          <w:cantSplit/>
        </w:trP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Energy Optimization</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Gradient-boosted regressor</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Load forecast, HVAC setpoints, renewable shift</w:t>
            </w:r>
          </w:p>
        </w:tc>
      </w:tr>
      <w:tr>
        <w:trPr>
          <w:cantSplit/>
        </w:trPr>
        <w:tc>
          <w:tcPr>
            <w:tcW w:type="dxa" w:w="2500"/>
            <w:tcBorders>
              <w:top w:val="single" w:color="CCCCCC" w:sz="4"/>
              <w:left w:val="single" w:color="CCCCCC" w:sz="4"/>
              <w:bottom w:val="single" w:color="CCCCCC" w:sz="4"/>
              <w:right w:val="single" w:color="CCCCCC" w:sz="4"/>
            </w:tcBorders>
            <w:shd w:fill="F2F6FA" w:val="clear"/>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Water Conservation</w:t>
            </w:r>
          </w:p>
        </w:tc>
        <w:tc>
          <w:tcPr>
            <w:tcW w:type="dxa" w:w="2500"/>
            <w:tcBorders>
              <w:top w:val="single" w:color="CCCCCC" w:sz="4"/>
              <w:left w:val="single" w:color="CCCCCC" w:sz="4"/>
              <w:bottom w:val="single" w:color="CCCCCC" w:sz="4"/>
              <w:right w:val="single" w:color="CCCCCC" w:sz="4"/>
            </w:tcBorders>
            <w:shd w:fill="F2F6FA" w:val="clear"/>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IsolationForest anomaly detection</w:t>
            </w:r>
          </w:p>
        </w:tc>
        <w:tc>
          <w:tcPr>
            <w:tcW w:type="dxa" w:w="2500"/>
            <w:tcBorders>
              <w:top w:val="single" w:color="CCCCCC" w:sz="4"/>
              <w:left w:val="single" w:color="CCCCCC" w:sz="4"/>
              <w:bottom w:val="single" w:color="CCCCCC" w:sz="4"/>
              <w:right w:val="single" w:color="CCCCCC" w:sz="4"/>
            </w:tcBorders>
            <w:shd w:fill="F2F6FA" w:val="clear"/>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Leak detection, usage forecast, harvesting</w:t>
            </w:r>
          </w:p>
        </w:tc>
      </w:tr>
      <w:tr>
        <w:trPr>
          <w:cantSplit/>
        </w:trP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Biomedical Waste</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Rules + CPCB knowledge base (RAG)</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Category classification, pickup scheduling</w:t>
            </w:r>
          </w:p>
        </w:tc>
      </w:tr>
      <w:tr>
        <w:trPr>
          <w:cantSplit/>
        </w:trPr>
        <w:tc>
          <w:tcPr>
            <w:tcW w:type="dxa" w:w="2500"/>
            <w:tcBorders>
              <w:top w:val="single" w:color="CCCCCC" w:sz="4"/>
              <w:left w:val="single" w:color="CCCCCC" w:sz="4"/>
              <w:bottom w:val="single" w:color="CCCCCC" w:sz="4"/>
              <w:right w:val="single" w:color="CCCCCC" w:sz="4"/>
            </w:tcBorders>
            <w:shd w:fill="F2F6FA" w:val="clear"/>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Carbon Intelligence</w:t>
            </w:r>
          </w:p>
        </w:tc>
        <w:tc>
          <w:tcPr>
            <w:tcW w:type="dxa" w:w="2500"/>
            <w:tcBorders>
              <w:top w:val="single" w:color="CCCCCC" w:sz="4"/>
              <w:left w:val="single" w:color="CCCCCC" w:sz="4"/>
              <w:bottom w:val="single" w:color="CCCCCC" w:sz="4"/>
              <w:right w:val="single" w:color="CCCCCC" w:sz="4"/>
            </w:tcBorders>
            <w:shd w:fill="F2F6FA" w:val="clear"/>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Emission-factor engine</w:t>
            </w:r>
          </w:p>
        </w:tc>
        <w:tc>
          <w:tcPr>
            <w:tcW w:type="dxa" w:w="2500"/>
            <w:tcBorders>
              <w:top w:val="single" w:color="CCCCCC" w:sz="4"/>
              <w:left w:val="single" w:color="CCCCCC" w:sz="4"/>
              <w:bottom w:val="single" w:color="CCCCCC" w:sz="4"/>
              <w:right w:val="single" w:color="CCCCCC" w:sz="4"/>
            </w:tcBorders>
            <w:shd w:fill="F2F6FA" w:val="clear"/>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Emission accounting, sustainability score</w:t>
            </w:r>
          </w:p>
        </w:tc>
      </w:tr>
      <w:tr>
        <w:trPr>
          <w:cantSplit/>
        </w:trP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Ambulance Dispatch</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Haversine + OSRM road routing</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Nearest-suitable-hospital routing, priority queue</w:t>
            </w:r>
          </w:p>
        </w:tc>
      </w:tr>
      <w:tr>
        <w:trPr>
          <w:cantSplit/>
        </w:trPr>
        <w:tc>
          <w:tcPr>
            <w:tcW w:type="dxa" w:w="2500"/>
            <w:tcBorders>
              <w:top w:val="single" w:color="CCCCCC" w:sz="4"/>
              <w:left w:val="single" w:color="CCCCCC" w:sz="4"/>
              <w:bottom w:val="single" w:color="CCCCCC" w:sz="4"/>
              <w:right w:val="single" w:color="CCCCCC" w:sz="4"/>
            </w:tcBorders>
            <w:shd w:fill="F2F6FA" w:val="clear"/>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Executive Decision</w:t>
            </w:r>
          </w:p>
        </w:tc>
        <w:tc>
          <w:tcPr>
            <w:tcW w:type="dxa" w:w="2500"/>
            <w:tcBorders>
              <w:top w:val="single" w:color="CCCCCC" w:sz="4"/>
              <w:left w:val="single" w:color="CCCCCC" w:sz="4"/>
              <w:bottom w:val="single" w:color="CCCCCC" w:sz="4"/>
              <w:right w:val="single" w:color="CCCCCC" w:sz="4"/>
            </w:tcBorders>
            <w:shd w:fill="F2F6FA" w:val="clear"/>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Gemini + CrewAI executive crew</w:t>
            </w:r>
          </w:p>
        </w:tc>
        <w:tc>
          <w:tcPr>
            <w:tcW w:type="dxa" w:w="2500"/>
            <w:tcBorders>
              <w:top w:val="single" w:color="CCCCCC" w:sz="4"/>
              <w:left w:val="single" w:color="CCCCCC" w:sz="4"/>
              <w:bottom w:val="single" w:color="CCCCCC" w:sz="4"/>
              <w:right w:val="single" w:color="CCCCCC" w:sz="4"/>
            </w:tcBorders>
            <w:shd w:fill="F2F6FA" w:val="clear"/>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Synthesises all agents into one action plan</w:t>
            </w:r>
          </w:p>
        </w:tc>
      </w:tr>
    </w:tbl>
    <w:p>
      <w:pPr>
        <w:pStyle w:val="Heading1"/>
        <w:spacing w:after="120" w:before="260"/>
      </w:pPr>
      <w:r>
        <w:rPr>
          <w:rFonts w:ascii="Calibri" w:cs="Calibri" w:eastAsia="Calibri" w:hAnsi="Calibri"/>
          <w:b/>
          <w:bCs/>
          <w:color w:val="1F3A5F"/>
          <w:sz w:val="26"/>
          <w:szCs w:val="26"/>
        </w:rPr>
        <w:t xml:space="preserve">3. Innovation and Technical Differentiation</w:t>
      </w:r>
    </w:p>
    <w:p>
      <w:pPr>
        <w:pStyle w:val="ListParagraph"/>
        <w:numPr>
          <w:ilvl w:val="0"/>
          <w:numId w:val="2"/>
        </w:numPr>
        <w:spacing w:after="80" w:line="270"/>
      </w:pPr>
      <w:r>
        <w:rPr>
          <w:rFonts w:ascii="Calibri" w:cs="Calibri" w:eastAsia="Calibri" w:hAnsi="Calibri"/>
          <w:color w:val="1A1A1A"/>
          <w:sz w:val="21"/>
          <w:szCs w:val="21"/>
        </w:rPr>
        <w:t xml:space="preserve">Guardrails in the contract, not the prompt. Clinical and safety limits (a red-flag vital sign always forces the most urgent ESI level; HVAC setpoints in an OT or ICU can never leave the clinically safe 20-24°C band regardless of what the model proposes; a cold-chain medicine transfer requires every link in the chain to be capable, or it is blocked outright) are enforced in code around each agent, independent of whether the underlying model or the deterministic fallback produced the candidate decision. This is verified directly: automated tests exercise both paths and prove the guardrail holds either way.</w:t>
      </w:r>
    </w:p>
    <w:p>
      <w:pPr>
        <w:pStyle w:val="ListParagraph"/>
        <w:numPr>
          <w:ilvl w:val="0"/>
          <w:numId w:val="2"/>
        </w:numPr>
        <w:spacing w:after="80" w:line="270"/>
      </w:pPr>
      <w:r>
        <w:rPr>
          <w:rFonts w:ascii="Calibri" w:cs="Calibri" w:eastAsia="Calibri" w:hAnsi="Calibri"/>
          <w:color w:val="1A1A1A"/>
          <w:sz w:val="21"/>
          <w:szCs w:val="21"/>
        </w:rPr>
        <w:t xml:space="preserve">A real multi-agent graph, not a single prompt. The ten agents are orchestrated with LangGraph as a directed acyclic graph with explicit conditional routing per trigger type, and their outputs are synthesised by a CrewAI executive crew — not one large prompt asked to role-play ten specialists.</w:t>
      </w:r>
    </w:p>
    <w:p>
      <w:pPr>
        <w:pStyle w:val="ListParagraph"/>
        <w:numPr>
          <w:ilvl w:val="0"/>
          <w:numId w:val="2"/>
        </w:numPr>
        <w:spacing w:after="80" w:line="270"/>
      </w:pPr>
      <w:r>
        <w:rPr>
          <w:rFonts w:ascii="Calibri" w:cs="Calibri" w:eastAsia="Calibri" w:hAnsi="Calibri"/>
          <w:color w:val="1A1A1A"/>
          <w:sz w:val="21"/>
          <w:szCs w:val="21"/>
        </w:rPr>
        <w:t xml:space="preserve">Trained models where they earn their keep. Patient Triage (ESI classification) and Disease Forecast (admissions) run on XGBoost models trained on generated hospital-realistic data, not zero-shot LLM guesses, with the LLM layer adding rationale and synthesis on top.</w:t>
      </w:r>
    </w:p>
    <w:p>
      <w:pPr>
        <w:pStyle w:val="ListParagraph"/>
        <w:numPr>
          <w:ilvl w:val="0"/>
          <w:numId w:val="2"/>
        </w:numPr>
        <w:spacing w:after="80" w:line="270"/>
      </w:pPr>
      <w:r>
        <w:rPr>
          <w:rFonts w:ascii="Calibri" w:cs="Calibri" w:eastAsia="Calibri" w:hAnsi="Calibri"/>
          <w:color w:val="1A1A1A"/>
          <w:sz w:val="21"/>
          <w:szCs w:val="21"/>
        </w:rPr>
        <w:t xml:space="preserve">Grounded compliance, not hallucinated compliance. The Biomedical Waste agent classifies waste categories against a retrieval-augmented knowledge base built from CPCB (Central Pollution Control Board) category definitions, and explicitly falls through to manual review when there is insufficient grounding evidence rather than guessing.</w:t>
      </w:r>
    </w:p>
    <w:p>
      <w:pPr>
        <w:pStyle w:val="ListParagraph"/>
        <w:numPr>
          <w:ilvl w:val="0"/>
          <w:numId w:val="2"/>
        </w:numPr>
        <w:spacing w:after="80" w:line="270"/>
      </w:pPr>
      <w:r>
        <w:rPr>
          <w:rFonts w:ascii="Calibri" w:cs="Calibri" w:eastAsia="Calibri" w:hAnsi="Calibri"/>
          <w:color w:val="1A1A1A"/>
          <w:sz w:val="21"/>
          <w:szCs w:val="21"/>
        </w:rPr>
        <w:t xml:space="preserve">Clinical efficiency and sustainability share one control plane. Every operational decision is scored for its carbon, energy, water and waste consequence, so a hospital's sustainability rating and its clinical throughput are visible from the same dashboard rather than two disconnected reporting systems.</w:t>
      </w:r>
    </w:p>
    <w:p>
      <w:pPr>
        <w:pStyle w:val="Heading1"/>
        <w:spacing w:after="120" w:before="260"/>
      </w:pPr>
      <w:r>
        <w:rPr>
          <w:rFonts w:ascii="Calibri" w:cs="Calibri" w:eastAsia="Calibri" w:hAnsi="Calibri"/>
          <w:b/>
          <w:bCs/>
          <w:color w:val="1F3A5F"/>
          <w:sz w:val="26"/>
          <w:szCs w:val="26"/>
        </w:rPr>
        <w:t xml:space="preserve">4. SDG Alignment</w:t>
      </w:r>
    </w:p>
    <w:p>
      <w:pPr>
        <w:spacing w:after="140" w:line="280"/>
      </w:pPr>
      <w:r>
        <w:rPr>
          <w:rFonts w:ascii="Calibri" w:cs="Calibri" w:eastAsia="Calibri" w:hAnsi="Calibri"/>
          <w:i w:val="false"/>
          <w:iCs w:val="false"/>
          <w:color w:val="1A1A1A"/>
          <w:sz w:val="21"/>
          <w:szCs w:val="21"/>
        </w:rPr>
        <w:t xml:space="preserve">The platform's design maps directly onto six UN Sustainable Development Goals, with SDG 3 as the primary target and the remaining five addressed as direct consequences of the same agent network rather than as an added-on compliance layer: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6600"/>
      </w:tblGrid>
      <w:tr>
        <w:trPr>
          <w:cantSplit/>
          <w:tblHeader/>
        </w:trPr>
        <w:tc>
          <w:tcPr>
            <w:tcW w:type="dxa" w:w="2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SDG</w:t>
            </w:r>
          </w:p>
        </w:tc>
        <w:tc>
          <w:tcPr>
            <w:tcW w:type="dxa" w:w="2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Goal</w:t>
            </w:r>
          </w:p>
        </w:tc>
        <w:tc>
          <w:tcPr>
            <w:tcW w:type="dxa" w:w="2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Contribution</w:t>
            </w:r>
          </w:p>
        </w:tc>
      </w:tr>
      <w:tr>
        <w:trPr>
          <w:cantSplit/>
        </w:trP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3</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Good Health &amp; Well-Being</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AI triage, ICU demand forecasting, ambulance routing, outbreak early-warning</w:t>
            </w:r>
          </w:p>
        </w:tc>
      </w:tr>
      <w:tr>
        <w:trPr>
          <w:cantSplit/>
        </w:trPr>
        <w:tc>
          <w:tcPr>
            <w:tcW w:type="dxa" w:w="2500"/>
            <w:tcBorders>
              <w:top w:val="single" w:color="CCCCCC" w:sz="4"/>
              <w:left w:val="single" w:color="CCCCCC" w:sz="4"/>
              <w:bottom w:val="single" w:color="CCCCCC" w:sz="4"/>
              <w:right w:val="single" w:color="CCCCCC" w:sz="4"/>
            </w:tcBorders>
            <w:shd w:fill="F2F6FA" w:val="clear"/>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7</w:t>
            </w:r>
          </w:p>
        </w:tc>
        <w:tc>
          <w:tcPr>
            <w:tcW w:type="dxa" w:w="2500"/>
            <w:tcBorders>
              <w:top w:val="single" w:color="CCCCCC" w:sz="4"/>
              <w:left w:val="single" w:color="CCCCCC" w:sz="4"/>
              <w:bottom w:val="single" w:color="CCCCCC" w:sz="4"/>
              <w:right w:val="single" w:color="CCCCCC" w:sz="4"/>
            </w:tcBorders>
            <w:shd w:fill="F2F6FA" w:val="clear"/>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Affordable &amp; Clean Energy</w:t>
            </w:r>
          </w:p>
        </w:tc>
        <w:tc>
          <w:tcPr>
            <w:tcW w:type="dxa" w:w="2500"/>
            <w:tcBorders>
              <w:top w:val="single" w:color="CCCCCC" w:sz="4"/>
              <w:left w:val="single" w:color="CCCCCC" w:sz="4"/>
              <w:bottom w:val="single" w:color="CCCCCC" w:sz="4"/>
              <w:right w:val="single" w:color="CCCCCC" w:sz="4"/>
            </w:tcBorders>
            <w:shd w:fill="F2F6FA" w:val="clear"/>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Load forecasting, HVAC optimisation, renewable-shift recommendations</w:t>
            </w:r>
          </w:p>
        </w:tc>
      </w:tr>
      <w:tr>
        <w:trPr>
          <w:cantSplit/>
        </w:trP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9</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Industry, Innovation &amp; Infrastructure</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Agentic AI applied to critical public infrastructure</w:t>
            </w:r>
          </w:p>
        </w:tc>
      </w:tr>
      <w:tr>
        <w:trPr>
          <w:cantSplit/>
        </w:trPr>
        <w:tc>
          <w:tcPr>
            <w:tcW w:type="dxa" w:w="2500"/>
            <w:tcBorders>
              <w:top w:val="single" w:color="CCCCCC" w:sz="4"/>
              <w:left w:val="single" w:color="CCCCCC" w:sz="4"/>
              <w:bottom w:val="single" w:color="CCCCCC" w:sz="4"/>
              <w:right w:val="single" w:color="CCCCCC" w:sz="4"/>
            </w:tcBorders>
            <w:shd w:fill="F2F6FA" w:val="clear"/>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11</w:t>
            </w:r>
          </w:p>
        </w:tc>
        <w:tc>
          <w:tcPr>
            <w:tcW w:type="dxa" w:w="2500"/>
            <w:tcBorders>
              <w:top w:val="single" w:color="CCCCCC" w:sz="4"/>
              <w:left w:val="single" w:color="CCCCCC" w:sz="4"/>
              <w:bottom w:val="single" w:color="CCCCCC" w:sz="4"/>
              <w:right w:val="single" w:color="CCCCCC" w:sz="4"/>
            </w:tcBorders>
            <w:shd w:fill="F2F6FA" w:val="clear"/>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Sustainable Cities &amp; Communities</w:t>
            </w:r>
          </w:p>
        </w:tc>
        <w:tc>
          <w:tcPr>
            <w:tcW w:type="dxa" w:w="2500"/>
            <w:tcBorders>
              <w:top w:val="single" w:color="CCCCCC" w:sz="4"/>
              <w:left w:val="single" w:color="CCCCCC" w:sz="4"/>
              <w:bottom w:val="single" w:color="CCCCCC" w:sz="4"/>
              <w:right w:val="single" w:color="CCCCCC" w:sz="4"/>
            </w:tcBorders>
            <w:shd w:fill="F2F6FA" w:val="clear"/>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Hospital-network digital twin, city-scale emergency routing</w:t>
            </w:r>
          </w:p>
        </w:tc>
      </w:tr>
      <w:tr>
        <w:trPr>
          <w:cantSplit/>
        </w:trP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12</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Responsible Consumption &amp; Production</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Medicine expiry prevention, inter-hospital redistribution, waste segregation</w:t>
            </w:r>
          </w:p>
        </w:tc>
      </w:tr>
      <w:tr>
        <w:trPr>
          <w:cantSplit/>
        </w:trPr>
        <w:tc>
          <w:tcPr>
            <w:tcW w:type="dxa" w:w="2500"/>
            <w:tcBorders>
              <w:top w:val="single" w:color="CCCCCC" w:sz="4"/>
              <w:left w:val="single" w:color="CCCCCC" w:sz="4"/>
              <w:bottom w:val="single" w:color="CCCCCC" w:sz="4"/>
              <w:right w:val="single" w:color="CCCCCC" w:sz="4"/>
            </w:tcBorders>
            <w:shd w:fill="F2F6FA" w:val="clear"/>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13</w:t>
            </w:r>
          </w:p>
        </w:tc>
        <w:tc>
          <w:tcPr>
            <w:tcW w:type="dxa" w:w="2500"/>
            <w:tcBorders>
              <w:top w:val="single" w:color="CCCCCC" w:sz="4"/>
              <w:left w:val="single" w:color="CCCCCC" w:sz="4"/>
              <w:bottom w:val="single" w:color="CCCCCC" w:sz="4"/>
              <w:right w:val="single" w:color="CCCCCC" w:sz="4"/>
            </w:tcBorders>
            <w:shd w:fill="F2F6FA" w:val="clear"/>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Climate Action</w:t>
            </w:r>
          </w:p>
        </w:tc>
        <w:tc>
          <w:tcPr>
            <w:tcW w:type="dxa" w:w="2500"/>
            <w:tcBorders>
              <w:top w:val="single" w:color="CCCCCC" w:sz="4"/>
              <w:left w:val="single" w:color="CCCCCC" w:sz="4"/>
              <w:bottom w:val="single" w:color="CCCCCC" w:sz="4"/>
              <w:right w:val="single" w:color="CCCCCC" w:sz="4"/>
            </w:tcBorders>
            <w:shd w:fill="F2F6FA" w:val="clear"/>
            <w:tcMar>
              <w:top w:type="dxa" w:w="100"/>
              <w:left w:type="dxa" w:w="140"/>
              <w:bottom w:type="dxa" w:w="100"/>
              <w:right w:type="dxa" w:w="140"/>
            </w:tcMar>
            <w:vAlign w:val="center"/>
          </w:tcPr>
          <w:p>
            <w:r>
              <w:rPr>
                <w:rFonts w:ascii="Calibri" w:cs="Calibri" w:eastAsia="Calibri" w:hAnsi="Calibri"/>
                <w:b w:val="false"/>
                <w:bCs w:val="false"/>
                <w:color w:val="1A1A1A"/>
                <w:sz w:val="19"/>
                <w:szCs w:val="19"/>
              </w:rPr>
              <w:t xml:space="preserve">Scope 1/2/3 carbon accounting and reduction planning</w:t>
            </w:r>
          </w:p>
        </w:tc>
      </w:tr>
    </w:tbl>
    <w:p>
      <w:pPr>
        <w:pStyle w:val="Heading1"/>
        <w:spacing w:after="120" w:before="260"/>
      </w:pPr>
      <w:r>
        <w:rPr>
          <w:rFonts w:ascii="Calibri" w:cs="Calibri" w:eastAsia="Calibri" w:hAnsi="Calibri"/>
          <w:b/>
          <w:bCs/>
          <w:color w:val="1F3A5F"/>
          <w:sz w:val="26"/>
          <w:szCs w:val="26"/>
        </w:rPr>
        <w:t xml:space="preserve">5. Feasibility</w:t>
      </w:r>
    </w:p>
    <w:p>
      <w:pPr>
        <w:spacing w:after="140" w:line="280"/>
      </w:pPr>
      <w:r>
        <w:rPr>
          <w:rFonts w:ascii="Calibri" w:cs="Calibri" w:eastAsia="Calibri" w:hAnsi="Calibri"/>
          <w:i w:val="false"/>
          <w:iCs w:val="false"/>
          <w:color w:val="1A1A1A"/>
          <w:sz w:val="21"/>
          <w:szCs w:val="21"/>
        </w:rPr>
        <w:t xml:space="preserve">This is not a concept-stage proposal — the platform described above is built and independently verified. The backend (FastAPI, Python 3.11, MongoDB Atlas via Motor, Celery/Redis for scheduling) and frontend (React 18 + Vite, Tailwind, Recharts, Leaflet) are complete, containerised (Docker Compose for local/self-hosted, Render + Vercel for cloud deployment), and covered by an automated test suite: 188 backend tests and 21 frontend tests, all passing against an in-memory MongoDB with no external services required, plus a stdlib post-deploy smoke test for live environments.</w:t>
      </w:r>
    </w:p>
    <w:p>
      <w:pPr>
        <w:spacing w:after="140" w:line="280"/>
      </w:pPr>
      <w:r>
        <w:rPr>
          <w:rFonts w:ascii="Calibri" w:cs="Calibri" w:eastAsia="Calibri" w:hAnsi="Calibri"/>
          <w:i w:val="false"/>
          <w:iCs w:val="false"/>
          <w:color w:val="1A1A1A"/>
          <w:sz w:val="21"/>
          <w:szCs w:val="21"/>
        </w:rPr>
        <w:t xml:space="preserve">Verification was not a formality: it surfaced and fixed four genuine defects during this build alone (a LangGraph state-filtering bug that silently dropped sustainability data before agents could see it; a self-referential outbreak-detection baseline that could never fire on the exact spike it existed to catch; a biomedical-waste keyword fallback that matched on incidental prose rather than defining vocabulary; and a broken filter expression in the Executive crew's stockout logic), each documented with its regression test in the project's phase verification reports. The system's honesty about its own gaps — an API specification that documents only what actually ships, with a dedicated section listing what was descoped and why — is a deliberate project discipline, not an oversight.</w:t>
      </w:r>
    </w:p>
    <w:p>
      <w:pPr>
        <w:spacing w:after="140" w:line="280"/>
      </w:pPr>
      <w:r>
        <w:rPr>
          <w:rFonts w:ascii="Calibri" w:cs="Calibri" w:eastAsia="Calibri" w:hAnsi="Calibri"/>
          <w:i w:val="false"/>
          <w:iCs w:val="false"/>
          <w:color w:val="1A1A1A"/>
          <w:sz w:val="21"/>
          <w:szCs w:val="21"/>
        </w:rPr>
        <w:t xml:space="preserve">Remaining work to reach a pilot deployment is integration, not invention: connecting to a hospital's live HMS/EHR data feed in place of the simulator, and a controlled shadow-mode rollout (agent recommendations shown alongside, not in place of, existing clinician workflow) before any autonomous action is enabled.</w:t>
      </w:r>
    </w:p>
    <w:p>
      <w:pPr>
        <w:pStyle w:val="Heading1"/>
        <w:spacing w:after="120" w:before="260"/>
      </w:pPr>
      <w:r>
        <w:rPr>
          <w:rFonts w:ascii="Calibri" w:cs="Calibri" w:eastAsia="Calibri" w:hAnsi="Calibri"/>
          <w:b/>
          <w:bCs/>
          <w:color w:val="1F3A5F"/>
          <w:sz w:val="26"/>
          <w:szCs w:val="26"/>
        </w:rPr>
        <w:t xml:space="preserve">6. Expected Impact</w:t>
      </w:r>
    </w:p>
    <w:p>
      <w:pPr>
        <w:pStyle w:val="ListParagraph"/>
        <w:numPr>
          <w:ilvl w:val="0"/>
          <w:numId w:val="2"/>
        </w:numPr>
        <w:spacing w:after="80" w:line="270"/>
      </w:pPr>
      <w:r>
        <w:rPr>
          <w:rFonts w:ascii="Calibri" w:cs="Calibri" w:eastAsia="Calibri" w:hAnsi="Calibri"/>
          <w:color w:val="1A1A1A"/>
          <w:sz w:val="21"/>
          <w:szCs w:val="21"/>
        </w:rPr>
        <w:t xml:space="preserve">Clinical: faster, more consistent triage and bed allocation under pressure, with a fully auditable rationale for every decision — supporting both patient safety and accreditation review.</w:t>
      </w:r>
    </w:p>
    <w:p>
      <w:pPr>
        <w:pStyle w:val="ListParagraph"/>
        <w:numPr>
          <w:ilvl w:val="0"/>
          <w:numId w:val="2"/>
        </w:numPr>
        <w:spacing w:after="80" w:line="270"/>
      </w:pPr>
      <w:r>
        <w:rPr>
          <w:rFonts w:ascii="Calibri" w:cs="Calibri" w:eastAsia="Calibri" w:hAnsi="Calibri"/>
          <w:color w:val="1A1A1A"/>
          <w:sz w:val="21"/>
          <w:szCs w:val="21"/>
        </w:rPr>
        <w:t xml:space="preserve">Environmental: continuous, decision-linked visibility into energy, water, waste and carbon, replacing after-the-fact monthly reporting with a live sustainability score hospitals can act on the same day.</w:t>
      </w:r>
    </w:p>
    <w:p>
      <w:pPr>
        <w:pStyle w:val="ListParagraph"/>
        <w:numPr>
          <w:ilvl w:val="0"/>
          <w:numId w:val="2"/>
        </w:numPr>
        <w:spacing w:after="80" w:line="270"/>
      </w:pPr>
      <w:r>
        <w:rPr>
          <w:rFonts w:ascii="Calibri" w:cs="Calibri" w:eastAsia="Calibri" w:hAnsi="Calibri"/>
          <w:color w:val="1A1A1A"/>
          <w:sz w:val="21"/>
          <w:szCs w:val="21"/>
        </w:rPr>
        <w:t xml:space="preserve">Operational: a single executive action plan per cycle instead of ten disconnected agent outputs, reducing the coordination burden on hospital administrators.</w:t>
      </w:r>
    </w:p>
    <w:p>
      <w:pPr>
        <w:pStyle w:val="ListParagraph"/>
        <w:numPr>
          <w:ilvl w:val="0"/>
          <w:numId w:val="2"/>
        </w:numPr>
        <w:spacing w:after="80" w:line="270"/>
      </w:pPr>
      <w:r>
        <w:rPr>
          <w:rFonts w:ascii="Calibri" w:cs="Calibri" w:eastAsia="Calibri" w:hAnsi="Calibri"/>
          <w:color w:val="1A1A1A"/>
          <w:sz w:val="21"/>
          <w:szCs w:val="21"/>
        </w:rPr>
        <w:t xml:space="preserve">Systemic: a reusable pattern — deterministic-fallback-first, guardrails in code, grounded retrieval for compliance-sensitive decisions — for applying agentic AI safely to other critical public infrastructure, consistent with SDG 9.</w:t>
      </w:r>
    </w:p>
    <w:sectPr>
      <w:pgSz w:w="12240" w:h="15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2026-07-22T22:55:49.176Z</dcterms:created>
  <dcterms:modified xsi:type="dcterms:W3CDTF">2026-07-22T22:55:49.177Z</dcterms:modified>
</cp:coreProperties>
</file>

<file path=docProps/custom.xml><?xml version="1.0" encoding="utf-8"?>
<Properties xmlns="http://schemas.openxmlformats.org/officeDocument/2006/custom-properties" xmlns:vt="http://schemas.openxmlformats.org/officeDocument/2006/docPropsVTypes"/>
</file>