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60"/>
        <w:jc w:val="center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HealMatrix AI - Lean Canvas</w:t>
      </w:r>
    </w:p>
    <w:p>
      <w:pPr>
        <w:spacing w:after="100" w:line="200"/>
        <w:jc w:val="center"/>
      </w:pP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Multi-Agent Sustainable Healthcare Intelligence Platform . Empowering Sustainable Hospitals Through Collaborative Agentic AI</w:t>
      </w: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  <w:gridCol w:w="3008"/>
        <w:gridCol w:w="3008"/>
      </w:tblGrid>
      <w:tr>
        <w:trPr>
          <w:trHeight w:val="2750"/>
        </w:trPr>
        <w:tc>
          <w:tcPr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EE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40" w:lin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4"/>
                <w:szCs w:val="14"/>
              </w:rPr>
              <w:t xml:space="preserve">1 . PROBLEM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Manual triage &amp; bed allocation under pressure risks under-triage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Energy/water/waste tracked monthly at best, no real-time view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HMS software digitises records but doesn't reason or act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40" w:lin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4"/>
                <w:szCs w:val="14"/>
              </w:rPr>
              <w:t xml:space="preserve">4 . SOLUTION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Real-time AI triage + bed allocation with clinical guardrails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10-agent LangGraph network: energy, water, waste, medicine, dispatch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CrewAI executive synthesis: one ranked action plan per cycle</w:t>
            </w:r>
          </w:p>
        </w:tc>
        <w:tc>
          <w:tcPr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7E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40" w:lin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4"/>
                <w:szCs w:val="14"/>
              </w:rPr>
              <w:t xml:space="preserve">3 . UNIQUE VALUE PROPOSITION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The only platform where AI agents make clinical and sustainability decisions together, and show their work.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Every decision: a confidence score, a rationale, a deterministic fallback.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FEAF7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40" w:lin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4"/>
                <w:szCs w:val="14"/>
              </w:rPr>
              <w:t xml:space="preserve">5 . UNFAIR ADVANTAGE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Clinical guardrails hard-coded into the agent contract, not a prompt wrapper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Trained ML + CPCB-grounded RAG: depth a generic AI vendor won't replicate fast</w:t>
            </w:r>
          </w:p>
        </w:tc>
        <w:tc>
          <w:tcPr>
            <w:vMerge w:val="restart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9F7E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40" w:lin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4"/>
                <w:szCs w:val="14"/>
              </w:rPr>
              <w:t xml:space="preserve">2 . CUSTOMER SEGMENTS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Mid-large tertiary &amp; multi-specialty hospitals, hospital networks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Sustainability officers pursuing NABH/JCI green accreditation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State/public health departments piloting smart-hospitals</w:t>
            </w:r>
          </w:p>
        </w:tc>
      </w:tr>
      <w:tr>
        <w:trPr>
          <w:trHeight w:val="2650"/>
        </w:trPr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EE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/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40" w:lin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4"/>
                <w:szCs w:val="14"/>
              </w:rPr>
              <w:t xml:space="preserve">8 . KEY METRICS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Triage/clinician concordance; time-to-bed-allocation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Sustainability score trend (kgCO2e/bed-day)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Agent fallback rate (system-health proxy)</w:t>
            </w:r>
          </w:p>
        </w:tc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7E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/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FEAF7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40" w:lin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4"/>
                <w:szCs w:val="14"/>
              </w:rPr>
              <w:t xml:space="preserve">9 . CHANNELS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Direct sales to hospital admins &amp; sustainability officers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HMS/EHR vendor integration partnerships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Health-tech conferences, NABH/JCI consultancy partners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Government smart-hospital / digital health tenders</w:t>
            </w:r>
          </w:p>
        </w:tc>
        <w:tc>
          <w:tcPr>
            <w:vMerge w:val="continue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9F7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/>
        </w:tc>
      </w:tr>
      <w:tr>
        <w:trPr>
          <w:trHeight w:val="2350"/>
        </w:trP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40" w:lin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4"/>
                <w:szCs w:val="14"/>
              </w:rPr>
              <w:t xml:space="preserve">7 . COST STRUCTURE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Cloud infra: ML inference, Gemini API, MongoDB Atlas, Redis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Agent/ML engineering &amp; maintenance; onboarding &amp; training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Compliance, security &amp; data-residency audits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9F7E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40" w:line="21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4"/>
                <w:szCs w:val="14"/>
              </w:rPr>
              <w:t xml:space="preserve">6 . REVENUE STREAMS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Per-bed/month SaaS, tiered: Core clinical / +Sustainability / +Executive AI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Implementation &amp; EHR/HMS integration services</w:t>
            </w:r>
          </w:p>
          <w:p>
            <w:pPr>
              <w:spacing w:after="30" w:line="20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-  ESG compliance reporting add-on for accreditation bodies</w:t>
            </w:r>
          </w:p>
        </w:tc>
      </w:tr>
    </w:tbl>
    <w:sectPr>
      <w:pgSz w:w="15840" w:h="12240" w:orient="landscape"/>
      <w:pgMar w:top="300" w:right="450" w:bottom="250" w:left="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2026-07-22T22:53:28.556Z</dcterms:created>
  <dcterms:modified xsi:type="dcterms:W3CDTF">2026-07-22T22:53:28.556Z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