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7585" w:rsidRDefault="00EB0B9B">
      <w:pPr>
        <w:spacing w:before="840"/>
        <w:jc w:val="center"/>
      </w:pPr>
      <w:r>
        <w:rPr>
          <w:b/>
          <w:color w:val="2E75B6"/>
          <w:sz w:val="24"/>
        </w:rPr>
        <w:t>DATA SCIENCE WITH PYTHON</w:t>
      </w:r>
    </w:p>
    <w:p w:rsidR="00DA7585" w:rsidRDefault="00EB0B9B">
      <w:pPr>
        <w:spacing w:before="440"/>
        <w:jc w:val="center"/>
      </w:pPr>
      <w:r>
        <w:rPr>
          <w:b/>
          <w:color w:val="16324F"/>
          <w:sz w:val="54"/>
        </w:rPr>
        <w:t>Unsupervised Learning and Clustering Analysis</w:t>
      </w:r>
    </w:p>
    <w:p w:rsidR="00DA7585" w:rsidRDefault="00EB0B9B">
      <w:pPr>
        <w:jc w:val="center"/>
      </w:pPr>
      <w:r>
        <w:rPr>
          <w:i/>
          <w:color w:val="666666"/>
          <w:sz w:val="26"/>
        </w:rPr>
        <w:t>Segmenting 52 jurisdiction mortality profiles with K-Means</w:t>
      </w:r>
    </w:p>
    <w:p w:rsidR="00DA7585" w:rsidRDefault="00EB0B9B">
      <w:pPr>
        <w:jc w:val="center"/>
      </w:pPr>
      <w:r>
        <w:rPr>
          <w:color w:val="2E75B6"/>
        </w:rPr>
        <w:t>━━━━━━━━━━━━━━━━━━━━━━━━━━━━━━━━━━━━━━━━━━━━━━━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:rsidR="00DA7585">
        <w:trPr>
          <w:jc w:val="center"/>
        </w:trPr>
        <w:tc>
          <w:tcPr>
            <w:tcW w:w="4997" w:type="dxa"/>
            <w:shd w:val="clear" w:color="auto" w:fill="16324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DA7585" w:rsidRDefault="00EB0B9B"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w="4997" w:type="dxa"/>
            <w:shd w:val="clear" w:color="auto" w:fill="F4F8F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DA7585" w:rsidRDefault="00EB0B9B">
            <w:r>
              <w:t>3</w:t>
            </w:r>
          </w:p>
        </w:tc>
      </w:tr>
      <w:tr w:rsidR="00DA7585">
        <w:trPr>
          <w:jc w:val="center"/>
        </w:trPr>
        <w:tc>
          <w:tcPr>
            <w:tcW w:w="4997" w:type="dxa"/>
            <w:shd w:val="clear" w:color="auto" w:fill="16324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DA7585" w:rsidRDefault="00EB0B9B"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4997" w:type="dxa"/>
            <w:shd w:val="clear" w:color="auto" w:fill="F4F8F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DA7585" w:rsidRDefault="007C7377">
            <w:r>
              <w:t>12</w:t>
            </w:r>
            <w:r w:rsidR="00EB0B9B">
              <w:t xml:space="preserve"> August 2026</w:t>
            </w:r>
          </w:p>
        </w:tc>
      </w:tr>
      <w:tr w:rsidR="00DA7585">
        <w:trPr>
          <w:jc w:val="center"/>
        </w:trPr>
        <w:tc>
          <w:tcPr>
            <w:tcW w:w="4997" w:type="dxa"/>
            <w:shd w:val="clear" w:color="auto" w:fill="16324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DA7585" w:rsidRDefault="00EB0B9B"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w="4997" w:type="dxa"/>
            <w:shd w:val="clear" w:color="auto" w:fill="F4F8F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DA7585" w:rsidRDefault="00EB0B9B">
            <w:r>
              <w:t>Provisional COVID-19 Deaths by Sex and Age</w:t>
            </w:r>
          </w:p>
        </w:tc>
      </w:tr>
    </w:tbl>
    <w:p w:rsidR="00DA7585" w:rsidRDefault="00DA758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21"/>
        <w:gridCol w:w="5021"/>
      </w:tblGrid>
      <w:tr w:rsidR="00BB0E18" w:rsidTr="00BB0E18">
        <w:trPr>
          <w:trHeight w:val="406"/>
          <w:jc w:val="center"/>
        </w:trPr>
        <w:tc>
          <w:tcPr>
            <w:tcW w:w="50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BB0E18" w:rsidRDefault="00BB0E18" w:rsidP="00BB0E18">
            <w:r>
              <w:rPr>
                <w:b/>
                <w:color w:val="16324F"/>
              </w:rPr>
              <w:t>Student name</w:t>
            </w:r>
          </w:p>
        </w:tc>
        <w:tc>
          <w:tcPr>
            <w:tcW w:w="50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BB0E18" w:rsidRDefault="00BB0E18" w:rsidP="00BB0E18">
            <w:r>
              <w:t xml:space="preserve"> Mandal Sahil Naushad</w:t>
            </w:r>
          </w:p>
        </w:tc>
      </w:tr>
      <w:tr w:rsidR="00BB0E18" w:rsidTr="00BB0E18">
        <w:trPr>
          <w:trHeight w:val="406"/>
          <w:jc w:val="center"/>
        </w:trPr>
        <w:tc>
          <w:tcPr>
            <w:tcW w:w="50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BB0E18" w:rsidRDefault="00BB0E18" w:rsidP="00BB0E18">
            <w:r>
              <w:rPr>
                <w:b/>
                <w:color w:val="16324F"/>
              </w:rPr>
              <w:t>Institution</w:t>
            </w:r>
          </w:p>
        </w:tc>
        <w:tc>
          <w:tcPr>
            <w:tcW w:w="502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BB0E18" w:rsidRDefault="00BB0E18" w:rsidP="00BB0E18">
            <w:r>
              <w:t xml:space="preserve"> YuvaIntern</w:t>
            </w:r>
          </w:p>
        </w:tc>
      </w:tr>
    </w:tbl>
    <w:p w:rsidR="00DA7585" w:rsidRDefault="00EB0B9B">
      <w:pPr>
        <w:spacing w:before="360"/>
        <w:jc w:val="center"/>
      </w:pPr>
      <w:r>
        <w:rPr>
          <w:i/>
          <w:color w:val="666666"/>
          <w:sz w:val="18"/>
        </w:rPr>
        <w:t>Public-use aggregate mortality data • Reproducible Python workflow</w:t>
      </w:r>
    </w:p>
    <w:p w:rsidR="00DA7585" w:rsidRDefault="00EB0B9B">
      <w:r>
        <w:br w:type="page"/>
      </w:r>
      <w:bookmarkStart w:id="0" w:name="_GoBack"/>
      <w:bookmarkEnd w:id="0"/>
    </w:p>
    <w:p w:rsidR="00DA7585" w:rsidRDefault="00EB0B9B">
      <w:pPr>
        <w:pStyle w:val="Heading1"/>
      </w:pPr>
      <w:r>
        <w:lastRenderedPageBreak/>
        <w:t>Report map</w:t>
      </w:r>
    </w:p>
    <w:p w:rsidR="00DA7585" w:rsidRDefault="00EB0B9B">
      <w:r>
        <w:t>The document follows the required submission structure. Major sections are separated visually and use Word heading styles for navigation.</w:t>
      </w:r>
    </w:p>
    <w:p w:rsidR="00DA7585" w:rsidRDefault="00EB0B9B">
      <w:pPr>
        <w:pStyle w:val="ListBullet"/>
      </w:pPr>
      <w:r>
        <w:t>1. Title Page</w:t>
      </w:r>
    </w:p>
    <w:p w:rsidR="00DA7585" w:rsidRDefault="00EB0B9B">
      <w:pPr>
        <w:pStyle w:val="ListBullet"/>
      </w:pPr>
      <w:r>
        <w:t>2. Introduction</w:t>
      </w:r>
    </w:p>
    <w:p w:rsidR="00DA7585" w:rsidRDefault="00EB0B9B">
      <w:pPr>
        <w:pStyle w:val="ListBullet"/>
      </w:pPr>
      <w:r>
        <w:t>3. Dataset Overview</w:t>
      </w:r>
    </w:p>
    <w:p w:rsidR="00DA7585" w:rsidRDefault="00EB0B9B">
      <w:pPr>
        <w:pStyle w:val="ListBullet"/>
      </w:pPr>
      <w:r>
        <w:t>4. Methodology</w:t>
      </w:r>
    </w:p>
    <w:p w:rsidR="00DA7585" w:rsidRDefault="00EB0B9B">
      <w:pPr>
        <w:pStyle w:val="ListBullet"/>
      </w:pPr>
      <w:r>
        <w:t>5. Python Code Sections</w:t>
      </w:r>
    </w:p>
    <w:p w:rsidR="00DA7585" w:rsidRDefault="00EB0B9B">
      <w:pPr>
        <w:pStyle w:val="ListBullet"/>
      </w:pPr>
      <w:r>
        <w:t>6. Results and Findings</w:t>
      </w:r>
    </w:p>
    <w:p w:rsidR="00DA7585" w:rsidRDefault="00EB0B9B">
      <w:pPr>
        <w:pStyle w:val="ListBullet"/>
      </w:pPr>
      <w:r>
        <w:t>7. Visualizations (described in text)</w:t>
      </w:r>
    </w:p>
    <w:p w:rsidR="00DA7585" w:rsidRDefault="00EB0B9B">
      <w:pPr>
        <w:pStyle w:val="ListBullet"/>
      </w:pPr>
      <w:r>
        <w:t>8. Challenges and How They Were Handled</w:t>
      </w:r>
    </w:p>
    <w:p w:rsidR="00DA7585" w:rsidRDefault="00EB0B9B">
      <w:pPr>
        <w:pStyle w:val="ListBullet"/>
      </w:pPr>
      <w:r>
        <w:t>9. Discussion</w:t>
      </w:r>
    </w:p>
    <w:p w:rsidR="00DA7585" w:rsidRDefault="00EB0B9B">
      <w:pPr>
        <w:pStyle w:val="ListBullet"/>
      </w:pPr>
      <w:r>
        <w:t>10. Conclusion</w:t>
      </w:r>
    </w:p>
    <w:p w:rsidR="00DA7585" w:rsidRDefault="00EB0B9B">
      <w:pPr>
        <w:pStyle w:val="ListBullet"/>
      </w:pPr>
      <w:r>
        <w:t>11. References</w:t>
      </w:r>
    </w:p>
    <w:p w:rsidR="00DA7585" w:rsidRDefault="00EB0B9B">
      <w:r>
        <w:br w:type="page"/>
      </w:r>
    </w:p>
    <w:p w:rsidR="00DA7585" w:rsidRDefault="00EB0B9B">
      <w:pPr>
        <w:pStyle w:val="Heading1"/>
        <w:pBdr>
          <w:bottom w:val="single" w:sz="8" w:space="4" w:color="8FB6D1"/>
        </w:pBdr>
      </w:pPr>
      <w:r>
        <w:lastRenderedPageBreak/>
        <w:t>2. Introduction</w:t>
      </w:r>
    </w:p>
    <w:p w:rsidR="00DA7585" w:rsidRDefault="00EB0B9B" w:rsidP="00C940C9">
      <w:pPr>
        <w:jc w:val="both"/>
      </w:pPr>
      <w:r>
        <w:t>This report groups U.S. states, the District of Columbia, and Puerto Rico according to how COVID-19 mortality is distributed across all deaths, pneumonia overlap, influenza, older age, sex, and pandemic year. The aim is descriptive segmentation: identify jurisdictions with similar profiles even when their raw population and death counts differ.</w:t>
      </w:r>
    </w:p>
    <w:p w:rsidR="00DA7585" w:rsidRDefault="00EB0B9B" w:rsidP="00C940C9">
      <w:pPr>
        <w:jc w:val="both"/>
      </w:pPr>
      <w:r>
        <w:t>The cleaned CDC dataset is suitable because it supplies the same cumulative and yearly measures for every jurisdiction. Week 2 showed that raw counts are heavily affected by jurisdiction size, so the clustering question is framed around seven percentages. The practical question is whether a small number of recurring mortality profiles can guide targeted comparison, monitoring, and hypothesis generation.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A7585">
        <w:trPr>
          <w:jc w:val="center"/>
        </w:trPr>
        <w:tc>
          <w:tcPr>
            <w:tcW w:w="9994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A7585" w:rsidRDefault="00EB0B9B" w:rsidP="00E37839">
            <w:pPr>
              <w:jc w:val="both"/>
            </w:pPr>
            <w:r>
              <w:rPr>
                <w:b/>
                <w:color w:val="16324F"/>
              </w:rPr>
              <w:t xml:space="preserve">Interpretation boundary.  </w:t>
            </w:r>
            <w:r>
              <w:t>The selected four-cluster solution has a silhouette score of 0.222, which is modest. The clusters are useful descriptive neighborhoods, not natural laws or causal categories.</w:t>
            </w:r>
          </w:p>
        </w:tc>
      </w:tr>
    </w:tbl>
    <w:p w:rsidR="00DA7585" w:rsidRDefault="00DA7585">
      <w:pPr>
        <w:spacing w:after="0"/>
      </w:pPr>
    </w:p>
    <w:p w:rsidR="00DA7585" w:rsidRDefault="00EB0B9B">
      <w:pPr>
        <w:pStyle w:val="Heading1"/>
        <w:pBdr>
          <w:bottom w:val="single" w:sz="8" w:space="4" w:color="8FB6D1"/>
        </w:pBdr>
      </w:pPr>
      <w:r>
        <w:t>3. Dataset Overview</w:t>
      </w:r>
    </w:p>
    <w:p w:rsidR="00DA7585" w:rsidRDefault="00EB0B9B" w:rsidP="00E37839">
      <w:pPr>
        <w:jc w:val="both"/>
      </w:pPr>
      <w:r>
        <w:t>The source file contains 137,700 rows and 16 raw columns; analysis starts from the 25-column Week 1 clean artifact. I excluded the national total and New York City. The United States is an aggregate, while New York City overlaps New York; keeping either in the jurisdiction matrix would distort distance and independence. The final modeling unit is 52 jurisdictions.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DA7585">
        <w:trPr>
          <w:jc w:val="center"/>
        </w:trPr>
        <w:tc>
          <w:tcPr>
            <w:tcW w:w="3331" w:type="dxa"/>
            <w:shd w:val="clear" w:color="auto" w:fill="16324F"/>
            <w:vAlign w:val="center"/>
          </w:tcPr>
          <w:p w:rsidR="00DA7585" w:rsidRDefault="00EB0B9B"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w="3331" w:type="dxa"/>
            <w:shd w:val="clear" w:color="auto" w:fill="16324F"/>
            <w:vAlign w:val="center"/>
          </w:tcPr>
          <w:p w:rsidR="00DA7585" w:rsidRDefault="00EB0B9B">
            <w:r>
              <w:rPr>
                <w:b/>
                <w:color w:val="FFFFFF"/>
                <w:sz w:val="17"/>
              </w:rPr>
              <w:t>Definition</w:t>
            </w:r>
          </w:p>
        </w:tc>
        <w:tc>
          <w:tcPr>
            <w:tcW w:w="3331" w:type="dxa"/>
            <w:shd w:val="clear" w:color="auto" w:fill="16324F"/>
            <w:vAlign w:val="center"/>
          </w:tcPr>
          <w:p w:rsidR="00DA7585" w:rsidRDefault="00EB0B9B">
            <w:r>
              <w:rPr>
                <w:b/>
                <w:color w:val="FFFFFF"/>
                <w:sz w:val="17"/>
              </w:rPr>
              <w:t>Why included</w:t>
            </w:r>
          </w:p>
        </w:tc>
      </w:tr>
      <w:tr w:rsidR="00DA7585">
        <w:trPr>
          <w:jc w:val="center"/>
        </w:trPr>
        <w:tc>
          <w:tcPr>
            <w:tcW w:w="333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COVID % of all deaths</w:t>
            </w:r>
          </w:p>
        </w:tc>
        <w:tc>
          <w:tcPr>
            <w:tcW w:w="333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100 × COVID-19 / total deaths</w:t>
            </w:r>
          </w:p>
        </w:tc>
        <w:tc>
          <w:tcPr>
            <w:tcW w:w="333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Overall COVID composition without raw size.</w:t>
            </w:r>
          </w:p>
        </w:tc>
      </w:tr>
      <w:tr w:rsidR="00DA7585">
        <w:trPr>
          <w:jc w:val="center"/>
        </w:trPr>
        <w:tc>
          <w:tcPr>
            <w:tcW w:w="3331" w:type="dxa"/>
            <w:shd w:val="clear" w:color="auto" w:fill="F4F7F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Pneumonia % of all deaths</w:t>
            </w:r>
          </w:p>
        </w:tc>
        <w:tc>
          <w:tcPr>
            <w:tcW w:w="3331" w:type="dxa"/>
            <w:shd w:val="clear" w:color="auto" w:fill="F4F7F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100 × pneumonia / total deaths</w:t>
            </w:r>
          </w:p>
        </w:tc>
        <w:tc>
          <w:tcPr>
            <w:tcW w:w="3331" w:type="dxa"/>
            <w:shd w:val="clear" w:color="auto" w:fill="F4F7F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Respiratory mortality context.</w:t>
            </w:r>
          </w:p>
        </w:tc>
      </w:tr>
      <w:tr w:rsidR="00DA7585">
        <w:trPr>
          <w:jc w:val="center"/>
        </w:trPr>
        <w:tc>
          <w:tcPr>
            <w:tcW w:w="333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COVID with pneumonia %</w:t>
            </w:r>
          </w:p>
        </w:tc>
        <w:tc>
          <w:tcPr>
            <w:tcW w:w="333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100 × pneumonia+COVID / COVID</w:t>
            </w:r>
          </w:p>
        </w:tc>
        <w:tc>
          <w:tcPr>
            <w:tcW w:w="333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Clinical/coding overlap profile.</w:t>
            </w:r>
          </w:p>
        </w:tc>
      </w:tr>
      <w:tr w:rsidR="00DA7585">
        <w:trPr>
          <w:jc w:val="center"/>
        </w:trPr>
        <w:tc>
          <w:tcPr>
            <w:tcW w:w="3331" w:type="dxa"/>
            <w:shd w:val="clear" w:color="auto" w:fill="F4F7F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Influenza % of all deaths</w:t>
            </w:r>
          </w:p>
        </w:tc>
        <w:tc>
          <w:tcPr>
            <w:tcW w:w="3331" w:type="dxa"/>
            <w:shd w:val="clear" w:color="auto" w:fill="F4F7F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100 × influenza / total deaths</w:t>
            </w:r>
          </w:p>
        </w:tc>
        <w:tc>
          <w:tcPr>
            <w:tcW w:w="3331" w:type="dxa"/>
            <w:shd w:val="clear" w:color="auto" w:fill="F4F7F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Separates non-COVID respiratory burden.</w:t>
            </w:r>
          </w:p>
        </w:tc>
      </w:tr>
      <w:tr w:rsidR="00DA7585">
        <w:trPr>
          <w:jc w:val="center"/>
        </w:trPr>
        <w:tc>
          <w:tcPr>
            <w:tcW w:w="333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Age 65+ COVID %</w:t>
            </w:r>
          </w:p>
        </w:tc>
        <w:tc>
          <w:tcPr>
            <w:tcW w:w="333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65–74 + 75–84 + 85+ COVID / all-age COVID</w:t>
            </w:r>
          </w:p>
        </w:tc>
        <w:tc>
          <w:tcPr>
            <w:tcW w:w="333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Age concentration.</w:t>
            </w:r>
          </w:p>
        </w:tc>
      </w:tr>
      <w:tr w:rsidR="00DA7585">
        <w:trPr>
          <w:jc w:val="center"/>
        </w:trPr>
        <w:tc>
          <w:tcPr>
            <w:tcW w:w="3331" w:type="dxa"/>
            <w:shd w:val="clear" w:color="auto" w:fill="F4F7F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Male COVID %</w:t>
            </w:r>
          </w:p>
        </w:tc>
        <w:tc>
          <w:tcPr>
            <w:tcW w:w="3331" w:type="dxa"/>
            <w:shd w:val="clear" w:color="auto" w:fill="F4F7F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Male / (Male + Female) COVID</w:t>
            </w:r>
          </w:p>
        </w:tc>
        <w:tc>
          <w:tcPr>
            <w:tcW w:w="3331" w:type="dxa"/>
            <w:shd w:val="clear" w:color="auto" w:fill="F4F7F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Sex composition.</w:t>
            </w:r>
          </w:p>
        </w:tc>
      </w:tr>
      <w:tr w:rsidR="00DA7585">
        <w:trPr>
          <w:jc w:val="center"/>
        </w:trPr>
        <w:tc>
          <w:tcPr>
            <w:tcW w:w="333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2021 % of 2020–22 COVID</w:t>
            </w:r>
          </w:p>
        </w:tc>
        <w:tc>
          <w:tcPr>
            <w:tcW w:w="333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2021 / sum of 2020, 2021, 2022</w:t>
            </w:r>
          </w:p>
        </w:tc>
        <w:tc>
          <w:tcPr>
            <w:tcW w:w="333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Wave timing without partial 2023.</w:t>
            </w:r>
          </w:p>
        </w:tc>
      </w:tr>
    </w:tbl>
    <w:p w:rsidR="00DA7585" w:rsidRDefault="00EB0B9B">
      <w:pPr>
        <w:pStyle w:val="CaptionCustom"/>
        <w:jc w:val="center"/>
        <w:rPr>
          <w:rFonts w:hint="eastAsia"/>
        </w:rPr>
      </w:pPr>
      <w:r>
        <w:t>Table 1. Seven scale-free features used for clustering.</w:t>
      </w:r>
    </w:p>
    <w:p w:rsidR="00DA7585" w:rsidRDefault="00EB0B9B">
      <w:r>
        <w:t>The cumulative fields used for features are observed for all 52 units, so no suppressed model feature required imputation. Raw features use different percentage ranges and variances; StandardScaler centers each at zero and scales to unit variance before Euclidean distance is calculated.</w:t>
      </w:r>
    </w:p>
    <w:p w:rsidR="00EE162B" w:rsidRDefault="00EE162B"/>
    <w:p w:rsidR="00EE162B" w:rsidRDefault="00EE162B"/>
    <w:p w:rsidR="00EE162B" w:rsidRDefault="00EE162B"/>
    <w:p w:rsidR="00DA7585" w:rsidRDefault="00EB0B9B">
      <w:pPr>
        <w:pStyle w:val="Heading1"/>
        <w:pBdr>
          <w:bottom w:val="single" w:sz="8" w:space="4" w:color="8FB6D1"/>
        </w:pBdr>
      </w:pPr>
      <w:r>
        <w:lastRenderedPageBreak/>
        <w:t>4. Methodology</w:t>
      </w:r>
    </w:p>
    <w:p w:rsidR="00DA7585" w:rsidRDefault="00EB0B9B">
      <w:r>
        <w:t>The workflow follows the required order: select an appropriate unit, preprocess to improve clustering, apply and tune K-Means, visualize the solution, and translate cluster profiles into practical meaning.</w:t>
      </w:r>
    </w:p>
    <w:p w:rsidR="00DA7585" w:rsidRDefault="00EB0B9B" w:rsidP="00E37839">
      <w:pPr>
        <w:pStyle w:val="Heading2"/>
        <w:jc w:val="both"/>
      </w:pPr>
      <w:r>
        <w:t>Step 1 — Define an independent analytical unit</w:t>
      </w:r>
    </w:p>
    <w:p w:rsidR="00DA7585" w:rsidRDefault="00EB0B9B" w:rsidP="00E37839">
      <w:pPr>
        <w:jc w:val="both"/>
      </w:pPr>
      <w:r>
        <w:t>Each row of the feature matrix represents one non-overlapping jurisdiction. Excluding the national total prevents a single aggregate from sitting far from every state, and excluding New York City prevents one region from being represented twice.</w:t>
      </w:r>
    </w:p>
    <w:p w:rsidR="00DA7585" w:rsidRDefault="00EB0B9B" w:rsidP="00E37839">
      <w:pPr>
        <w:pStyle w:val="Heading2"/>
        <w:jc w:val="both"/>
      </w:pPr>
      <w:r>
        <w:t>Step 2 — Engineer interpretable percentage features</w:t>
      </w:r>
    </w:p>
    <w:p w:rsidR="00DA7585" w:rsidRDefault="00EB0B9B" w:rsidP="00E37839">
      <w:pPr>
        <w:jc w:val="both"/>
      </w:pPr>
      <w:r>
        <w:t>I avoided raw counts because they would mostly separate California and Texas from smaller states. Each feature answers a distinct composition or timing question. The age numerator uses exactly three mutually exclusive older bands, and the year-timing feature stops at 2022 because 2023 is incomplete.</w:t>
      </w:r>
    </w:p>
    <w:p w:rsidR="00DA7585" w:rsidRDefault="00EB0B9B" w:rsidP="00E37839">
      <w:pPr>
        <w:pStyle w:val="Heading2"/>
        <w:jc w:val="both"/>
      </w:pPr>
      <w:r>
        <w:t>Step 3 — Check completeness, correlation, and scale</w:t>
      </w:r>
    </w:p>
    <w:p w:rsidR="00DA7585" w:rsidRDefault="00EB0B9B" w:rsidP="00E37839">
      <w:pPr>
        <w:jc w:val="both"/>
      </w:pPr>
      <w:r>
        <w:t>All 364 feature cells are observed. The seven variables are standardized because a one-percentage-point difference has different meaning across low-variance influenza share and higher-variance pneumonia overlap. Standardization gives each feature an opportunity to influence distance while retaining its direction.</w:t>
      </w:r>
    </w:p>
    <w:p w:rsidR="00DA7585" w:rsidRDefault="00EB0B9B" w:rsidP="00E37839">
      <w:pPr>
        <w:pStyle w:val="Heading2"/>
        <w:jc w:val="both"/>
      </w:pPr>
      <w:r>
        <w:t>Step 4 — Compare candidate cluster counts</w:t>
      </w:r>
    </w:p>
    <w:p w:rsidR="00DA7585" w:rsidRDefault="00EB0B9B" w:rsidP="00E37839">
      <w:pPr>
        <w:jc w:val="both"/>
      </w:pPr>
      <w:r>
        <w:t>K-Means was run for k=2 through k=8 with 50 random initializations per candidate and random_state=42. I examined inertia for compactness and silhouette for separation. Silhouette reaches its highest value at k=4 (0.222); k=7 is close at 0.220 but creates more, smaller groups with less stable practical interpretation. Four clusters are therefore selected.</w:t>
      </w:r>
    </w:p>
    <w:p w:rsidR="00DA7585" w:rsidRDefault="00EB0B9B" w:rsidP="00E37839">
      <w:pPr>
        <w:pStyle w:val="Heading2"/>
        <w:jc w:val="both"/>
      </w:pPr>
      <w:r>
        <w:t>Step 5 — Fit the final model and visualize structure</w:t>
      </w:r>
    </w:p>
    <w:p w:rsidR="00DA7585" w:rsidRDefault="00EB0B9B" w:rsidP="00E37839">
      <w:pPr>
        <w:jc w:val="both"/>
      </w:pPr>
      <w:r>
        <w:t>The final four-cluster K-Means uses 100 starts to reduce sensitivity to poor centroid initialization. PCA projects the standardized seven-dimensional matrix to two dimensions for display; the first two components retain 62.19% of variance. A Ward-linkage dendrogram provides a second view of similarity without changing the K-Means assignments.</w:t>
      </w:r>
    </w:p>
    <w:p w:rsidR="00DA7585" w:rsidRDefault="00EB0B9B" w:rsidP="00E37839">
      <w:pPr>
        <w:pStyle w:val="Heading2"/>
        <w:jc w:val="both"/>
      </w:pPr>
      <w:r>
        <w:t>Step 6 — Name clusters from centroid profiles</w:t>
      </w:r>
    </w:p>
    <w:p w:rsidR="00DA7585" w:rsidRDefault="00EB0B9B" w:rsidP="00E37839">
      <w:pPr>
        <w:jc w:val="both"/>
      </w:pPr>
      <w:r>
        <w:t>Labels are based on cluster means relative to the full 52-jurisdiction mean, not on geography alone. I report membership and exact centroid values, then give plain-language names. These names summarize observed profiles and should not be used to rank policy performance.</w:t>
      </w:r>
    </w:p>
    <w:p w:rsidR="00EE162B" w:rsidRDefault="00EE162B" w:rsidP="00E37839">
      <w:pPr>
        <w:jc w:val="both"/>
      </w:pPr>
    </w:p>
    <w:p w:rsidR="00EE162B" w:rsidRDefault="00EE162B" w:rsidP="00E37839">
      <w:pPr>
        <w:jc w:val="both"/>
      </w:pPr>
    </w:p>
    <w:p w:rsidR="00EE162B" w:rsidRDefault="00EE162B" w:rsidP="00E37839">
      <w:pPr>
        <w:jc w:val="both"/>
      </w:pPr>
    </w:p>
    <w:p w:rsidR="00EE162B" w:rsidRDefault="00EE162B" w:rsidP="00E37839">
      <w:pPr>
        <w:jc w:val="both"/>
      </w:pPr>
    </w:p>
    <w:p w:rsidR="00EE162B" w:rsidRDefault="00EE162B" w:rsidP="00E37839">
      <w:pPr>
        <w:jc w:val="both"/>
      </w:pPr>
    </w:p>
    <w:p w:rsidR="00EE162B" w:rsidRDefault="00EE162B" w:rsidP="00E37839">
      <w:pPr>
        <w:jc w:val="both"/>
      </w:pPr>
    </w:p>
    <w:p w:rsidR="00DA7585" w:rsidRDefault="00EB0B9B">
      <w:pPr>
        <w:pStyle w:val="Heading1"/>
        <w:pBdr>
          <w:bottom w:val="single" w:sz="8" w:space="4" w:color="8FB6D1"/>
        </w:pBdr>
      </w:pPr>
      <w:r>
        <w:lastRenderedPageBreak/>
        <w:t>5. Python Code Sections</w:t>
      </w:r>
    </w:p>
    <w:p w:rsidR="00DA7585" w:rsidRDefault="00EB0B9B">
      <w:pPr>
        <w:pStyle w:val="Heading3"/>
      </w:pPr>
      <w:r>
        <w:t>Code 1 — Imports and clean data load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A7585">
        <w:trPr>
          <w:jc w:val="center"/>
        </w:trPr>
        <w:tc>
          <w:tcPr>
            <w:tcW w:w="9994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A7585" w:rsidRDefault="00EB0B9B">
            <w:pPr>
              <w:pStyle w:val="CodeBlock"/>
            </w:pPr>
            <w:r>
              <w:t>```python</w:t>
            </w:r>
            <w:r>
              <w:br/>
              <w:t>from pathlib import Path</w:t>
            </w:r>
            <w:r>
              <w:br/>
            </w:r>
            <w:r>
              <w:br/>
              <w:t>import matplotlib.pyplot as plt</w:t>
            </w:r>
            <w:r>
              <w:br/>
              <w:t>import numpy as np</w:t>
            </w:r>
            <w:r>
              <w:br/>
              <w:t>import pandas as pd</w:t>
            </w:r>
            <w:r>
              <w:br/>
              <w:t>import seaborn as sns</w:t>
            </w:r>
            <w:r>
              <w:br/>
              <w:t>from scipy.cluster.hierarchy import dendrogram, linkage</w:t>
            </w:r>
            <w:r>
              <w:br/>
              <w:t>from sklearn.cluster import KMeans</w:t>
            </w:r>
            <w:r>
              <w:br/>
              <w:t>from sklearn.decomposition import PCA</w:t>
            </w:r>
            <w:r>
              <w:br/>
              <w:t>from sklearn.metrics import silhouette_score</w:t>
            </w:r>
            <w:r>
              <w:br/>
              <w:t>from sklearn.preprocessing import StandardScaler</w:t>
            </w:r>
            <w:r>
              <w:br/>
            </w:r>
            <w:r>
              <w:br/>
              <w:t>df = pd.read_csv("cleaned_covid_deaths.csv",</w:t>
            </w:r>
            <w:r>
              <w:br/>
              <w:t xml:space="preserve">                 parse_dates=["data_as_of", "start_date", "end_date"])</w:t>
            </w:r>
            <w:r>
              <w:br/>
              <w:t>jurisdictions = sorted(set(df["state"]) - {"United States", "New York City"})</w:t>
            </w:r>
            <w:r>
              <w:br/>
              <w:t>```</w:t>
            </w:r>
          </w:p>
        </w:tc>
      </w:tr>
    </w:tbl>
    <w:p w:rsidR="00DA7585" w:rsidRDefault="00EB0B9B">
      <w:r>
        <w:rPr>
          <w:b/>
          <w:color w:val="2F6B4F"/>
        </w:rPr>
        <w:t>Code explanation and output interpretation</w:t>
      </w:r>
    </w:p>
    <w:p w:rsidR="00DA7585" w:rsidRDefault="00EB0B9B">
      <w:pPr>
        <w:pStyle w:val="ListBullet"/>
        <w:ind w:left="403" w:hanging="230"/>
      </w:pPr>
      <w:r>
        <w:t>The code continues from the Week 1 artifact and uses the actual clean field names.</w:t>
      </w:r>
    </w:p>
    <w:p w:rsidR="00DA7585" w:rsidRDefault="00EB0B9B">
      <w:pPr>
        <w:pStyle w:val="ListBullet"/>
        <w:ind w:left="403" w:hanging="230"/>
      </w:pPr>
      <w:r>
        <w:t>Removing United States and New York City leaves 52 non-overlapping modeling units: 50 states, DC, and Puerto Rico.</w:t>
      </w:r>
    </w:p>
    <w:p w:rsidR="00DA7585" w:rsidRDefault="00EB0B9B">
      <w:pPr>
        <w:pStyle w:val="ListBullet"/>
        <w:ind w:left="403" w:hanging="230"/>
      </w:pPr>
      <w:r>
        <w:t>All subsequent joins use jurisdiction name as the index, making row alignment explicit.</w:t>
      </w:r>
    </w:p>
    <w:p w:rsidR="00DA7585" w:rsidRDefault="00EB0B9B">
      <w:pPr>
        <w:pStyle w:val="Heading3"/>
      </w:pPr>
      <w:r>
        <w:t>Code 2 — Construct the seven-feature jurisdiction matrix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A7585">
        <w:trPr>
          <w:jc w:val="center"/>
        </w:trPr>
        <w:tc>
          <w:tcPr>
            <w:tcW w:w="9994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A7585" w:rsidRDefault="00EB0B9B">
            <w:pPr>
              <w:pStyle w:val="CodeBlock"/>
            </w:pPr>
            <w:r>
              <w:t>```python</w:t>
            </w:r>
            <w:r>
              <w:br/>
              <w:t>base = df.query(</w:t>
            </w:r>
            <w:r>
              <w:br/>
              <w:t xml:space="preserve">    "group == 'By Total' and sex == 'All Sexes' and age_group == 'All Ages'"</w:t>
            </w:r>
            <w:r>
              <w:br/>
              <w:t>).loc[lambda x: x["state"].isin(jurisdictions)].set_index("state")</w:t>
            </w:r>
            <w:r>
              <w:br/>
            </w:r>
            <w:r>
              <w:br/>
              <w:t>features = pd.DataFrame(index=jurisdictions)</w:t>
            </w:r>
            <w:r>
              <w:br/>
              <w:t>features["covid_pct_all_deaths"] = 100 * base["covid_deaths"] / base["total_deaths"]</w:t>
            </w:r>
            <w:r>
              <w:br/>
              <w:t>features["pneumonia_pct_all_deaths"] = 100 * base["pneumonia_deaths"] / base["total_deaths"]</w:t>
            </w:r>
            <w:r>
              <w:br/>
              <w:t>features["covid_with_pneumonia_pct"] = 100 * base["pneumonia_covid_deaths"] / base["covid_deaths"]</w:t>
            </w:r>
            <w:r>
              <w:br/>
              <w:t>features["influenza_pct_all_deaths"] = 100 * base["influenza_deaths"] / base["total_deaths"]</w:t>
            </w:r>
            <w:r>
              <w:br/>
            </w:r>
            <w:r>
              <w:br/>
              <w:t>age65 = df.query(</w:t>
            </w:r>
            <w:r>
              <w:br/>
              <w:t xml:space="preserve">    "group == 'By Total' and sex == 'All Sexes' "</w:t>
            </w:r>
            <w:r>
              <w:br/>
              <w:t xml:space="preserve">    "and age_group in ['65-74 years', '75-84 years', '85 years and over']"</w:t>
            </w:r>
            <w:r>
              <w:br/>
              <w:t>).loc[lambda x: x["state"].isin(jurisdictions)].groupby("state")["covid_deaths"].sum()</w:t>
            </w:r>
            <w:r>
              <w:br/>
              <w:t>features["age_65plus_covid_pct"] = 100 * age65 / base["covid_deaths"]</w:t>
            </w:r>
            <w:r>
              <w:br/>
              <w:t>```</w:t>
            </w:r>
          </w:p>
        </w:tc>
      </w:tr>
    </w:tbl>
    <w:p w:rsidR="00DA7585" w:rsidRDefault="00EB0B9B">
      <w:r>
        <w:rPr>
          <w:b/>
          <w:color w:val="2F6B4F"/>
        </w:rPr>
        <w:t>Code explanation and output interpretation</w:t>
      </w:r>
    </w:p>
    <w:p w:rsidR="00DA7585" w:rsidRDefault="00EB0B9B">
      <w:pPr>
        <w:pStyle w:val="ListBullet"/>
        <w:ind w:left="403" w:hanging="230"/>
      </w:pPr>
      <w:r>
        <w:t>The first four features are cumulative burden/overlap percentages, and the fifth measures older-age concentration.</w:t>
      </w:r>
    </w:p>
    <w:p w:rsidR="00DA7585" w:rsidRDefault="00EB0B9B">
      <w:pPr>
        <w:pStyle w:val="ListBullet"/>
        <w:ind w:left="403" w:hanging="230"/>
      </w:pPr>
      <w:r>
        <w:t>All divisions use like-for-like cumulative records at one sex and age grain.</w:t>
      </w:r>
    </w:p>
    <w:p w:rsidR="00DA7585" w:rsidRDefault="00EB0B9B">
      <w:pPr>
        <w:pStyle w:val="ListBullet"/>
        <w:ind w:left="403" w:hanging="230"/>
      </w:pPr>
      <w:r>
        <w:t>Using shares prevents high-population states from dominating solely because their counts are larger.</w:t>
      </w:r>
    </w:p>
    <w:p w:rsidR="00DA7585" w:rsidRDefault="00EB0B9B">
      <w:pPr>
        <w:pStyle w:val="Heading3"/>
      </w:pPr>
      <w:r>
        <w:t>Code 3 — Add sex and wave-timing composition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A7585">
        <w:trPr>
          <w:jc w:val="center"/>
        </w:trPr>
        <w:tc>
          <w:tcPr>
            <w:tcW w:w="9994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A7585" w:rsidRDefault="00EB0B9B">
            <w:pPr>
              <w:pStyle w:val="CodeBlock"/>
            </w:pPr>
            <w:r>
              <w:t>```python</w:t>
            </w:r>
            <w:r>
              <w:br/>
              <w:t>sex = df.query(</w:t>
            </w:r>
            <w:r>
              <w:br/>
              <w:t xml:space="preserve">    "group == 'By Total' and age_group == 'All Ages' and sex in ['Female', 'Male']"</w:t>
            </w:r>
            <w:r>
              <w:br/>
              <w:t>).loc[lambda x: x["state"].isin(jurisdictions)]</w:t>
            </w:r>
            <w:r>
              <w:br/>
              <w:t>sex = sex.pivot(index="state", columns="sex", values="covid_deaths")</w:t>
            </w:r>
            <w:r>
              <w:br/>
              <w:t>features["male_covid_pct"] = 100 * sex["Male"] / (sex["Male"] + sex["Female"])</w:t>
            </w:r>
            <w:r>
              <w:br/>
            </w:r>
            <w:r>
              <w:br/>
              <w:t>yearly = df.query(</w:t>
            </w:r>
            <w:r>
              <w:br/>
              <w:t xml:space="preserve">    "group == 'By Year' and sex == 'All Sexes' and age_group == 'All Ages' "</w:t>
            </w:r>
            <w:r>
              <w:br/>
              <w:t xml:space="preserve">    "and year in [2020, 2021, 2022]"</w:t>
            </w:r>
            <w:r>
              <w:br/>
              <w:t>).loc[lambda x: x["state"].isin(jurisdictions)]</w:t>
            </w:r>
            <w:r>
              <w:br/>
              <w:t>yearly = yearly.pivot(index="state", columns="year", values="covid_deaths")</w:t>
            </w:r>
            <w:r>
              <w:br/>
              <w:t>features["covid_2021_pct_2020_22"] = 100 * yearly[2021] / yearly.sum(axis=1)</w:t>
            </w:r>
            <w:r>
              <w:br/>
            </w:r>
            <w:r>
              <w:br/>
              <w:t>assert features.shape == (52, 7)</w:t>
            </w:r>
            <w:r>
              <w:br/>
            </w:r>
            <w:r>
              <w:lastRenderedPageBreak/>
              <w:t>assert features.notna().all().all()</w:t>
            </w:r>
            <w:r>
              <w:br/>
              <w:t>```</w:t>
            </w:r>
          </w:p>
        </w:tc>
      </w:tr>
    </w:tbl>
    <w:p w:rsidR="00DA7585" w:rsidRDefault="00EB0B9B">
      <w:r>
        <w:rPr>
          <w:b/>
          <w:color w:val="2F6B4F"/>
        </w:rPr>
        <w:lastRenderedPageBreak/>
        <w:t>Code explanation and output interpretation</w:t>
      </w:r>
    </w:p>
    <w:p w:rsidR="00DA7585" w:rsidRDefault="00EB0B9B">
      <w:pPr>
        <w:pStyle w:val="ListBullet"/>
        <w:ind w:left="403" w:hanging="230"/>
      </w:pPr>
      <w:r>
        <w:t>The sex feature measures composition rather than the male/female count ratio, keeping it on a bounded percentage scale.</w:t>
      </w:r>
    </w:p>
    <w:p w:rsidR="00DA7585" w:rsidRDefault="00EB0B9B">
      <w:pPr>
        <w:pStyle w:val="ListBullet"/>
        <w:ind w:left="403" w:hanging="230"/>
      </w:pPr>
      <w:r>
        <w:t>The wave feature excludes partial 2023 and records how concentrated 2020–22 burden was in 2021.</w:t>
      </w:r>
    </w:p>
    <w:p w:rsidR="00DA7585" w:rsidRDefault="00EB0B9B">
      <w:pPr>
        <w:pStyle w:val="ListBullet"/>
        <w:ind w:left="403" w:hanging="230"/>
      </w:pPr>
      <w:r>
        <w:t>The assertions confirm the intended 52 × 7 matrix with no imputed feature cells.</w:t>
      </w:r>
    </w:p>
    <w:p w:rsidR="00DA7585" w:rsidRDefault="00EB0B9B">
      <w:pPr>
        <w:pStyle w:val="Heading3"/>
      </w:pPr>
      <w:r>
        <w:t>Code 4 — Standardize and select k with silhouette plus inertia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A7585">
        <w:trPr>
          <w:jc w:val="center"/>
        </w:trPr>
        <w:tc>
          <w:tcPr>
            <w:tcW w:w="9994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A7585" w:rsidRDefault="00EB0B9B">
            <w:pPr>
              <w:pStyle w:val="CodeBlock"/>
            </w:pPr>
            <w:r>
              <w:t>```python</w:t>
            </w:r>
            <w:r>
              <w:br/>
              <w:t>X = StandardScaler().fit_transform(features)</w:t>
            </w:r>
            <w:r>
              <w:br/>
              <w:t>selection = []</w:t>
            </w:r>
            <w:r>
              <w:br/>
              <w:t>for k in range(2, 9):</w:t>
            </w:r>
            <w:r>
              <w:br/>
              <w:t xml:space="preserve">    model = KMeans(n_clusters=k, n_init=50, random_state=42)</w:t>
            </w:r>
            <w:r>
              <w:br/>
              <w:t xml:space="preserve">    labels = model.fit_predict(X)</w:t>
            </w:r>
            <w:r>
              <w:br/>
              <w:t xml:space="preserve">    selection.append({</w:t>
            </w:r>
            <w:r>
              <w:br/>
              <w:t xml:space="preserve">        "k": k,</w:t>
            </w:r>
            <w:r>
              <w:br/>
              <w:t xml:space="preserve">        "inertia": model.inertia_,</w:t>
            </w:r>
            <w:r>
              <w:br/>
              <w:t xml:space="preserve">        "silhouette": silhouette_score(X, labels),</w:t>
            </w:r>
            <w:r>
              <w:br/>
              <w:t xml:space="preserve">    })</w:t>
            </w:r>
            <w:r>
              <w:br/>
            </w:r>
            <w:r>
              <w:br/>
              <w:t>selection = pd.DataFrame(selection)</w:t>
            </w:r>
            <w:r>
              <w:br/>
              <w:t>best_k = int(selection.loc[selection["silhouette"].idxmax(), "k"])</w:t>
            </w:r>
            <w:r>
              <w:br/>
              <w:t>print(selection)</w:t>
            </w:r>
            <w:r>
              <w:br/>
              <w:t>print("Selected k:", best_k)</w:t>
            </w:r>
            <w:r>
              <w:br/>
              <w:t>```</w:t>
            </w:r>
          </w:p>
        </w:tc>
      </w:tr>
    </w:tbl>
    <w:p w:rsidR="00DA7585" w:rsidRDefault="00EB0B9B">
      <w:r>
        <w:rPr>
          <w:b/>
          <w:color w:val="2F6B4F"/>
        </w:rPr>
        <w:t>Code explanation and output interpretation</w:t>
      </w:r>
    </w:p>
    <w:p w:rsidR="00DA7585" w:rsidRDefault="00EB0B9B">
      <w:pPr>
        <w:pStyle w:val="ListBullet"/>
        <w:ind w:left="403" w:hanging="230"/>
      </w:pPr>
      <w:r>
        <w:t>Testing multiple k values avoids choosing the number of groups by appearance alone.</w:t>
      </w:r>
    </w:p>
    <w:p w:rsidR="00DA7585" w:rsidRDefault="00EB0B9B">
      <w:pPr>
        <w:pStyle w:val="ListBullet"/>
        <w:ind w:left="403" w:hanging="230"/>
      </w:pPr>
      <w:r>
        <w:t>Inertia falls as k increases by construction; silhouette adds a separation criterion that can peak.</w:t>
      </w:r>
    </w:p>
    <w:p w:rsidR="00DA7585" w:rsidRDefault="00EB0B9B">
      <w:pPr>
        <w:pStyle w:val="ListBullet"/>
        <w:ind w:left="403" w:hanging="230"/>
      </w:pPr>
      <w:r>
        <w:t>The maximum silhouette is 0.222 at k=4, compared with 0.220 at k=7, so the simpler four-cluster solution is preferred.</w:t>
      </w:r>
    </w:p>
    <w:p w:rsidR="00DA7585" w:rsidRDefault="00EB0B9B">
      <w:pPr>
        <w:pStyle w:val="Heading3"/>
      </w:pPr>
      <w:r>
        <w:t>Code 5 — Fit final K-Means, profile clusters, and project with PCA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A7585">
        <w:trPr>
          <w:jc w:val="center"/>
        </w:trPr>
        <w:tc>
          <w:tcPr>
            <w:tcW w:w="9994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A7585" w:rsidRDefault="00EB0B9B">
            <w:pPr>
              <w:pStyle w:val="CodeBlock"/>
            </w:pPr>
            <w:r>
              <w:t>```python</w:t>
            </w:r>
            <w:r>
              <w:br/>
              <w:t>kmeans = KMeans(n_clusters=4, n_init=100, random_state=42)</w:t>
            </w:r>
            <w:r>
              <w:br/>
              <w:t>features["cluster"] = kmeans.fit_predict(X)</w:t>
            </w:r>
            <w:r>
              <w:br/>
            </w:r>
            <w:r>
              <w:br/>
              <w:t># Stable report labels: order cluster IDs by mean COVID share.</w:t>
            </w:r>
            <w:r>
              <w:br/>
              <w:t>order = features.groupby("cluster")["covid_pct_all_deaths"].mean().sort_values().index</w:t>
            </w:r>
            <w:r>
              <w:br/>
              <w:t>remap = {old: new for new, old in enumerate(order)}</w:t>
            </w:r>
            <w:r>
              <w:br/>
              <w:t>features["cluster"] = features["cluster"].map(remap)</w:t>
            </w:r>
            <w:r>
              <w:br/>
            </w:r>
            <w:r>
              <w:br/>
              <w:t>profile = features.groupby("cluster").mean(numeric_only=True)</w:t>
            </w:r>
            <w:r>
              <w:br/>
              <w:t>pca = PCA(n_components=2)</w:t>
            </w:r>
            <w:r>
              <w:br/>
              <w:t>features[["pc1", "pc2"]] = pca.fit_transform(X)</w:t>
            </w:r>
            <w:r>
              <w:br/>
              <w:t>print(profile)</w:t>
            </w:r>
            <w:r>
              <w:br/>
              <w:t>print("PCA variance retained:", pca.explained_variance_ratio_.sum())</w:t>
            </w:r>
            <w:r>
              <w:br/>
              <w:t>```</w:t>
            </w:r>
          </w:p>
        </w:tc>
      </w:tr>
    </w:tbl>
    <w:p w:rsidR="00DA7585" w:rsidRDefault="00EB0B9B">
      <w:r>
        <w:rPr>
          <w:b/>
          <w:color w:val="2F6B4F"/>
        </w:rPr>
        <w:t>Code explanation and output interpretation</w:t>
      </w:r>
    </w:p>
    <w:p w:rsidR="00DA7585" w:rsidRDefault="00EB0B9B">
      <w:pPr>
        <w:pStyle w:val="ListBullet"/>
        <w:ind w:left="403" w:hanging="230"/>
      </w:pPr>
      <w:r>
        <w:t>Using 100 initializations reduces dependence on a single random centroid start.</w:t>
      </w:r>
    </w:p>
    <w:p w:rsidR="00DA7585" w:rsidRDefault="00EB0B9B">
      <w:pPr>
        <w:pStyle w:val="ListBullet"/>
        <w:ind w:left="403" w:hanging="230"/>
      </w:pPr>
      <w:r>
        <w:t>Cluster IDs are arbitrary, so remapping by mean COVID share makes the report order reproducible without changing membership.</w:t>
      </w:r>
    </w:p>
    <w:p w:rsidR="00DA7585" w:rsidRDefault="00EB0B9B">
      <w:pPr>
        <w:pStyle w:val="ListBullet"/>
        <w:ind w:left="403" w:hanging="230"/>
      </w:pPr>
      <w:r>
        <w:t>The first two principal components retain 62.19% of standardized feature variance; the projection is informative but not a complete representation.</w:t>
      </w:r>
    </w:p>
    <w:p w:rsidR="00EE162B" w:rsidRDefault="00EE162B" w:rsidP="00EE162B">
      <w:pPr>
        <w:pStyle w:val="ListBullet"/>
        <w:numPr>
          <w:ilvl w:val="0"/>
          <w:numId w:val="0"/>
        </w:numPr>
        <w:ind w:left="360" w:hanging="360"/>
      </w:pPr>
    </w:p>
    <w:p w:rsidR="00EE162B" w:rsidRDefault="00EE162B" w:rsidP="00EE162B">
      <w:pPr>
        <w:pStyle w:val="ListBullet"/>
        <w:numPr>
          <w:ilvl w:val="0"/>
          <w:numId w:val="0"/>
        </w:numPr>
        <w:ind w:left="360" w:hanging="360"/>
      </w:pPr>
    </w:p>
    <w:p w:rsidR="00EE162B" w:rsidRDefault="00EE162B" w:rsidP="00EE162B">
      <w:pPr>
        <w:pStyle w:val="ListBullet"/>
        <w:numPr>
          <w:ilvl w:val="0"/>
          <w:numId w:val="0"/>
        </w:numPr>
        <w:ind w:left="360" w:hanging="360"/>
      </w:pPr>
    </w:p>
    <w:p w:rsidR="00EE162B" w:rsidRDefault="00EE162B" w:rsidP="00EE162B">
      <w:pPr>
        <w:pStyle w:val="ListBullet"/>
        <w:numPr>
          <w:ilvl w:val="0"/>
          <w:numId w:val="0"/>
        </w:numPr>
        <w:ind w:left="360" w:hanging="360"/>
      </w:pPr>
    </w:p>
    <w:p w:rsidR="00DA7585" w:rsidRDefault="00EB0B9B">
      <w:pPr>
        <w:pStyle w:val="Heading3"/>
      </w:pPr>
      <w:r>
        <w:lastRenderedPageBreak/>
        <w:t>Code 6 — Create a hierarchical robustness 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DA7585">
        <w:trPr>
          <w:jc w:val="center"/>
        </w:trPr>
        <w:tc>
          <w:tcPr>
            <w:tcW w:w="9994" w:type="dxa"/>
            <w:shd w:val="clear" w:color="auto" w:fill="F3F5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DA7585" w:rsidRDefault="00EB0B9B">
            <w:pPr>
              <w:pStyle w:val="CodeBlock"/>
            </w:pPr>
            <w:r>
              <w:t>```python</w:t>
            </w:r>
            <w:r>
              <w:br/>
              <w:t>Z = linkage(X, method="ward")</w:t>
            </w:r>
            <w:r>
              <w:br/>
              <w:t>plt.figure(figsize=(12, 5))</w:t>
            </w:r>
            <w:r>
              <w:br/>
              <w:t>dendrogram(Z, labels=features.index, leaf_rotation=90, leaf_font_size=7)</w:t>
            </w:r>
            <w:r>
              <w:br/>
              <w:t>plt.ylabel("Ward linkage distance")</w:t>
            </w:r>
            <w:r>
              <w:br/>
              <w:t>plt.title("Hierarchical view of jurisdiction profile similarity")</w:t>
            </w:r>
            <w:r>
              <w:br/>
              <w:t>plt.tight_layout()</w:t>
            </w:r>
            <w:r>
              <w:br/>
              <w:t>plt.show()</w:t>
            </w:r>
            <w:r>
              <w:br/>
              <w:t>```</w:t>
            </w:r>
          </w:p>
        </w:tc>
      </w:tr>
    </w:tbl>
    <w:p w:rsidR="00DA7585" w:rsidRDefault="00EB0B9B">
      <w:r>
        <w:rPr>
          <w:b/>
          <w:color w:val="2F6B4F"/>
        </w:rPr>
        <w:t>Code explanation and output interpretation</w:t>
      </w:r>
    </w:p>
    <w:p w:rsidR="00DA7585" w:rsidRDefault="00EB0B9B">
      <w:pPr>
        <w:pStyle w:val="ListBullet"/>
        <w:ind w:left="403" w:hanging="230"/>
      </w:pPr>
      <w:r>
        <w:t>Ward linkage merges groups that add the least within-cluster variance, providing a non-K-Means view of the same standardized matrix.</w:t>
      </w:r>
    </w:p>
    <w:p w:rsidR="00DA7585" w:rsidRDefault="00EB0B9B">
      <w:pPr>
        <w:pStyle w:val="ListBullet"/>
        <w:ind w:left="403" w:hanging="230"/>
      </w:pPr>
      <w:r>
        <w:t>The dendrogram does not assign the final labels; it is used to inspect whether similar neighborhoods persist under another method.</w:t>
      </w:r>
    </w:p>
    <w:p w:rsidR="00DA7585" w:rsidRDefault="00EB0B9B">
      <w:pPr>
        <w:pStyle w:val="ListBullet"/>
        <w:ind w:left="403" w:hanging="230"/>
      </w:pPr>
      <w:r>
        <w:t>Several branches align with the four-profile interpretation, while close merge heights reinforce that boundaries are not sharp.</w:t>
      </w:r>
    </w:p>
    <w:p w:rsidR="00EE162B" w:rsidRDefault="00EE162B" w:rsidP="00BB0E18">
      <w:pPr>
        <w:pStyle w:val="ListBullet"/>
        <w:numPr>
          <w:ilvl w:val="0"/>
          <w:numId w:val="0"/>
        </w:numPr>
        <w:ind w:left="360" w:hanging="360"/>
      </w:pPr>
    </w:p>
    <w:p w:rsidR="00DA7585" w:rsidRDefault="00EB0B9B">
      <w:pPr>
        <w:pStyle w:val="Heading1"/>
        <w:pBdr>
          <w:bottom w:val="single" w:sz="8" w:space="4" w:color="8FB6D1"/>
        </w:pBdr>
      </w:pPr>
      <w:r>
        <w:t>6. Results and Findings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 w:rsidR="00DA7585">
        <w:trPr>
          <w:jc w:val="center"/>
        </w:trPr>
        <w:tc>
          <w:tcPr>
            <w:tcW w:w="2498" w:type="dxa"/>
            <w:shd w:val="clear" w:color="auto" w:fill="16324F"/>
            <w:vAlign w:val="center"/>
          </w:tcPr>
          <w:p w:rsidR="00DA7585" w:rsidRDefault="00EB0B9B">
            <w:r>
              <w:rPr>
                <w:b/>
                <w:color w:val="FFFFFF"/>
                <w:sz w:val="14"/>
              </w:rPr>
              <w:t>Cluster</w:t>
            </w:r>
          </w:p>
        </w:tc>
        <w:tc>
          <w:tcPr>
            <w:tcW w:w="2498" w:type="dxa"/>
            <w:shd w:val="clear" w:color="auto" w:fill="16324F"/>
            <w:vAlign w:val="center"/>
          </w:tcPr>
          <w:p w:rsidR="00DA7585" w:rsidRDefault="00EB0B9B"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w="2498" w:type="dxa"/>
            <w:shd w:val="clear" w:color="auto" w:fill="16324F"/>
            <w:vAlign w:val="center"/>
          </w:tcPr>
          <w:p w:rsidR="00DA7585" w:rsidRDefault="00EB0B9B">
            <w:r>
              <w:rPr>
                <w:b/>
                <w:color w:val="FFFFFF"/>
                <w:sz w:val="14"/>
              </w:rPr>
              <w:t>Plain-language profile</w:t>
            </w:r>
          </w:p>
        </w:tc>
        <w:tc>
          <w:tcPr>
            <w:tcW w:w="2498" w:type="dxa"/>
            <w:shd w:val="clear" w:color="auto" w:fill="16324F"/>
            <w:vAlign w:val="center"/>
          </w:tcPr>
          <w:p w:rsidR="00DA7585" w:rsidRDefault="00EB0B9B">
            <w:r>
              <w:rPr>
                <w:b/>
                <w:color w:val="FFFFFF"/>
                <w:sz w:val="14"/>
              </w:rPr>
              <w:t>Members</w:t>
            </w:r>
          </w:p>
        </w:tc>
      </w:tr>
      <w:tr w:rsidR="00DA7585">
        <w:trPr>
          <w:jc w:val="center"/>
        </w:trPr>
        <w:tc>
          <w:tcPr>
            <w:tcW w:w="249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4"/>
              </w:rPr>
              <w:t>0</w:t>
            </w:r>
          </w:p>
        </w:tc>
        <w:tc>
          <w:tcPr>
            <w:tcW w:w="249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4"/>
              </w:rPr>
              <w:t>8</w:t>
            </w:r>
          </w:p>
        </w:tc>
        <w:tc>
          <w:tcPr>
            <w:tcW w:w="249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4"/>
              </w:rPr>
              <w:t>Lower COVID share; male-skewed; 2021-concentrated</w:t>
            </w:r>
          </w:p>
        </w:tc>
        <w:tc>
          <w:tcPr>
            <w:tcW w:w="249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4"/>
              </w:rPr>
              <w:t>Alaska, Colorado, Hawaii, Idaho, Montana, Oregon, Utah, Washington</w:t>
            </w:r>
          </w:p>
        </w:tc>
      </w:tr>
      <w:tr w:rsidR="00DA7585">
        <w:trPr>
          <w:jc w:val="center"/>
        </w:trPr>
        <w:tc>
          <w:tcPr>
            <w:tcW w:w="2498" w:type="dxa"/>
            <w:shd w:val="clear" w:color="auto" w:fill="F4F7F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4"/>
              </w:rPr>
              <w:t>1</w:t>
            </w:r>
          </w:p>
        </w:tc>
        <w:tc>
          <w:tcPr>
            <w:tcW w:w="2498" w:type="dxa"/>
            <w:shd w:val="clear" w:color="auto" w:fill="F4F7F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4"/>
              </w:rPr>
              <w:t>13</w:t>
            </w:r>
          </w:p>
        </w:tc>
        <w:tc>
          <w:tcPr>
            <w:tcW w:w="2498" w:type="dxa"/>
            <w:shd w:val="clear" w:color="auto" w:fill="F4F7F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4"/>
              </w:rPr>
              <w:t>Older-age concentration; lower pneumonia overlap; less 2021-concentrated</w:t>
            </w:r>
          </w:p>
        </w:tc>
        <w:tc>
          <w:tcPr>
            <w:tcW w:w="2498" w:type="dxa"/>
            <w:shd w:val="clear" w:color="auto" w:fill="F4F7F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4"/>
              </w:rPr>
              <w:t>Connecticut, Iowa, Kansas, Maine, Massachusetts, Minnesota, Nebraska, New Hampshire, North Dakota, Rhode Island, South Dakota, Vermont, Wisconsin</w:t>
            </w:r>
          </w:p>
        </w:tc>
      </w:tr>
      <w:tr w:rsidR="00DA7585">
        <w:trPr>
          <w:jc w:val="center"/>
        </w:trPr>
        <w:tc>
          <w:tcPr>
            <w:tcW w:w="249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4"/>
              </w:rPr>
              <w:t>2</w:t>
            </w:r>
          </w:p>
        </w:tc>
        <w:tc>
          <w:tcPr>
            <w:tcW w:w="249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4"/>
              </w:rPr>
              <w:t>23</w:t>
            </w:r>
          </w:p>
        </w:tc>
        <w:tc>
          <w:tcPr>
            <w:tcW w:w="249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4"/>
              </w:rPr>
              <w:t>Broad higher-burden middle profile</w:t>
            </w:r>
          </w:p>
        </w:tc>
        <w:tc>
          <w:tcPr>
            <w:tcW w:w="249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4"/>
              </w:rPr>
              <w:t>Alabama, Arkansas, Delaware, Georgia, Illinois, Indiana, Kentucky, Louisiana, Maryland, Michigan, Mississippi, Missouri, New Jersey, New York, North Carolina, Ohio, Oklahoma, Pennsylvania, South Carolina, Tennessee, Virginia, West Virginia, Wyoming</w:t>
            </w:r>
          </w:p>
        </w:tc>
      </w:tr>
      <w:tr w:rsidR="00DA7585">
        <w:trPr>
          <w:jc w:val="center"/>
        </w:trPr>
        <w:tc>
          <w:tcPr>
            <w:tcW w:w="2498" w:type="dxa"/>
            <w:shd w:val="clear" w:color="auto" w:fill="F4F7F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4"/>
              </w:rPr>
              <w:t>3</w:t>
            </w:r>
          </w:p>
        </w:tc>
        <w:tc>
          <w:tcPr>
            <w:tcW w:w="2498" w:type="dxa"/>
            <w:shd w:val="clear" w:color="auto" w:fill="F4F7F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4"/>
              </w:rPr>
              <w:t>8</w:t>
            </w:r>
          </w:p>
        </w:tc>
        <w:tc>
          <w:tcPr>
            <w:tcW w:w="2498" w:type="dxa"/>
            <w:shd w:val="clear" w:color="auto" w:fill="F4F7F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4"/>
              </w:rPr>
              <w:t>High pneumonia/overlap; younger and male-skewed profile</w:t>
            </w:r>
          </w:p>
        </w:tc>
        <w:tc>
          <w:tcPr>
            <w:tcW w:w="2498" w:type="dxa"/>
            <w:shd w:val="clear" w:color="auto" w:fill="F4F7F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4"/>
              </w:rPr>
              <w:t>Arizona, California, District of Columbia, Florida, Nevada, New Mexico, Puerto Rico, Texas</w:t>
            </w:r>
          </w:p>
        </w:tc>
      </w:tr>
    </w:tbl>
    <w:p w:rsidR="00DA7585" w:rsidRDefault="00EB0B9B">
      <w:pPr>
        <w:pStyle w:val="CaptionCustom"/>
        <w:jc w:val="center"/>
        <w:rPr>
          <w:rFonts w:hint="eastAsia"/>
        </w:rPr>
      </w:pPr>
      <w:r>
        <w:t>Table 2. Final four clusters and jurisdiction membership.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 w:rsidR="00DA7585">
        <w:trPr>
          <w:jc w:val="center"/>
        </w:trPr>
        <w:tc>
          <w:tcPr>
            <w:tcW w:w="1428" w:type="dxa"/>
            <w:shd w:val="clear" w:color="auto" w:fill="16324F"/>
            <w:vAlign w:val="center"/>
          </w:tcPr>
          <w:p w:rsidR="00DA7585" w:rsidRDefault="00EB0B9B">
            <w:r>
              <w:rPr>
                <w:b/>
                <w:color w:val="FFFFFF"/>
                <w:sz w:val="17"/>
              </w:rPr>
              <w:t>Cluster</w:t>
            </w:r>
          </w:p>
        </w:tc>
        <w:tc>
          <w:tcPr>
            <w:tcW w:w="1428" w:type="dxa"/>
            <w:shd w:val="clear" w:color="auto" w:fill="16324F"/>
            <w:vAlign w:val="center"/>
          </w:tcPr>
          <w:p w:rsidR="00DA7585" w:rsidRDefault="00EB0B9B">
            <w:r>
              <w:rPr>
                <w:b/>
                <w:color w:val="FFFFFF"/>
                <w:sz w:val="17"/>
              </w:rPr>
              <w:t>COVID % all</w:t>
            </w:r>
          </w:p>
        </w:tc>
        <w:tc>
          <w:tcPr>
            <w:tcW w:w="1428" w:type="dxa"/>
            <w:shd w:val="clear" w:color="auto" w:fill="16324F"/>
            <w:vAlign w:val="center"/>
          </w:tcPr>
          <w:p w:rsidR="00DA7585" w:rsidRDefault="00EB0B9B">
            <w:r>
              <w:rPr>
                <w:b/>
                <w:color w:val="FFFFFF"/>
                <w:sz w:val="17"/>
              </w:rPr>
              <w:t>Pneumonia % all</w:t>
            </w:r>
          </w:p>
        </w:tc>
        <w:tc>
          <w:tcPr>
            <w:tcW w:w="1428" w:type="dxa"/>
            <w:shd w:val="clear" w:color="auto" w:fill="16324F"/>
            <w:vAlign w:val="center"/>
          </w:tcPr>
          <w:p w:rsidR="00DA7585" w:rsidRDefault="00EB0B9B">
            <w:r>
              <w:rPr>
                <w:b/>
                <w:color w:val="FFFFFF"/>
                <w:sz w:val="17"/>
              </w:rPr>
              <w:t>COVID with pneumonia %</w:t>
            </w:r>
          </w:p>
        </w:tc>
        <w:tc>
          <w:tcPr>
            <w:tcW w:w="1428" w:type="dxa"/>
            <w:shd w:val="clear" w:color="auto" w:fill="16324F"/>
            <w:vAlign w:val="center"/>
          </w:tcPr>
          <w:p w:rsidR="00DA7585" w:rsidRDefault="00EB0B9B">
            <w:r>
              <w:rPr>
                <w:b/>
                <w:color w:val="FFFFFF"/>
                <w:sz w:val="17"/>
              </w:rPr>
              <w:t>65+ COVID %</w:t>
            </w:r>
          </w:p>
        </w:tc>
        <w:tc>
          <w:tcPr>
            <w:tcW w:w="1428" w:type="dxa"/>
            <w:shd w:val="clear" w:color="auto" w:fill="16324F"/>
            <w:vAlign w:val="center"/>
          </w:tcPr>
          <w:p w:rsidR="00DA7585" w:rsidRDefault="00EB0B9B">
            <w:r>
              <w:rPr>
                <w:b/>
                <w:color w:val="FFFFFF"/>
                <w:sz w:val="17"/>
              </w:rPr>
              <w:t>Male COVID %</w:t>
            </w:r>
          </w:p>
        </w:tc>
        <w:tc>
          <w:tcPr>
            <w:tcW w:w="1428" w:type="dxa"/>
            <w:shd w:val="clear" w:color="auto" w:fill="16324F"/>
            <w:vAlign w:val="center"/>
          </w:tcPr>
          <w:p w:rsidR="00DA7585" w:rsidRDefault="00EB0B9B">
            <w:r>
              <w:rPr>
                <w:b/>
                <w:color w:val="FFFFFF"/>
                <w:sz w:val="17"/>
              </w:rPr>
              <w:t>2021 % of 2020–22</w:t>
            </w:r>
          </w:p>
        </w:tc>
      </w:tr>
      <w:tr w:rsidR="00DA7585">
        <w:trPr>
          <w:jc w:val="center"/>
        </w:trPr>
        <w:tc>
          <w:tcPr>
            <w:tcW w:w="14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0</w:t>
            </w:r>
          </w:p>
        </w:tc>
        <w:tc>
          <w:tcPr>
            <w:tcW w:w="14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7.125</w:t>
            </w:r>
          </w:p>
        </w:tc>
        <w:tc>
          <w:tcPr>
            <w:tcW w:w="14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7.680</w:t>
            </w:r>
          </w:p>
        </w:tc>
        <w:tc>
          <w:tcPr>
            <w:tcW w:w="14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50.409</w:t>
            </w:r>
          </w:p>
        </w:tc>
        <w:tc>
          <w:tcPr>
            <w:tcW w:w="14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74.662</w:t>
            </w:r>
          </w:p>
        </w:tc>
        <w:tc>
          <w:tcPr>
            <w:tcW w:w="14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57.669</w:t>
            </w:r>
          </w:p>
        </w:tc>
        <w:tc>
          <w:tcPr>
            <w:tcW w:w="14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47.838</w:t>
            </w:r>
          </w:p>
        </w:tc>
      </w:tr>
      <w:tr w:rsidR="00DA7585">
        <w:trPr>
          <w:jc w:val="center"/>
        </w:trPr>
        <w:tc>
          <w:tcPr>
            <w:tcW w:w="1428" w:type="dxa"/>
            <w:shd w:val="clear" w:color="auto" w:fill="F4F7F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1</w:t>
            </w:r>
          </w:p>
        </w:tc>
        <w:tc>
          <w:tcPr>
            <w:tcW w:w="1428" w:type="dxa"/>
            <w:shd w:val="clear" w:color="auto" w:fill="F4F7F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8.130</w:t>
            </w:r>
          </w:p>
        </w:tc>
        <w:tc>
          <w:tcPr>
            <w:tcW w:w="1428" w:type="dxa"/>
            <w:shd w:val="clear" w:color="auto" w:fill="F4F7F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8.040</w:t>
            </w:r>
          </w:p>
        </w:tc>
        <w:tc>
          <w:tcPr>
            <w:tcW w:w="1428" w:type="dxa"/>
            <w:shd w:val="clear" w:color="auto" w:fill="F4F7F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39.041</w:t>
            </w:r>
          </w:p>
        </w:tc>
        <w:tc>
          <w:tcPr>
            <w:tcW w:w="1428" w:type="dxa"/>
            <w:shd w:val="clear" w:color="auto" w:fill="F4F7F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82.672</w:t>
            </w:r>
          </w:p>
        </w:tc>
        <w:tc>
          <w:tcPr>
            <w:tcW w:w="1428" w:type="dxa"/>
            <w:shd w:val="clear" w:color="auto" w:fill="F4F7F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53.565</w:t>
            </w:r>
          </w:p>
        </w:tc>
        <w:tc>
          <w:tcPr>
            <w:tcW w:w="1428" w:type="dxa"/>
            <w:shd w:val="clear" w:color="auto" w:fill="F4F7F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35.012</w:t>
            </w:r>
          </w:p>
        </w:tc>
      </w:tr>
      <w:tr w:rsidR="00DA7585">
        <w:trPr>
          <w:jc w:val="center"/>
        </w:trPr>
        <w:tc>
          <w:tcPr>
            <w:tcW w:w="14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2</w:t>
            </w:r>
          </w:p>
        </w:tc>
        <w:tc>
          <w:tcPr>
            <w:tcW w:w="14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9.265</w:t>
            </w:r>
          </w:p>
        </w:tc>
        <w:tc>
          <w:tcPr>
            <w:tcW w:w="14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9.260</w:t>
            </w:r>
          </w:p>
        </w:tc>
        <w:tc>
          <w:tcPr>
            <w:tcW w:w="14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47.463</w:t>
            </w:r>
          </w:p>
        </w:tc>
        <w:tc>
          <w:tcPr>
            <w:tcW w:w="14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76.435</w:t>
            </w:r>
          </w:p>
        </w:tc>
        <w:tc>
          <w:tcPr>
            <w:tcW w:w="14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53.279</w:t>
            </w:r>
          </w:p>
        </w:tc>
        <w:tc>
          <w:tcPr>
            <w:tcW w:w="1428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42.591</w:t>
            </w:r>
          </w:p>
        </w:tc>
      </w:tr>
      <w:tr w:rsidR="00DA7585">
        <w:trPr>
          <w:jc w:val="center"/>
        </w:trPr>
        <w:tc>
          <w:tcPr>
            <w:tcW w:w="1428" w:type="dxa"/>
            <w:shd w:val="clear" w:color="auto" w:fill="F4F7F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3</w:t>
            </w:r>
          </w:p>
        </w:tc>
        <w:tc>
          <w:tcPr>
            <w:tcW w:w="1428" w:type="dxa"/>
            <w:shd w:val="clear" w:color="auto" w:fill="F4F7F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9.355</w:t>
            </w:r>
          </w:p>
        </w:tc>
        <w:tc>
          <w:tcPr>
            <w:tcW w:w="1428" w:type="dxa"/>
            <w:shd w:val="clear" w:color="auto" w:fill="F4F7F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11.534</w:t>
            </w:r>
          </w:p>
        </w:tc>
        <w:tc>
          <w:tcPr>
            <w:tcW w:w="1428" w:type="dxa"/>
            <w:shd w:val="clear" w:color="auto" w:fill="F4F7F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63.144</w:t>
            </w:r>
          </w:p>
        </w:tc>
        <w:tc>
          <w:tcPr>
            <w:tcW w:w="1428" w:type="dxa"/>
            <w:shd w:val="clear" w:color="auto" w:fill="F4F7F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70.803</w:t>
            </w:r>
          </w:p>
        </w:tc>
        <w:tc>
          <w:tcPr>
            <w:tcW w:w="1428" w:type="dxa"/>
            <w:shd w:val="clear" w:color="auto" w:fill="F4F7F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57.434</w:t>
            </w:r>
          </w:p>
        </w:tc>
        <w:tc>
          <w:tcPr>
            <w:tcW w:w="1428" w:type="dxa"/>
            <w:shd w:val="clear" w:color="auto" w:fill="F4F7F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:rsidR="00DA7585" w:rsidRDefault="00EB0B9B">
            <w:r>
              <w:rPr>
                <w:sz w:val="17"/>
              </w:rPr>
              <w:t>43.162</w:t>
            </w:r>
          </w:p>
        </w:tc>
      </w:tr>
    </w:tbl>
    <w:p w:rsidR="00DA7585" w:rsidRDefault="00EB0B9B">
      <w:pPr>
        <w:pStyle w:val="CaptionCustom"/>
        <w:jc w:val="center"/>
        <w:rPr>
          <w:rFonts w:hint="eastAsia"/>
        </w:rPr>
      </w:pPr>
      <w:r>
        <w:t>Table 3. Selected centroid values; influenza share is included in modeling but omitted here for space.</w:t>
      </w:r>
    </w:p>
    <w:p w:rsidR="00DA7585" w:rsidRDefault="00EB0B9B">
      <w:r>
        <w:lastRenderedPageBreak/>
        <w:t>Cluster 0 contains Alaska, several Mountain/Western states, Hawaii, Oregon, and Washington. Its COVID share is lowest at 7.125%, yet 47.838% of 2020–22 COVID deaths occurred in 2021 and male share is high at 57.669%. The practical profile is lower cumulative composition but later/concentrated and male-skewed burden.</w:t>
      </w:r>
    </w:p>
    <w:p w:rsidR="00DA7585" w:rsidRDefault="00EB0B9B">
      <w:r>
        <w:t>Cluster 1 has the oldest profile: 82.672% of COVID deaths are among ages 65+, pneumonia overlap is the lowest at 39.041%, and only 35.012% of 2020–22 deaths fall in 2021. This is an older-age and less-2021-concentrated profile containing many New England and Upper Midwest jurisdictions.</w:t>
      </w:r>
    </w:p>
    <w:p w:rsidR="00DA7585" w:rsidRDefault="00EB0B9B" w:rsidP="00EE162B">
      <w:pPr>
        <w:jc w:val="both"/>
      </w:pPr>
      <w:r>
        <w:t>Cluster 2 is the largest group (23). Its COVID and pneumonia shares are both about 9.26%, older-age concentration is 76.435%, and sex composition is less male-skewed than Clusters 0 and 3. It represents a broad higher-burden middle pattern rather than an extreme on one feature.</w:t>
      </w:r>
    </w:p>
    <w:p w:rsidR="00DA7585" w:rsidRDefault="00EB0B9B" w:rsidP="00EE162B">
      <w:pPr>
        <w:jc w:val="both"/>
      </w:pPr>
      <w:r>
        <w:t>Cluster 3 combines the highest pneumonia share (11.534%), highest COVID-with-pneumonia overlap (63.144%), lowest 65+ share (70.803%), and high male share (57.434%). Arizona, California, DC, Florida, Nevada, New Mexico, Puerto Rico, and Texas form this younger, male-skewed, respiratory-overlap profile.</w:t>
      </w:r>
    </w:p>
    <w:p w:rsidR="00DA7585" w:rsidRDefault="00EB0B9B">
      <w:pPr>
        <w:pStyle w:val="Heading1"/>
        <w:pBdr>
          <w:bottom w:val="single" w:sz="8" w:space="4" w:color="8FB6D1"/>
        </w:pBdr>
      </w:pPr>
      <w:r>
        <w:t>7. Visualizations (described in text)</w:t>
      </w:r>
    </w:p>
    <w:p w:rsidR="00DA7585" w:rsidRDefault="00EB0B9B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6126480" cy="36939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3_k_selec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9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585" w:rsidRDefault="00EB0B9B">
      <w:pPr>
        <w:pStyle w:val="CaptionCustom"/>
        <w:jc w:val="center"/>
        <w:rPr>
          <w:rFonts w:hint="eastAsia"/>
        </w:rPr>
      </w:pPr>
      <w:r>
        <w:t>Figure 1. Inertia and silhouette for k=2 through k=8; k=4 has the highest silhouette.</w:t>
      </w:r>
    </w:p>
    <w:p w:rsidR="00DA7585" w:rsidRDefault="00EB0B9B" w:rsidP="00544731">
      <w:pPr>
        <w:jc w:val="both"/>
      </w:pPr>
      <w:r w:rsidRPr="00544731">
        <w:rPr>
          <w:b/>
        </w:rPr>
        <w:t>Technical reading:</w:t>
      </w:r>
      <w:r>
        <w:t xml:space="preserve"> the left axis shows within-cluster sum of squares and the right axis shows silhouette, both by k. Analytical reading: compactness improves continuously, but separation does not. Four groups offer the best measured separation with a much simpler interpretation than the near-tied seven-group alternative.</w:t>
      </w:r>
    </w:p>
    <w:p w:rsidR="00DA7585" w:rsidRDefault="00EB0B9B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126480" cy="39742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3_pca_clust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7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585" w:rsidRDefault="00EB0B9B">
      <w:pPr>
        <w:pStyle w:val="CaptionCustom"/>
        <w:jc w:val="center"/>
        <w:rPr>
          <w:rFonts w:hint="eastAsia"/>
        </w:rPr>
      </w:pPr>
      <w:r>
        <w:t>Figure 2. Four K-Means groups in two-dimensional PCA space; the display retains 62.19% of variance.</w:t>
      </w:r>
    </w:p>
    <w:p w:rsidR="00DA7585" w:rsidRDefault="00EB0B9B" w:rsidP="00544731">
      <w:pPr>
        <w:jc w:val="both"/>
      </w:pPr>
      <w:r w:rsidRPr="00544731">
        <w:rPr>
          <w:b/>
        </w:rPr>
        <w:t>Technical reading</w:t>
      </w:r>
      <w:r>
        <w:t>: each point is a standardized jurisdiction profile, color indicates cluster, and axes are the first two principal components. Analytical reading: groups occupy recognizable regions but overlap at boundaries, which agrees with the modest silhouette and argues against treating membership as absolute.</w:t>
      </w:r>
    </w:p>
    <w:p w:rsidR="00DA7585" w:rsidRDefault="00EB0B9B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6126480" cy="35390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3_cluster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3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585" w:rsidRDefault="00EB0B9B">
      <w:pPr>
        <w:pStyle w:val="CaptionCustom"/>
        <w:jc w:val="center"/>
        <w:rPr>
          <w:rFonts w:hint="eastAsia"/>
        </w:rPr>
      </w:pPr>
      <w:r>
        <w:t>Figure 3. Cluster means expressed as standard deviations above or below the 52-jurisdiction mean.</w:t>
      </w:r>
    </w:p>
    <w:p w:rsidR="00DA7585" w:rsidRDefault="00EB0B9B" w:rsidP="00544731">
      <w:pPr>
        <w:jc w:val="both"/>
      </w:pPr>
      <w:r w:rsidRPr="00544731">
        <w:rPr>
          <w:b/>
        </w:rPr>
        <w:lastRenderedPageBreak/>
        <w:t>Technical reading</w:t>
      </w:r>
      <w:r>
        <w:t>: columns are the seven features, rows are clusters, and color/annotation give standardized centroid deviations. Analytical reading: Cluster 1 is defined most strongly by older-age concentration and low overlap, while Cluster 3 is defined by high pneumonia and overlap plus a younger/male-skewed profile. This reveals the feature combination behind each label.</w:t>
      </w:r>
    </w:p>
    <w:p w:rsidR="00DA7585" w:rsidRDefault="00EB0B9B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6126480" cy="27571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3_dendro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5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585" w:rsidRDefault="00EB0B9B">
      <w:pPr>
        <w:pStyle w:val="CaptionCustom"/>
        <w:jc w:val="center"/>
        <w:rPr>
          <w:rFonts w:hint="eastAsia"/>
        </w:rPr>
      </w:pPr>
      <w:r>
        <w:t>Figure 4. Ward-linkage dendrogram for the same standardized feature matrix.</w:t>
      </w:r>
    </w:p>
    <w:p w:rsidR="00DA7585" w:rsidRDefault="00EB0B9B" w:rsidP="00544731">
      <w:pPr>
        <w:jc w:val="both"/>
      </w:pPr>
      <w:r w:rsidRPr="00544731">
        <w:rPr>
          <w:b/>
        </w:rPr>
        <w:t>Technical reading:</w:t>
      </w:r>
      <w:r>
        <w:t xml:space="preserve"> lower merge height means greater profile similarity. Analytical reading: several tight jurisdiction pairs and subgroups exist, but branch heights rise gradually rather than showing one overwhelming cut. The data support useful segmentation, not a single indisputable taxonomy.</w:t>
      </w:r>
    </w:p>
    <w:p w:rsidR="00EE162B" w:rsidRDefault="00EE162B" w:rsidP="00544731">
      <w:pPr>
        <w:jc w:val="both"/>
      </w:pPr>
    </w:p>
    <w:p w:rsidR="00EE162B" w:rsidRDefault="00EE162B" w:rsidP="00544731">
      <w:pPr>
        <w:jc w:val="both"/>
      </w:pPr>
    </w:p>
    <w:p w:rsidR="00DA7585" w:rsidRDefault="00EB0B9B">
      <w:pPr>
        <w:pStyle w:val="Heading1"/>
        <w:pBdr>
          <w:bottom w:val="single" w:sz="8" w:space="4" w:color="8FB6D1"/>
        </w:pBdr>
      </w:pPr>
      <w:r>
        <w:t>8. Challenges and How They Were Handled</w:t>
      </w:r>
    </w:p>
    <w:p w:rsidR="00DA7585" w:rsidRDefault="00EB0B9B" w:rsidP="00544731">
      <w:pPr>
        <w:pStyle w:val="ListBullet"/>
        <w:jc w:val="both"/>
      </w:pPr>
      <w:r>
        <w:t>Raw counts were dominated by population size. I replaced them with seven interpretable percentages before standardization.</w:t>
      </w:r>
    </w:p>
    <w:p w:rsidR="00DA7585" w:rsidRDefault="00EB0B9B" w:rsidP="00544731">
      <w:pPr>
        <w:pStyle w:val="ListBullet"/>
        <w:jc w:val="both"/>
      </w:pPr>
      <w:r>
        <w:t>New York City overlaps New York and the national total aggregates every jurisdiction. Both were excluded to preserve independent units.</w:t>
      </w:r>
    </w:p>
    <w:p w:rsidR="00DA7585" w:rsidRDefault="00EB0B9B" w:rsidP="00544731">
      <w:pPr>
        <w:pStyle w:val="ListBullet"/>
        <w:jc w:val="both"/>
      </w:pPr>
      <w:r>
        <w:t>The candidate silhouette scores were low and close. I reported them, chose the simplest maximum at k=4, and avoided claiming strong natural separation.</w:t>
      </w:r>
    </w:p>
    <w:p w:rsidR="00DA7585" w:rsidRDefault="00EB0B9B" w:rsidP="00544731">
      <w:pPr>
        <w:pStyle w:val="ListBullet"/>
        <w:jc w:val="both"/>
      </w:pPr>
      <w:r>
        <w:t>Cluster numbers changed meaning across random runs. I used n_init=100, random_state=42, and remapped labels by mean COVID share for stable reporting.</w:t>
      </w:r>
    </w:p>
    <w:p w:rsidR="00DA7585" w:rsidRDefault="00EB0B9B" w:rsidP="00544731">
      <w:pPr>
        <w:pStyle w:val="ListBullet"/>
        <w:jc w:val="both"/>
      </w:pPr>
      <w:r>
        <w:t>PCA loses 37.81% of variance. It is used only for visualization; K-Means is fit in all seven standardized dimensions.</w:t>
      </w:r>
    </w:p>
    <w:p w:rsidR="00DA7585" w:rsidRDefault="00EB0B9B" w:rsidP="00544731">
      <w:pPr>
        <w:pStyle w:val="ListBullet"/>
        <w:jc w:val="both"/>
      </w:pPr>
      <w:r>
        <w:t>2023 is incomplete. Wave timing uses only 2020–2022 so a partial year cannot reduce the denominator inconsistently.</w:t>
      </w:r>
    </w:p>
    <w:p w:rsidR="00EE162B" w:rsidRDefault="00EE162B" w:rsidP="00EE162B">
      <w:pPr>
        <w:pStyle w:val="ListBullet"/>
        <w:numPr>
          <w:ilvl w:val="0"/>
          <w:numId w:val="0"/>
        </w:numPr>
        <w:ind w:left="360" w:hanging="360"/>
        <w:jc w:val="both"/>
      </w:pPr>
    </w:p>
    <w:p w:rsidR="00EE162B" w:rsidRDefault="00EE162B" w:rsidP="00EE162B">
      <w:pPr>
        <w:pStyle w:val="ListBullet"/>
        <w:numPr>
          <w:ilvl w:val="0"/>
          <w:numId w:val="0"/>
        </w:numPr>
        <w:ind w:left="360" w:hanging="360"/>
        <w:jc w:val="both"/>
      </w:pPr>
    </w:p>
    <w:p w:rsidR="00EE162B" w:rsidRDefault="00EE162B" w:rsidP="00EE162B">
      <w:pPr>
        <w:pStyle w:val="ListBullet"/>
        <w:numPr>
          <w:ilvl w:val="0"/>
          <w:numId w:val="0"/>
        </w:numPr>
        <w:ind w:left="360" w:hanging="360"/>
        <w:jc w:val="both"/>
      </w:pPr>
    </w:p>
    <w:p w:rsidR="00EE162B" w:rsidRDefault="00EE162B" w:rsidP="00EE162B">
      <w:pPr>
        <w:pStyle w:val="ListBullet"/>
        <w:numPr>
          <w:ilvl w:val="0"/>
          <w:numId w:val="0"/>
        </w:numPr>
        <w:ind w:left="360" w:hanging="360"/>
        <w:jc w:val="both"/>
      </w:pPr>
    </w:p>
    <w:p w:rsidR="00EE162B" w:rsidRDefault="00EE162B" w:rsidP="00EE162B">
      <w:pPr>
        <w:pStyle w:val="ListBullet"/>
        <w:numPr>
          <w:ilvl w:val="0"/>
          <w:numId w:val="0"/>
        </w:numPr>
        <w:ind w:left="360" w:hanging="360"/>
        <w:jc w:val="both"/>
      </w:pPr>
    </w:p>
    <w:p w:rsidR="00EE162B" w:rsidRDefault="00EE162B" w:rsidP="00EE162B">
      <w:pPr>
        <w:pStyle w:val="ListBullet"/>
        <w:numPr>
          <w:ilvl w:val="0"/>
          <w:numId w:val="0"/>
        </w:numPr>
        <w:ind w:left="360" w:hanging="360"/>
        <w:jc w:val="both"/>
      </w:pPr>
    </w:p>
    <w:p w:rsidR="00EE162B" w:rsidRDefault="00EE162B" w:rsidP="00EE162B">
      <w:pPr>
        <w:pStyle w:val="ListBullet"/>
        <w:numPr>
          <w:ilvl w:val="0"/>
          <w:numId w:val="0"/>
        </w:numPr>
        <w:ind w:left="360" w:hanging="360"/>
        <w:jc w:val="both"/>
      </w:pPr>
    </w:p>
    <w:p w:rsidR="00EE162B" w:rsidRDefault="00EE162B" w:rsidP="00EE162B">
      <w:pPr>
        <w:pStyle w:val="ListBullet"/>
        <w:numPr>
          <w:ilvl w:val="0"/>
          <w:numId w:val="0"/>
        </w:numPr>
        <w:ind w:left="360" w:hanging="360"/>
        <w:jc w:val="both"/>
      </w:pPr>
    </w:p>
    <w:p w:rsidR="00DA7585" w:rsidRDefault="00EB0B9B">
      <w:pPr>
        <w:pStyle w:val="Heading1"/>
        <w:pBdr>
          <w:bottom w:val="single" w:sz="8" w:space="4" w:color="8FB6D1"/>
        </w:pBdr>
      </w:pPr>
      <w:r>
        <w:lastRenderedPageBreak/>
        <w:t>9. Discussion</w:t>
      </w:r>
    </w:p>
    <w:p w:rsidR="00DA7585" w:rsidRDefault="00EB0B9B">
      <w:r>
        <w:t>The segmentation can support comparison sets. Cluster 1 jurisdictions should prioritize older-adult and long-term-care comparisons because their age concentration is the defining feature. Cluster 3 comparisons should examine pneumonia coding/clinical overlap and working-age male patterns. Cluster 0's 2021 concentration suggests that calendar timing matters when evaluating interventions, while Cluster 2 provides a large reference group for broad burden patterns.</w:t>
      </w:r>
    </w:p>
    <w:p w:rsidR="00DA7585" w:rsidRDefault="00EB0B9B">
      <w:r>
        <w:t>These are research and monitoring implications, not causal diagnoses. Percentage features can still reflect age structure, coding practice, care access, and epidemic timing. A jurisdiction can move clusters if revised provisional counts change a feature. The model contains 52 observations for seven variables, so small cluster differences should be validated with bootstrapping or newer data before operational use.</w:t>
      </w:r>
    </w:p>
    <w:p w:rsidR="00DA7585" w:rsidRDefault="00EB0B9B">
      <w:r>
        <w:t>If preprocessing were skipped, raw totals would mostly create a population-size clustering. If standardization were skipped, high-variance pneumonia overlap could dominate influenza share. If k were chosen only from a visually appealing PCA plot, the decision would ignore the 37.81% of variance outside the display. Each safeguard directly protects interpretability.</w:t>
      </w:r>
    </w:p>
    <w:p w:rsidR="00DA7585" w:rsidRDefault="00EB0B9B">
      <w:pPr>
        <w:pStyle w:val="Heading1"/>
        <w:pBdr>
          <w:bottom w:val="single" w:sz="8" w:space="4" w:color="8FB6D1"/>
        </w:pBdr>
      </w:pPr>
      <w:r>
        <w:t>10. Conclusion</w:t>
      </w:r>
    </w:p>
    <w:p w:rsidR="00DA7585" w:rsidRDefault="00EB0B9B" w:rsidP="00544731">
      <w:pPr>
        <w:jc w:val="both"/>
      </w:pPr>
      <w:r>
        <w:t>K-Means on seven standardized mortality-profile percentages produced four interpretable groups of sizes 8, 13, 23, and 8. The selected k has the highest tested silhouette (0.222), and the first two principal components retain 62.19% of variance. Cluster profiles differ most clearly in older-age concentration, male share, pneumonia overlap, overall COVID composition, and concentration in 2021.</w:t>
      </w:r>
    </w:p>
    <w:p w:rsidR="00DA7585" w:rsidRDefault="00EB0B9B" w:rsidP="00544731">
      <w:pPr>
        <w:jc w:val="both"/>
      </w:pPr>
      <w:r>
        <w:t>The next step is supervised one-month-ahead forecasting. Cluster labels will not be used as targets; instead, chronological lag features and jurisdiction identity will predict monthly COVID-19 counts, with performance compared against a previous-month baseline.</w:t>
      </w:r>
    </w:p>
    <w:p w:rsidR="00DA7585" w:rsidRDefault="00EB0B9B">
      <w:pPr>
        <w:pStyle w:val="Heading1"/>
        <w:pBdr>
          <w:bottom w:val="single" w:sz="8" w:space="4" w:color="8FB6D1"/>
        </w:pBdr>
      </w:pPr>
      <w:r>
        <w:t>11. References</w:t>
      </w:r>
    </w:p>
    <w:p w:rsidR="00DA7585" w:rsidRDefault="00EB0B9B" w:rsidP="0004446C">
      <w:pPr>
        <w:pStyle w:val="ListBullet"/>
        <w:jc w:val="both"/>
      </w:pPr>
      <w:r>
        <w:t>Centers for Disease Control and Prevention, National Center for Health Statistics. Provisional COVID-19 Deaths by Sex and Age. Dataset page: https://data.cdc.gov/National-Center-for-Health-Statistics/Provisional-COVID-19-Deaths-by-Sex-and-Age/9bhg-hcku</w:t>
      </w:r>
    </w:p>
    <w:p w:rsidR="00DA7585" w:rsidRDefault="00EB0B9B">
      <w:pPr>
        <w:pStyle w:val="ListBullet"/>
      </w:pPr>
      <w:r>
        <w:t>CDC data download used for source verification: http</w:t>
      </w:r>
      <w:r w:rsidR="0004446C">
        <w:t>s://data.cdc.gov/api/views/9bhg</w:t>
      </w:r>
      <w:r>
        <w:t>hcku/rows.csv?accessType=DOWNLOAD</w:t>
      </w:r>
    </w:p>
    <w:p w:rsidR="00DA7585" w:rsidRDefault="00EB0B9B" w:rsidP="0004446C">
      <w:pPr>
        <w:pStyle w:val="ListBullet"/>
        <w:jc w:val="both"/>
      </w:pPr>
      <w:r>
        <w:t>CDC WONDER provisional mortality access noted by the publisher as the successor source: https://wonder.cdc.gov/mcd-icd10-provisional.html</w:t>
      </w:r>
    </w:p>
    <w:p w:rsidR="00DA7585" w:rsidRDefault="00EB0B9B" w:rsidP="0004446C">
      <w:pPr>
        <w:pStyle w:val="ListBullet"/>
        <w:jc w:val="both"/>
      </w:pPr>
      <w:r>
        <w:t>McKinney, W. pandas: Python Data Analysis Library. https://pandas.pydata.org/</w:t>
      </w:r>
    </w:p>
    <w:p w:rsidR="00DA7585" w:rsidRDefault="00EB0B9B" w:rsidP="0004446C">
      <w:pPr>
        <w:pStyle w:val="ListBullet"/>
        <w:jc w:val="both"/>
      </w:pPr>
      <w:r>
        <w:t>Harris, C. R. et al. (2020). Array programming with NumPy. Nature, 585, 357–362. https://numpy.org/</w:t>
      </w:r>
    </w:p>
    <w:p w:rsidR="00DA7585" w:rsidRDefault="00EB0B9B" w:rsidP="0004446C">
      <w:pPr>
        <w:pStyle w:val="ListBullet"/>
        <w:jc w:val="both"/>
      </w:pPr>
      <w:r>
        <w:t>Waskom, M. L. (2021). seaborn: statistical data visualization. Journal of Open Source Software, 6(60), 3021. https://seaborn.pydata.org/</w:t>
      </w:r>
    </w:p>
    <w:p w:rsidR="00DA7585" w:rsidRDefault="00EB0B9B" w:rsidP="0004446C">
      <w:pPr>
        <w:pStyle w:val="ListBullet"/>
        <w:jc w:val="both"/>
      </w:pPr>
      <w:r>
        <w:t>Pedregosa, F. et al. (2011). Scikit-learn: Machine Learning in Python. Journal of Machine Learning Research, 12, 2825–2830. https://scikit-learn.org/</w:t>
      </w:r>
    </w:p>
    <w:p w:rsidR="00DA7585" w:rsidRDefault="00EB0B9B" w:rsidP="0004446C">
      <w:pPr>
        <w:pStyle w:val="ListBullet"/>
        <w:jc w:val="both"/>
      </w:pPr>
      <w:r>
        <w:t>Hunter, J. D. (2007). Matplotlib: A 2D Graphics Environment. Computing in Science &amp; Engineering, 9(3), 90–95. https://matplotlib.org/</w:t>
      </w:r>
    </w:p>
    <w:sectPr w:rsidR="00DA7585" w:rsidSect="00034616">
      <w:headerReference w:type="default" r:id="rId12"/>
      <w:footerReference w:type="default" r:id="rId13"/>
      <w:pgSz w:w="12240" w:h="15840"/>
      <w:pgMar w:top="1037" w:right="1123" w:bottom="1008" w:left="1123" w:header="403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0B3B" w:rsidRDefault="00250B3B">
      <w:pPr>
        <w:spacing w:after="0" w:line="240" w:lineRule="auto"/>
      </w:pPr>
      <w:r>
        <w:separator/>
      </w:r>
    </w:p>
  </w:endnote>
  <w:endnote w:type="continuationSeparator" w:id="0">
    <w:p w:rsidR="00250B3B" w:rsidRDefault="00250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7585" w:rsidRDefault="00EB0B9B">
    <w:pPr>
      <w:pStyle w:val="Footer"/>
      <w:jc w:val="center"/>
    </w:pPr>
    <w:r>
      <w:rPr>
        <w:color w:val="666666"/>
        <w:sz w:val="16"/>
      </w:rPr>
      <w:t xml:space="preserve">Page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>PAGE</w:instrText>
    </w:r>
    <w:r>
      <w:rPr>
        <w:color w:val="666666"/>
        <w:sz w:val="16"/>
      </w:rPr>
      <w:fldChar w:fldCharType="separate"/>
    </w:r>
    <w:r w:rsidR="007C7377">
      <w:rPr>
        <w:noProof/>
        <w:color w:val="666666"/>
        <w:sz w:val="16"/>
      </w:rPr>
      <w:t>1</w:t>
    </w:r>
    <w:r>
      <w:rPr>
        <w:color w:val="666666"/>
        <w:sz w:val="16"/>
      </w:rPr>
      <w:fldChar w:fldCharType="end"/>
    </w:r>
    <w:r w:rsidR="007C7377">
      <w:rPr>
        <w:color w:val="666666"/>
        <w:sz w:val="16"/>
      </w:rPr>
      <w:t xml:space="preserve">  | Prepared 12</w:t>
    </w:r>
    <w:r>
      <w:rPr>
        <w:color w:val="666666"/>
        <w:sz w:val="16"/>
      </w:rPr>
      <w:t xml:space="preserve"> August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0B3B" w:rsidRDefault="00250B3B">
      <w:pPr>
        <w:spacing w:after="0" w:line="240" w:lineRule="auto"/>
      </w:pPr>
      <w:r>
        <w:separator/>
      </w:r>
    </w:p>
  </w:footnote>
  <w:footnote w:type="continuationSeparator" w:id="0">
    <w:p w:rsidR="00250B3B" w:rsidRDefault="00250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7585" w:rsidRDefault="00EB0B9B">
    <w:pPr>
      <w:pBdr>
        <w:bottom w:val="single" w:sz="6" w:space="4" w:color="B7C9D6"/>
      </w:pBdr>
      <w:jc w:val="right"/>
    </w:pPr>
    <w:r>
      <w:rPr>
        <w:b/>
        <w:color w:val="2E75B6"/>
        <w:sz w:val="15"/>
      </w:rPr>
      <w:t>DATA SCIENCE WITH PYTHON  |  WEEK 3  |  CDC COVID-19 MORTALITY 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446C"/>
    <w:rsid w:val="0006063C"/>
    <w:rsid w:val="0015074B"/>
    <w:rsid w:val="00250B3B"/>
    <w:rsid w:val="0029639D"/>
    <w:rsid w:val="002B327E"/>
    <w:rsid w:val="00326F90"/>
    <w:rsid w:val="00544731"/>
    <w:rsid w:val="007C7377"/>
    <w:rsid w:val="00AA1D8D"/>
    <w:rsid w:val="00B47730"/>
    <w:rsid w:val="00BB0E18"/>
    <w:rsid w:val="00C940C9"/>
    <w:rsid w:val="00CB0664"/>
    <w:rsid w:val="00DA7585"/>
    <w:rsid w:val="00E37839"/>
    <w:rsid w:val="00EB0B9B"/>
    <w:rsid w:val="00EE0FAC"/>
    <w:rsid w:val="00EE16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763212B-3938-4F53-8A11-C9BC67A8C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eastAsia="Aptos" w:hAnsi="Aptos"/>
      <w:color w:val="22222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F6B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eastAsia="Consolas" w:hAnsi="Consolas"/>
      <w:color w:val="1F1F1F"/>
      <w:sz w:val="15"/>
    </w:rPr>
  </w:style>
  <w:style w:type="paragraph" w:customStyle="1" w:styleId="CaptionCustom">
    <w:name w:val="Caption Custom"/>
    <w:pPr>
      <w:spacing w:before="40" w:after="160"/>
    </w:pPr>
    <w:rPr>
      <w:rFonts w:ascii="Aptos" w:hAnsi="Aptos"/>
      <w:i/>
      <w:color w:val="666666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DBB83C-BBB3-4A79-8478-8925D05BE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2926</Words>
  <Characters>16684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3 Unsupervised Learning Clustering</vt:lpstr>
    </vt:vector>
  </TitlesOfParts>
  <Manager/>
  <Company/>
  <LinksUpToDate>false</LinksUpToDate>
  <CharactersWithSpaces>19571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Data Science with Python internship report</dc:subject>
  <dc:creator>Sahil Mandal</dc:creator>
  <cp:keywords/>
  <dc:description/>
  <cp:lastModifiedBy>Microsoft account</cp:lastModifiedBy>
  <cp:revision>9</cp:revision>
  <dcterms:created xsi:type="dcterms:W3CDTF">2013-12-23T23:15:00Z</dcterms:created>
  <dcterms:modified xsi:type="dcterms:W3CDTF">2026-08-18T14:08:00Z</dcterms:modified>
  <cp:category/>
</cp:coreProperties>
</file>