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November 4</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contextualSpacing w:val="0"/>
      </w:pPr>
      <w:r w:rsidDel="00000000" w:rsidR="00000000" w:rsidRPr="00000000">
        <w:rPr>
          <w:rtl w:val="0"/>
        </w:rPr>
        <w:t xml:space="preserve"> Checking the comments made by the professor in the last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Discussed about Use case documents, other optional requirements like matrix based roads etc.</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Use case documents</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Nov 15, 2016</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Matrix based roads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Nov 15,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w:t>
      </w:r>
      <w:r w:rsidDel="00000000" w:rsidR="00000000" w:rsidRPr="00000000">
        <w:rPr>
          <w:rtl w:val="0"/>
        </w:rPr>
        <w:t xml:space="preserve"> Not yet planned</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