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F6F" w:val="clear"/>
            <w:tcMar>
              <w:top w:type="dxa" w:w="360"/>
              <w:left w:type="dxa" w:w="280"/>
              <w:bottom w:type="dxa" w:w="28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CFO Health Score Report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85B7EB"/>
                <w:sz w:val="24"/>
                <w:szCs w:val="24"/>
              </w:rPr>
              <w:t xml:space="preserve">Prepared for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Arora Consumer Brands Pvt. Ltd.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85B7EB"/>
                <w:sz w:val="20"/>
                <w:szCs w:val="20"/>
              </w:rPr>
              <w:t xml:space="preserve">Mr. Vikram Arora, Founder &amp; CEO  |  April 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5B7EB"/>
                <w:sz w:val="20"/>
                <w:szCs w:val="20"/>
              </w:rPr>
              <w:t xml:space="preserve">Prepared by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Sumit Kukreja, PV Advisory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40"/>
              <w:left w:type="dxa" w:w="220"/>
              <w:bottom w:type="dxa" w:w="240"/>
              <w:right w:type="dxa" w:w="160"/>
            </w:tcMar>
            <w:vAlign w:val="center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2E6DA4"/>
                <w:sz w:val="20"/>
                <w:szCs w:val="20"/>
              </w:rPr>
              <w:t xml:space="preserve">Overall Score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88"/>
                <w:szCs w:val="88"/>
              </w:rPr>
              <w:t xml:space="preserve">78</w:t>
            </w:r>
            <w:r>
              <w:rPr>
                <w:rFonts w:ascii="Arial" w:cs="Arial" w:eastAsia="Arial" w:hAnsi="Arial"/>
                <w:color w:val="2E6DA4"/>
                <w:sz w:val="36"/>
                <w:szCs w:val="36"/>
              </w:rPr>
              <w:t xml:space="preserve"> / 150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4"/>
                <w:szCs w:val="24"/>
              </w:rPr>
              <w:t xml:space="preserve">Level 3  —  Basic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2C2A"/>
                <w:sz w:val="19"/>
                <w:szCs w:val="19"/>
              </w:rPr>
              <w:t xml:space="preserve">Structure exists but is inconsistent. Process and technology investment needed.</w:t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F6F"/>
                <w:sz w:val="20"/>
                <w:szCs w:val="20"/>
              </w:rPr>
              <w:t xml:space="preserve">Dimension Scores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Control &amp; Governance    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12/25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Visibility              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16/25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Process                 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14/25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Technology              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10/25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People                  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15/25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Strategy                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11/25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CONFIDENTIAL  —  This report has been prepared exclusively for Arora Consumer Brands Pvt. Ltd. by PV Advisory. It is based on the self-assessment responses provided and should not be shared externally without prior consent.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F6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Executive Summary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PV Advisory conducted a CFO Health Score assessment for Arora Consumer Brands Pvt. Ltd. in April 2026. The assessment evaluated the finance function across six dimensions: Control &amp; Governance, Visibility, Process, Technology, People and Strategy. The responses below reflect the self-assessment completed by the leadership team.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3F6F"/>
          <w:sz w:val="26"/>
          <w:szCs w:val="26"/>
        </w:rPr>
        <w:t xml:space="preserve">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8"/>
                <w:szCs w:val="28"/>
              </w:rPr>
              <w:t xml:space="preserve">!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Technology gap is the biggest constraint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At 10/25, the technology score is the lowest across all six dimensions. Manual processes, poor system integration and spreadsheet dependency are slowing down the finance function and creating error risk.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8"/>
                <w:szCs w:val="28"/>
              </w:rPr>
              <w:t xml:space="preserve">!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Control gaps create real organisational risk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 score of 12/25 on Control &amp; Governance signals exposure. Segregation of duties is incomplete, approval processes are informal, and key-person dependency remains high. One resignation away from a problem.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8"/>
                <w:szCs w:val="28"/>
              </w:rPr>
              <w:t xml:space="preserve">!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Strategy is being left on the table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At 11/25 on Strategy, finance is still operating as a back-office function. It is not consistently informing pricing, hiring or expansion decisions, and working capital is managed reactively.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3F6F"/>
          <w:sz w:val="26"/>
          <w:szCs w:val="26"/>
        </w:rPr>
        <w:t xml:space="preserve">Immediate Priorities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Formalise approval matrices and segregation of duties within 30 days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Integrate core systems — accounting, payroll, billing — and reduce manual entry by 50%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Establish a monthly MIS and cash flow review process with the leadership team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F6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Score Dashboard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Your finance function scored 78 out of 150 across six dimensions. The table below shows where you are strong and where the gaps are most significant.</w:t>
      </w:r>
    </w:p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1200"/>
        <w:gridCol w:w="1560"/>
      </w:tblGrid>
      <w:tr>
        <w:trPr>
          <w:tblHeader/>
        </w:trPr>
        <w:tc>
          <w:tcPr>
            <w:tcW w:type="dxa" w:w="3200"/>
            <w:tcBorders>
              <w:top w:val="single" w:color="1A3F6F" w:sz="2"/>
              <w:left w:val="single" w:color="1A3F6F" w:sz="2"/>
              <w:bottom w:val="single" w:color="1A3F6F" w:sz="2"/>
              <w:right w:val="single" w:color="1A3F6F" w:sz="2"/>
            </w:tcBorders>
            <w:shd w:fill="1A3F6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400"/>
            <w:tcBorders>
              <w:top w:val="single" w:color="1A3F6F" w:sz="2"/>
              <w:left w:val="single" w:color="1A3F6F" w:sz="2"/>
              <w:bottom w:val="single" w:color="1A3F6F" w:sz="2"/>
              <w:right w:val="single" w:color="1A3F6F" w:sz="2"/>
            </w:tcBorders>
            <w:shd w:fill="1A3F6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Bar</w:t>
            </w:r>
          </w:p>
        </w:tc>
        <w:tc>
          <w:tcPr>
            <w:tcW w:type="dxa" w:w="1200"/>
            <w:tcBorders>
              <w:top w:val="single" w:color="1A3F6F" w:sz="2"/>
              <w:left w:val="single" w:color="1A3F6F" w:sz="2"/>
              <w:bottom w:val="single" w:color="1A3F6F" w:sz="2"/>
              <w:right w:val="single" w:color="1A3F6F" w:sz="2"/>
            </w:tcBorders>
            <w:shd w:fill="1A3F6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1A3F6F" w:sz="2"/>
              <w:left w:val="single" w:color="1A3F6F" w:sz="2"/>
              <w:bottom w:val="single" w:color="1A3F6F" w:sz="2"/>
              <w:right w:val="single" w:color="1A3F6F" w:sz="2"/>
            </w:tcBorders>
            <w:shd w:fill="1A3F6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Control &amp; Governance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854F0B"/>
                <w:sz w:val="15"/>
                <w:szCs w:val="15"/>
              </w:rPr>
              <w:t xml:space="preserve">██████████░░░░░░░░░░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12/25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7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Needs 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14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Visibility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F6E56"/>
                <w:sz w:val="15"/>
                <w:szCs w:val="15"/>
              </w:rPr>
              <w:t xml:space="preserve">█████████████░░░░░░░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16/25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8" w:val="clear"/>
            <w:tcMar>
              <w:top w:type="dxa" w:w="120"/>
              <w:left w:type="dxa" w:w="14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Process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854F0B"/>
                <w:sz w:val="15"/>
                <w:szCs w:val="15"/>
              </w:rPr>
              <w:t xml:space="preserve">███████████░░░░░░░░░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14/25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7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Needs 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7" w:val="clear"/>
            <w:tcMar>
              <w:top w:type="dxa" w:w="120"/>
              <w:left w:type="dxa" w:w="14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854F0B"/>
                <w:sz w:val="15"/>
                <w:szCs w:val="15"/>
              </w:rPr>
              <w:t xml:space="preserve">████████░░░░░░░░░░░░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10/25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7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Needs 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14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People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F6E56"/>
                <w:sz w:val="15"/>
                <w:szCs w:val="15"/>
              </w:rPr>
              <w:t xml:space="preserve">████████████░░░░░░░░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15/25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20"/>
              <w:left w:type="dxa" w:w="14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Strategy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854F0B"/>
                <w:sz w:val="15"/>
                <w:szCs w:val="15"/>
              </w:rPr>
              <w:t xml:space="preserve">█████████░░░░░░░░░░░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11/25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7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Needs Work</w:t>
            </w:r>
          </w:p>
        </w:tc>
      </w:tr>
      <w:tr>
        <w:tc>
          <w:tcPr>
            <w:tcW w:type="dxa" w:w="3200"/>
            <w:tcBorders>
              <w:top w:val="single" w:color="1A3F6F" w:sz="2"/>
              <w:left w:val="single" w:color="1A3F6F" w:sz="2"/>
              <w:bottom w:val="single" w:color="1A3F6F" w:sz="2"/>
              <w:right w:val="single" w:color="1A3F6F" w:sz="2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Total Score</w:t>
            </w:r>
          </w:p>
        </w:tc>
        <w:tc>
          <w:tcPr>
            <w:tcW w:type="dxa" w:w="3400"/>
            <w:tcBorders>
              <w:top w:val="single" w:color="1A3F6F" w:sz="2"/>
              <w:left w:val="single" w:color="1A3F6F" w:sz="2"/>
              <w:bottom w:val="single" w:color="1A3F6F" w:sz="2"/>
              <w:right w:val="single" w:color="1A3F6F" w:sz="2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Level 3 — Basic</w:t>
            </w:r>
          </w:p>
        </w:tc>
        <w:tc>
          <w:tcPr>
            <w:tcW w:type="dxa" w:w="1200"/>
            <w:tcBorders>
              <w:top w:val="single" w:color="1A3F6F" w:sz="2"/>
              <w:left w:val="single" w:color="1A3F6F" w:sz="2"/>
              <w:bottom w:val="single" w:color="1A3F6F" w:sz="2"/>
              <w:right w:val="single" w:color="1A3F6F" w:sz="2"/>
            </w:tcBorders>
            <w:shd w:fill="D6E4F0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78/150</w:t>
            </w:r>
          </w:p>
        </w:tc>
        <w:tc>
          <w:tcPr>
            <w:tcW w:type="dxa" w:w="1560"/>
            <w:tcBorders>
              <w:top w:val="single" w:color="1A3F6F" w:sz="2"/>
              <w:left w:val="single" w:color="1A3F6F" w:sz="2"/>
              <w:bottom w:val="single" w:color="1A3F6F" w:sz="2"/>
              <w:right w:val="single" w:color="1A3F6F" w:sz="2"/>
            </w:tcBorders>
            <w:shd w:fill="D6E4F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52%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20"/>
              <w:bottom w:type="dxa" w:w="16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30"/>
                <w:szCs w:val="30"/>
              </w:rPr>
              <w:t xml:space="preserve">Section 1  |  Control &amp; Governance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7" w:val="clear"/>
            <w:tcMar>
              <w:top w:type="dxa" w:w="100"/>
              <w:left w:type="dxa" w:w="100"/>
              <w:bottom w:type="dxa" w:w="10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52"/>
                <w:szCs w:val="52"/>
              </w:rPr>
              <w:t xml:space="preserve">12</w:t>
            </w:r>
            <w:r>
              <w:rPr>
                <w:rFonts w:ascii="Arial" w:cs="Arial" w:eastAsia="Arial" w:hAnsi="Arial"/>
                <w:color w:val="854F0B"/>
                <w:sz w:val="24"/>
                <w:szCs w:val="24"/>
              </w:rPr>
              <w:t xml:space="preserve"> / 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Needs Work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Score  </w:t>
            </w:r>
            <w:r>
              <w:rPr>
                <w:rFonts w:ascii="Arial" w:cs="Arial" w:eastAsia="Arial" w:hAnsi="Arial"/>
                <w:color w:val="854F0B"/>
                <w:sz w:val="14"/>
                <w:szCs w:val="14"/>
              </w:rPr>
              <w:t xml:space="preserve">██████████░░░░░░░░░░</w:t>
            </w: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  48%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3F6F"/>
                <w:sz w:val="21"/>
                <w:szCs w:val="21"/>
              </w:rPr>
              <w:t xml:space="preserve">Observations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→  Approval matrices exist informally but are not written down or consistently followed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→  The finance lead is a single point of failure — banking, entries and reporting all pass through one person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→  Audit trails are partial; several transactions cannot be reconstructed without asking the person who processed them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→  Statutory compliance is current but managed reactively rather than through a structured calendar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60"/>
              <w:left w:type="dxa" w:w="18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1"/>
                <w:szCs w:val="21"/>
              </w:rPr>
              <w:t xml:space="preserve">Risk if Unaddressed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⚑  One resignation creates an operational crisis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⚑  Fraud or error risk from unchecked access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⚑  Regulatory penalties from compliance gaps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Recommended Actions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Document approval matrix and circulate within 30 days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Separate banking access from data entry and reporting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Build a statutory compliance calendar with ownership against each item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220"/>
              <w:bottom w:type="dxa" w:w="16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30"/>
                <w:szCs w:val="30"/>
              </w:rPr>
              <w:t xml:space="preserve">Section 2  |  Visibility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8" w:val="clear"/>
            <w:tcMar>
              <w:top w:type="dxa" w:w="100"/>
              <w:left w:type="dxa" w:w="100"/>
              <w:bottom w:type="dxa" w:w="10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52"/>
                <w:szCs w:val="52"/>
              </w:rPr>
              <w:t xml:space="preserve">16</w:t>
            </w: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 / 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Good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Score  </w:t>
            </w:r>
            <w:r>
              <w:rPr>
                <w:rFonts w:ascii="Arial" w:cs="Arial" w:eastAsia="Arial" w:hAnsi="Arial"/>
                <w:color w:val="0F6E56"/>
                <w:sz w:val="14"/>
                <w:szCs w:val="14"/>
              </w:rPr>
              <w:t xml:space="preserve">█████████████░░░░░░░</w:t>
            </w: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  64%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3F6F"/>
                <w:sz w:val="21"/>
                <w:szCs w:val="21"/>
              </w:rPr>
              <w:t xml:space="preserve">Observations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→  MIS reports are available but typically land between day 12 and day 18 — too late for fast decisions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→  Cash position is visible but receivables ageing and payables position require manual compilation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→  Revenue is tracked at the business level but not broken down by product, customer or geography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→  No rolling cash flow forecast exists — planning is done on a quarterly basis at best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60"/>
              <w:left w:type="dxa" w:w="18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1"/>
                <w:szCs w:val="21"/>
              </w:rPr>
              <w:t xml:space="preserve">Risk if Unaddressed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⚑  Late MIS means decisions made on stale data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⚑  Receivables not monitored — working capital at risk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⚑  No early warning system for cash shortfalls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Recommended Actions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Set a hard MIS deadline of day 10 and assign ownership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Build a receivables ageing dashboard updated weekly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Introduce a 13-week cash flow tracker — even a structured spreadsheet is a start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8" w:val="clear"/>
            <w:tcMar>
              <w:top w:type="dxa" w:w="160"/>
              <w:left w:type="dxa" w:w="220"/>
              <w:bottom w:type="dxa" w:w="16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30"/>
                <w:szCs w:val="30"/>
              </w:rPr>
              <w:t xml:space="preserve">Section 3  |  Process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7" w:val="clear"/>
            <w:tcMar>
              <w:top w:type="dxa" w:w="100"/>
              <w:left w:type="dxa" w:w="100"/>
              <w:bottom w:type="dxa" w:w="10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52"/>
                <w:szCs w:val="52"/>
              </w:rPr>
              <w:t xml:space="preserve">14</w:t>
            </w:r>
            <w:r>
              <w:rPr>
                <w:rFonts w:ascii="Arial" w:cs="Arial" w:eastAsia="Arial" w:hAnsi="Arial"/>
                <w:color w:val="854F0B"/>
                <w:sz w:val="24"/>
                <w:szCs w:val="24"/>
              </w:rPr>
              <w:t xml:space="preserve"> / 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Needs Work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Score  </w:t>
            </w:r>
            <w:r>
              <w:rPr>
                <w:rFonts w:ascii="Arial" w:cs="Arial" w:eastAsia="Arial" w:hAnsi="Arial"/>
                <w:color w:val="854F0B"/>
                <w:sz w:val="14"/>
                <w:szCs w:val="14"/>
              </w:rPr>
              <w:t xml:space="preserve">███████████░░░░░░░░░</w:t>
            </w: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  56%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3F6F"/>
                <w:sz w:val="21"/>
                <w:szCs w:val="21"/>
              </w:rPr>
              <w:t xml:space="preserve">Observations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→  Month-end close happens but follows no documented checklist — sequence varies every month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→  Reconciliations are done when time allows, not on a fixed schedule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→  Vendor onboarding and collections are handled informally — no standard process or templates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→  Budgeting happens annually but is rarely referenced or updated during the year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60"/>
              <w:left w:type="dxa" w:w="18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1"/>
                <w:szCs w:val="21"/>
              </w:rPr>
              <w:t xml:space="preserve">Risk if Unaddressed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⚑  Inconsistent close creates unreliable numbers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⚑  Unreconciled accounts hide errors for months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⚑  Collections left informal — cash impact is significant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Recommended Actions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Build a month-end checklist with day-by-day milestones and task owners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Set a fixed weekly reconciliation schedule and assign ownership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Standardise vendor onboarding with a template and KYC checklist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7" w:val="clear"/>
            <w:tcMar>
              <w:top w:type="dxa" w:w="160"/>
              <w:left w:type="dxa" w:w="220"/>
              <w:bottom w:type="dxa" w:w="16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30"/>
                <w:szCs w:val="30"/>
              </w:rPr>
              <w:t xml:space="preserve">Section 4  |  Technology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7" w:val="clear"/>
            <w:tcMar>
              <w:top w:type="dxa" w:w="100"/>
              <w:left w:type="dxa" w:w="100"/>
              <w:bottom w:type="dxa" w:w="10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52"/>
                <w:szCs w:val="52"/>
              </w:rPr>
              <w:t xml:space="preserve">10</w:t>
            </w:r>
            <w:r>
              <w:rPr>
                <w:rFonts w:ascii="Arial" w:cs="Arial" w:eastAsia="Arial" w:hAnsi="Arial"/>
                <w:color w:val="854F0B"/>
                <w:sz w:val="24"/>
                <w:szCs w:val="24"/>
              </w:rPr>
              <w:t xml:space="preserve"> / 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Needs Work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Score  </w:t>
            </w:r>
            <w:r>
              <w:rPr>
                <w:rFonts w:ascii="Arial" w:cs="Arial" w:eastAsia="Arial" w:hAnsi="Arial"/>
                <w:color w:val="854F0B"/>
                <w:sz w:val="14"/>
                <w:szCs w:val="14"/>
              </w:rPr>
              <w:t xml:space="preserve">████████░░░░░░░░░░░░</w:t>
            </w: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  40%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3F6F"/>
                <w:sz w:val="21"/>
                <w:szCs w:val="21"/>
              </w:rPr>
              <w:t xml:space="preserve">Observations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→  Accounting software is in use but billing, payroll and banking are disconnected — data is re-entered manually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→  Approximately 35–40% of finance team time is estimated to go into manual data handling and reconciliation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→  No live dashboard exists — the leadership team relies on emailed Excel reports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→  The ERP has capabilities that are turned off or unused — only the core ledger is active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60"/>
              <w:left w:type="dxa" w:w="18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1"/>
                <w:szCs w:val="21"/>
              </w:rPr>
              <w:t xml:space="preserve">Risk if Unaddressed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⚑  Manual entry is the biggest source of errors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⚑  No real-time visibility for leadership decisions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⚑  Significant hidden cost in finance team hours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Recommended Actions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Integrate billing output directly into the accounting system — this alone removes 30% of manual work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Activate bank reconciliation auto-matching in the current ERP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Build a simple MIS dashboard in Excel or Google Sheets as an interim step while systems are integrated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60"/>
              <w:left w:type="dxa" w:w="220"/>
              <w:bottom w:type="dxa" w:w="16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30"/>
                <w:szCs w:val="30"/>
              </w:rPr>
              <w:t xml:space="preserve">Section 5  |  People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8" w:val="clear"/>
            <w:tcMar>
              <w:top w:type="dxa" w:w="100"/>
              <w:left w:type="dxa" w:w="100"/>
              <w:bottom w:type="dxa" w:w="10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52"/>
                <w:szCs w:val="52"/>
              </w:rPr>
              <w:t xml:space="preserve">15</w:t>
            </w: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 / 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Good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Score  </w:t>
            </w:r>
            <w:r>
              <w:rPr>
                <w:rFonts w:ascii="Arial" w:cs="Arial" w:eastAsia="Arial" w:hAnsi="Arial"/>
                <w:color w:val="0F6E56"/>
                <w:sz w:val="14"/>
                <w:szCs w:val="14"/>
              </w:rPr>
              <w:t xml:space="preserve">████████████░░░░░░░░</w:t>
            </w: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  60%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3F6F"/>
                <w:sz w:val="21"/>
                <w:szCs w:val="21"/>
              </w:rPr>
              <w:t xml:space="preserve">Observations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→  The finance team is capable and committed — they understand the business well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→  Roles exist in practice but are not written down; responsibilities shift based on workload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→  There is no formal backup for the finance lead or the accounts executive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→  Team performance is assessed informally — no structured review process or outcome-based KPIs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60"/>
              <w:left w:type="dxa" w:w="18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1"/>
                <w:szCs w:val="21"/>
              </w:rPr>
              <w:t xml:space="preserve">Risk if Unaddressed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⚑  Key-person dependency is the biggest organisational risk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⚑  Ambiguous roles create duplication and gaps simultaneously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⚑  No framework to assess or reward finance performance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Recommended Actions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Define written role descriptions with clear accountability for outcomes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Identify a cross-trained backup for the top two critical finance roles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Introduce quarterly finance reviews with measurable KPIs for the team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60"/>
              <w:left w:type="dxa" w:w="220"/>
              <w:bottom w:type="dxa" w:w="16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30"/>
                <w:szCs w:val="30"/>
              </w:rPr>
              <w:t xml:space="preserve">Section 6  |  Strategy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7" w:val="clear"/>
            <w:tcMar>
              <w:top w:type="dxa" w:w="100"/>
              <w:left w:type="dxa" w:w="100"/>
              <w:bottom w:type="dxa" w:w="10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52"/>
                <w:szCs w:val="52"/>
              </w:rPr>
              <w:t xml:space="preserve">11</w:t>
            </w:r>
            <w:r>
              <w:rPr>
                <w:rFonts w:ascii="Arial" w:cs="Arial" w:eastAsia="Arial" w:hAnsi="Arial"/>
                <w:color w:val="854F0B"/>
                <w:sz w:val="24"/>
                <w:szCs w:val="24"/>
              </w:rPr>
              <w:t xml:space="preserve"> / 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Needs Work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Score  </w:t>
            </w:r>
            <w:r>
              <w:rPr>
                <w:rFonts w:ascii="Arial" w:cs="Arial" w:eastAsia="Arial" w:hAnsi="Arial"/>
                <w:color w:val="854F0B"/>
                <w:sz w:val="14"/>
                <w:szCs w:val="14"/>
              </w:rPr>
              <w:t xml:space="preserve">█████████░░░░░░░░░░░</w:t>
            </w: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  44%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3F6F"/>
                <w:sz w:val="21"/>
                <w:szCs w:val="21"/>
              </w:rPr>
              <w:t xml:space="preserve">Observations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→  Finance is not consistently in the room for pricing or hiring decisions — involvement is ad hoc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→  Growth planning is led by the founders with limited financial modelling to validate assumptions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→  Working capital is managed reactively — collections happen after cash pressure, not before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→  Profitability is tracked at the business level only; product or customer-level margins are unknown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60"/>
              <w:left w:type="dxa" w:w="18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1"/>
                <w:szCs w:val="21"/>
              </w:rPr>
              <w:t xml:space="preserve">Risk if Unaddressed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⚑  Pricing decisions made without margin clarity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⚑  Growth investment not stress-tested financially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⚑  Cash flow surprises due to poor working capital management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Recommended Actions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Include finance in the next pricing or hiring discussion — start with one meeting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Build a product-level contribution margin view within the next 60 days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Set a working capital review as a standing agenda item in monthly leadership meetings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F6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90-Day Transformation Roadmap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The following roadmap is designed to move Arora Consumer Brands Pvt. Ltd. from Level 3 (Basic) toward Level 4 (Managed) within 90 days. Each phase builds on the previous and is sequenced to address the highest-risk items first.</w:t>
      </w:r>
    </w:p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40"/>
              <w:left w:type="dxa" w:w="160"/>
              <w:bottom w:type="dxa" w:w="14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993C1D"/>
                <w:sz w:val="17"/>
                <w:szCs w:val="17"/>
              </w:rPr>
              <w:t xml:space="preserve">Days 1 – 30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4"/>
                <w:szCs w:val="24"/>
              </w:rPr>
              <w:t xml:space="preserve">Stabilise Controls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→  Document and circulate the approval matrix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→  Separate banking access from data entry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→  Build a statutory compliance calendar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→  Define written role descriptions for all finance roles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→  Identify and begin cross-training backup personnel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7" w:val="clear"/>
            <w:tcMar>
              <w:top w:type="dxa" w:w="140"/>
              <w:left w:type="dxa" w:w="160"/>
              <w:bottom w:type="dxa" w:w="14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854F0B"/>
                <w:sz w:val="17"/>
                <w:szCs w:val="17"/>
              </w:rPr>
              <w:t xml:space="preserve">Days 31 – 60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Build Visibility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→  Set hard MIS deadline of day 10 with a named owner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→  Introduce month-end close checklist with daily milestones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→  Build a receivables ageing dashboard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→  Launch a 13-week cash flow tracker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→  Integrate billing output into the accounting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40"/>
              <w:left w:type="dxa" w:w="160"/>
              <w:bottom w:type="dxa" w:w="14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B6D11"/>
                <w:sz w:val="17"/>
                <w:szCs w:val="17"/>
              </w:rPr>
              <w:t xml:space="preserve">Days 61 – 90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4"/>
                <w:szCs w:val="24"/>
              </w:rPr>
              <w:t xml:space="preserve">Enable Strategy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→  Build product-level contribution margin 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→  Activate ERP bank reconciliation auto-matching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→  Add working capital review to monthly leadership agenda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→  Introduce a quarterly finance team performance review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→  Begin planning Phase 2: full system integration and automation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F6F"/>
                <w:sz w:val="22"/>
                <w:szCs w:val="22"/>
              </w:rPr>
              <w:t xml:space="preserve">After the 90-day sprint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Once the foundation is stable, PV Advisory will conduct a second CFO Health Score assessment to measure progress. The Phase 2 engagement covers full system integration, automated reporting, and positioning finance as an active strategic partner to the leadership team. The goal is Level 5 — Strategic — within 12 to 18 months.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F6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Next Steps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6"/>
                <w:szCs w:val="26"/>
              </w:rPr>
              <w:t xml:space="preserve">1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Review this report with your team</w:t>
            </w:r>
          </w:p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Share the findings with your finance lead and operations team. Confirm the observations are accurate and adjust priorities if needed.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6"/>
                <w:szCs w:val="26"/>
              </w:rPr>
              <w:t xml:space="preserve">2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Confirm the 90-day roadmap</w:t>
            </w:r>
          </w:p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Book a follow-up call with PV Advisory to walk through the roadmap, assign internal owners to each initiative and agree on check-in milestones.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6"/>
                <w:szCs w:val="26"/>
              </w:rPr>
              <w:t xml:space="preserve">3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Begin the stabilisation phase</w:t>
            </w:r>
          </w:p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Start with the approval matrix and role documentation. These cost nothing and reduce the two most immediate risks within the first 30 days.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6"/>
                <w:szCs w:val="26"/>
              </w:rPr>
              <w:t xml:space="preserve">4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Schedule the follow-up assessment</w:t>
            </w:r>
          </w:p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Set a date 90 days from today for a second CFO Health Score to measure progress. The score will also form the basis for the Phase 2 scope.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6F" w:sz="8"/>
              <w:left w:val="none" w:color="FFFFFF" w:sz="0"/>
              <w:bottom w:val="none" w:color="FFFFFF" w:sz="0"/>
              <w:right w:val="none" w:color="FFFFFF" w:sz="0"/>
            </w:tcBorders>
            <w:shd w:fill="EEF5FB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F6F"/>
                <w:sz w:val="24"/>
                <w:szCs w:val="24"/>
              </w:rPr>
              <w:t xml:space="preserve">About PV Advisory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PV Advisory is a Finance Transformation and Virtual CFO firm built by Ex-Big 4 professionals with 17+ years of cross-border experience across India, UAE, Singapore, SE Asia, the EU and Australia. We help SMEs and growth-stage businesses build finance functions that are controlled, visible, efficient and strategic — without the Big 4 price tag.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Sumit Kukreja  ·  Founder &amp; Managing Partner  ·  </w:t>
            </w:r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@uncutwithsumit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pv-advisory.com  |  Available across India, UAE, Singapore and SE Asia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spacing w:after="0" w:before="80"/>
    </w:pPr>
    <w:r>
      <w:rPr>
        <w:rFonts w:ascii="Arial" w:cs="Arial" w:eastAsia="Arial" w:hAnsi="Arial"/>
        <w:color w:val="5F5E5A"/>
        <w:sz w:val="16"/>
        <w:szCs w:val="16"/>
      </w:rPr>
      <w:t xml:space="preserve">Confidential  |  Prepared by PV Advisory  |  pv-advisory.com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F6F" w:sz="4" w:space="4"/>
      </w:pBdr>
      <w:spacing w:after="80" w:before="0"/>
    </w:pPr>
    <w:r>
      <w:rPr>
        <w:rFonts w:ascii="Arial" w:cs="Arial" w:eastAsia="Arial" w:hAnsi="Arial"/>
        <w:b/>
        <w:bCs/>
        <w:color w:val="1A3F6F"/>
        <w:sz w:val="17"/>
        <w:szCs w:val="17"/>
      </w:rPr>
      <w:t xml:space="preserve">PV CFO Health Score Report  |  </w:t>
    </w:r>
    <w:r>
      <w:rPr>
        <w:rFonts w:ascii="Arial" w:cs="Arial" w:eastAsia="Arial" w:hAnsi="Arial"/>
        <w:color w:val="5F5E5A"/>
        <w:sz w:val="17"/>
        <w:szCs w:val="17"/>
      </w:rPr>
      <w:t xml:space="preserve">Arora Consumer Brands Pvt. Ltd.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2026-04-28T05:26:56.354Z</dcterms:created>
  <dcterms:modified xsi:type="dcterms:W3CDTF">2026-04-28T05:26:56.355Z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