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5"/>
        <w:jc w:val="center"/>
      </w:pPr>
      <w:r>
        <w:rPr>
          <w:color w:val="52514E"/>
          <w:sz w:val="22"/>
          <w:szCs w:val="22"/>
        </w:rPr>
        <w:t xml:space="preserve">Amalgam Hackathon — Round 3 Report</w:t>
      </w:r>
    </w:p>
    <w:p>
      <w:pPr>
        <w:spacing w:after="55"/>
        <w:jc w:val="center"/>
      </w:pPr>
      <w:r>
        <w:rPr>
          <w:b/>
          <w:bCs/>
          <w:color w:val="0B0B0B"/>
          <w:sz w:val="38"/>
          <w:szCs w:val="38"/>
        </w:rPr>
        <w:t xml:space="preserve">One Encoder for Shared Physics</w:t>
      </w:r>
    </w:p>
    <w:p>
      <w:pPr>
        <w:spacing w:after="150"/>
        <w:jc w:val="center"/>
      </w:pPr>
      <w:r>
        <w:rPr>
          <w:color w:val="52514E"/>
          <w:sz w:val="21"/>
          <w:szCs w:val="21"/>
        </w:rPr>
        <w:t xml:space="preserve">Multi-task learning across correlated polymer properties, with measured representation invariance</w:t>
      </w:r>
    </w:p>
    <w:tbl>
      <w:tblPr>
        <w:tblW w:type="dxa" w:w="9300"/>
        <w:tblBorders>
          <w:top w:val="single" w:color="C9C8C2" w:sz="4"/>
          <w:left w:val="none"/>
          <w:bottom w:val="single" w:color="C9C8C2" w:sz="4"/>
          <w:right w:val="none"/>
          <w:insideH w:val="single" w:color="E3E2DC" w:sz="2"/>
          <w:insideV w:val="none"/>
        </w:tblBorders>
      </w:tblPr>
      <w:tblGrid>
        <w:gridCol w:w="2300"/>
        <w:gridCol w:w="7000"/>
      </w:tblGrid>
      <w:tr>
        <w:tc>
          <w:tcPr>
            <w:tcW w:type="dxa" w:w="2300"/>
            <w:shd w:fill="F3F2EE" w:color="auto" w:val="clear"/>
            <w:tcMar>
              <w:top w:type="dxa" w:w="45"/>
              <w:left w:type="dxa" w:w="85"/>
              <w:bottom w:type="dxa" w:w="45"/>
              <w:right w:type="dxa" w:w="85"/>
            </w:tcMar>
          </w:tcPr>
          <w:p>
            <w:pPr>
              <w:spacing w:after="0"/>
            </w:pPr>
            <w:r>
              <w:rPr>
                <w:b/>
                <w:bCs/>
                <w:color w:val="0B0B0B"/>
                <w:sz w:val="17"/>
                <w:szCs w:val="17"/>
              </w:rPr>
              <w:t xml:space="preserve">Field</w:t>
            </w:r>
          </w:p>
        </w:tc>
        <w:tc>
          <w:tcPr>
            <w:tcW w:type="dxa" w:w="7000"/>
            <w:shd w:fill="F3F2EE" w:color="auto" w:val="clear"/>
            <w:tcMar>
              <w:top w:type="dxa" w:w="45"/>
              <w:left w:type="dxa" w:w="85"/>
              <w:bottom w:type="dxa" w:w="45"/>
              <w:right w:type="dxa" w:w="85"/>
            </w:tcMar>
          </w:tcPr>
          <w:p>
            <w:pPr>
              <w:spacing w:after="0"/>
            </w:pPr>
            <w:r>
              <w:rPr>
                <w:b/>
                <w:bCs/>
                <w:color w:val="0B0B0B"/>
                <w:sz w:val="17"/>
                <w:szCs w:val="17"/>
              </w:rPr>
              <w:t xml:space="preserve">Value</w:t>
            </w:r>
          </w:p>
        </w:tc>
      </w:tr>
      <w:tr>
        <w:tc>
          <w:tcPr>
            <w:tcW w:type="dxa" w:w="2300"/>
            <w:tcMar>
              <w:top w:type="dxa" w:w="45"/>
              <w:left w:type="dxa" w:w="85"/>
              <w:bottom w:type="dxa" w:w="45"/>
              <w:right w:type="dxa" w:w="85"/>
            </w:tcMar>
          </w:tcPr>
          <w:p>
            <w:pPr>
              <w:spacing w:after="0"/>
            </w:pPr>
            <w:r>
              <w:rPr>
                <w:b w:val="false"/>
                <w:bCs w:val="false"/>
                <w:color w:val="0B0B0B"/>
                <w:sz w:val="17"/>
                <w:szCs w:val="17"/>
              </w:rPr>
              <w:t xml:space="preserve">Project Title</w:t>
            </w:r>
          </w:p>
        </w:tc>
        <w:tc>
          <w:tcPr>
            <w:tcW w:type="dxa" w:w="7000"/>
            <w:tcMar>
              <w:top w:type="dxa" w:w="45"/>
              <w:left w:type="dxa" w:w="85"/>
              <w:bottom w:type="dxa" w:w="45"/>
              <w:right w:type="dxa" w:w="85"/>
            </w:tcMar>
          </w:tcPr>
          <w:p>
            <w:pPr>
              <w:spacing w:after="0"/>
            </w:pPr>
            <w:r>
              <w:rPr>
                <w:b w:val="false"/>
                <w:bCs w:val="false"/>
                <w:color w:val="0B0B0B"/>
                <w:sz w:val="17"/>
                <w:szCs w:val="17"/>
              </w:rPr>
              <w:t xml:space="preserve">One Encoder for Shared Physics: Multi-Task Polymer Property Prediction</w:t>
            </w:r>
          </w:p>
        </w:tc>
      </w:tr>
      <w:tr>
        <w:tc>
          <w:tcPr>
            <w:tcW w:type="dxa" w:w="2300"/>
            <w:tcMar>
              <w:top w:type="dxa" w:w="45"/>
              <w:left w:type="dxa" w:w="85"/>
              <w:bottom w:type="dxa" w:w="45"/>
              <w:right w:type="dxa" w:w="85"/>
            </w:tcMar>
          </w:tcPr>
          <w:p>
            <w:pPr>
              <w:spacing w:after="0"/>
            </w:pPr>
            <w:r>
              <w:rPr>
                <w:b w:val="false"/>
                <w:bCs w:val="false"/>
                <w:color w:val="0B0B0B"/>
                <w:sz w:val="17"/>
                <w:szCs w:val="17"/>
              </w:rPr>
              <w:t xml:space="preserve">Team Name</w:t>
            </w:r>
          </w:p>
        </w:tc>
        <w:tc>
          <w:tcPr>
            <w:tcW w:type="dxa" w:w="7000"/>
            <w:tcMar>
              <w:top w:type="dxa" w:w="45"/>
              <w:left w:type="dxa" w:w="85"/>
              <w:bottom w:type="dxa" w:w="45"/>
              <w:right w:type="dxa" w:w="85"/>
            </w:tcMar>
          </w:tcPr>
          <w:p>
            <w:pPr>
              <w:spacing w:after="0"/>
            </w:pPr>
            <w:r>
              <w:rPr>
                <w:b w:val="false"/>
                <w:bCs w:val="false"/>
                <w:color w:val="0B0B0B"/>
                <w:sz w:val="17"/>
                <w:szCs w:val="17"/>
              </w:rPr>
              <w:t xml:space="preserve">NeonNull</w:t>
            </w:r>
          </w:p>
        </w:tc>
      </w:tr>
      <w:tr>
        <w:tc>
          <w:tcPr>
            <w:tcW w:type="dxa" w:w="2300"/>
            <w:tcMar>
              <w:top w:type="dxa" w:w="45"/>
              <w:left w:type="dxa" w:w="85"/>
              <w:bottom w:type="dxa" w:w="45"/>
              <w:right w:type="dxa" w:w="85"/>
            </w:tcMar>
          </w:tcPr>
          <w:p>
            <w:pPr>
              <w:spacing w:after="0"/>
            </w:pPr>
            <w:r>
              <w:rPr>
                <w:b w:val="false"/>
                <w:bCs w:val="false"/>
                <w:color w:val="0B0B0B"/>
                <w:sz w:val="17"/>
                <w:szCs w:val="17"/>
              </w:rPr>
              <w:t xml:space="preserve">Primary Domain</w:t>
            </w:r>
          </w:p>
        </w:tc>
        <w:tc>
          <w:tcPr>
            <w:tcW w:type="dxa" w:w="7000"/>
            <w:tcMar>
              <w:top w:type="dxa" w:w="45"/>
              <w:left w:type="dxa" w:w="85"/>
              <w:bottom w:type="dxa" w:w="45"/>
              <w:right w:type="dxa" w:w="85"/>
            </w:tcMar>
          </w:tcPr>
          <w:p>
            <w:pPr>
              <w:spacing w:after="0"/>
            </w:pPr>
            <w:r>
              <w:rPr>
                <w:b w:val="false"/>
                <w:bCs w:val="false"/>
                <w:color w:val="0B0B0B"/>
                <w:sz w:val="17"/>
                <w:szCs w:val="17"/>
              </w:rPr>
              <w:t xml:space="preserve">Materials Science (polymer informatics)</w:t>
            </w:r>
          </w:p>
        </w:tc>
      </w:tr>
      <w:tr>
        <w:tc>
          <w:tcPr>
            <w:tcW w:type="dxa" w:w="2300"/>
            <w:tcMar>
              <w:top w:type="dxa" w:w="45"/>
              <w:left w:type="dxa" w:w="85"/>
              <w:bottom w:type="dxa" w:w="45"/>
              <w:right w:type="dxa" w:w="85"/>
            </w:tcMar>
          </w:tcPr>
          <w:p>
            <w:pPr>
              <w:spacing w:after="0"/>
            </w:pPr>
            <w:r>
              <w:rPr>
                <w:b w:val="false"/>
                <w:bCs w:val="false"/>
                <w:color w:val="0B0B0B"/>
                <w:sz w:val="17"/>
                <w:szCs w:val="17"/>
              </w:rPr>
              <w:t xml:space="preserve">Round 3 targets</w:t>
            </w:r>
          </w:p>
        </w:tc>
        <w:tc>
          <w:tcPr>
            <w:tcW w:type="dxa" w:w="7000"/>
            <w:tcMar>
              <w:top w:type="dxa" w:w="45"/>
              <w:left w:type="dxa" w:w="85"/>
              <w:bottom w:type="dxa" w:w="45"/>
              <w:right w:type="dxa" w:w="85"/>
            </w:tcMar>
          </w:tcPr>
          <w:p>
            <w:pPr>
              <w:spacing w:after="0"/>
            </w:pPr>
            <w:r>
              <w:rPr>
                <w:b w:val="false"/>
                <w:bCs w:val="false"/>
                <w:color w:val="0B0B0B"/>
                <w:sz w:val="17"/>
                <w:szCs w:val="17"/>
              </w:rPr>
              <w:t xml:space="preserve">Tg, Egc, Egb, Ei, Eea, EPS, Nc — mean R² across all seven</w:t>
            </w:r>
          </w:p>
        </w:tc>
      </w:tr>
    </w:tbl>
    <w:p>
      <w:pPr>
        <w:pStyle w:val="Heading1"/>
        <w:spacing w:after="70" w:before="230"/>
      </w:pPr>
      <w:r>
        <w:rPr>
          <w:b/>
          <w:bCs/>
          <w:color w:val="0B0B0B"/>
          <w:sz w:val="26"/>
          <w:szCs w:val="26"/>
        </w:rPr>
        <w:t xml:space="preserve">1. Proposed Strategy and Technical Novelty</w:t>
      </w:r>
    </w:p>
    <w:p>
      <w:pPr>
        <w:spacing w:after="100" w:line="276"/>
      </w:pPr>
      <w:r>
        <w:rPr>
          <w:b/>
          <w:bCs/>
          <w:color w:val="0B0B0B"/>
          <w:sz w:val="20"/>
          <w:szCs w:val="20"/>
        </w:rPr>
        <w:t xml:space="preserve">The central observation: six of the seven targets are the same physics measured six ways, and five of them are starved of data.</w:t>
      </w:r>
    </w:p>
    <w:p>
      <w:pPr>
        <w:spacing w:after="100" w:line="276"/>
      </w:pPr>
      <w:r>
        <w:rPr>
          <w:color w:val="0B0B0B"/>
          <w:sz w:val="20"/>
          <w:szCs w:val="20"/>
        </w:rPr>
        <w:t xml:space="preserve">Round 3 keeps the long format of Round 2 but adds five properties with roughly 220 training rows each. Because the metric is an unweighted mean of seven per-target R² values, those five carry 5/7 of the score while contributing 14% of the data. Fitting them independently is hopeless: a per-target LightGBM reaches R² 0.75 on the dielectric constant. Our approach is built entirely around that imbalance.</w:t>
      </w:r>
    </w:p>
    <w:p>
      <w:pPr>
        <w:pStyle w:val="Heading2"/>
        <w:spacing w:after="55" w:before="150"/>
      </w:pPr>
      <w:r>
        <w:rPr>
          <w:b/>
          <w:bCs/>
          <w:color w:val="EB6834"/>
          <w:sz w:val="22"/>
          <w:szCs w:val="22"/>
        </w:rPr>
        <w:t xml:space="preserve">Novel contribution: a physically motivated multi-task cluster</w:t>
      </w:r>
    </w:p>
    <w:p>
      <w:pPr>
        <w:spacing w:after="100" w:line="276"/>
      </w:pPr>
      <w:r>
        <w:rPr>
          <w:color w:val="0B0B0B"/>
          <w:sz w:val="20"/>
          <w:szCs w:val="20"/>
        </w:rPr>
        <w:t xml:space="preserve">Before training anything we measured how the targets relate on the 415 molecules carrying more than one label. The structure is unambiguous: chain and bulk band gap correlate +0.93, dielectric constant and refractive index +0.92 (the textbook n² ≈ ε relation), and chain band gap against refractive index −0.85. Every one of these is a frontier-orbital quantity. Glass transition, a thermal property, shares no molecule with any of them and belongs to a different physical family.</w:t>
      </w:r>
    </w:p>
    <w:p>
      <w:pPr>
        <w:spacing w:after="35" w:before="70"/>
        <w:jc w:val="center"/>
      </w:pPr>
      <w:r>
        <w:drawing>
          <wp:inline distT="0" distB="0" distL="0" distR="0">
            <wp:extent cx="4114800" cy="33727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14800" cy="3372787"/>
                    </a:xfrm>
                    <a:prstGeom prst="rect">
                      <a:avLst/>
                    </a:prstGeom>
                  </pic:spPr>
                </pic:pic>
              </a:graphicData>
            </a:graphic>
          </wp:inline>
        </w:drawing>
      </w:r>
    </w:p>
    <w:p>
      <w:pPr>
        <w:spacing w:after="130"/>
        <w:jc w:val="center"/>
      </w:pPr>
      <w:r>
        <w:rPr>
          <w:i/>
          <w:iCs/>
          <w:color w:val="52514E"/>
          <w:sz w:val="17"/>
          <w:szCs w:val="17"/>
        </w:rPr>
        <w:t xml:space="preserve">Figure 1. Target correlations on molecules carrying both labels. The six electronic/optical properties form one cluster; Tg stands apart.</w:t>
      </w:r>
    </w:p>
    <w:p>
      <w:pPr>
        <w:spacing w:after="100" w:line="276"/>
      </w:pPr>
      <w:r>
        <w:rPr>
          <w:color w:val="0B0B0B"/>
          <w:sz w:val="20"/>
          <w:szCs w:val="20"/>
        </w:rPr>
        <w:t xml:space="preserve">That measurement, not a hyperparameter search, dictated the architecture: </w:t>
      </w:r>
      <w:r>
        <w:rPr>
          <w:b/>
          <w:bCs/>
          <w:color w:val="0B0B0B"/>
          <w:sz w:val="20"/>
          <w:szCs w:val="20"/>
        </w:rPr>
        <w:t xml:space="preserve">one shared graph encoder across the six electronic targets with a separate output head per target</w:t>
      </w:r>
      <w:r>
        <w:rPr>
          <w:color w:val="0B0B0B"/>
          <w:sz w:val="20"/>
          <w:szCs w:val="20"/>
        </w:rPr>
        <w:t xml:space="preserve">, and Tg trained alone. Each row contributes loss only through its own head, so the 220-row targets inherit a representation learned from all 3,266 electronic rows.</w:t>
      </w:r>
    </w:p>
    <w:p>
      <w:pPr>
        <w:spacing w:after="100" w:line="276"/>
      </w:pPr>
      <w:r>
        <w:rPr>
          <w:i/>
          <w:iCs/>
          <w:color w:val="0B0B0B"/>
          <w:sz w:val="20"/>
          <w:szCs w:val="20"/>
        </w:rPr>
        <w:t xml:space="preserve">We had direct evidence this could fail. In Round 2 we tested multi-task learning across Tg and Egc and it lost 0.023 R² — those two properties share no physics, and forcing one encoder to serve both diluted each. The difference here is not the technique but whether the targets are physically related, which is exactly what Figure 1 establishes.</w:t>
      </w:r>
    </w:p>
    <w:p>
      <w:pPr>
        <w:spacing w:after="35" w:before="70"/>
        <w:jc w:val="center"/>
      </w:pPr>
      <w:r>
        <w:drawing>
          <wp:inline distT="0" distB="0" distL="0" distR="0">
            <wp:extent cx="5120640" cy="26395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0640" cy="2639505"/>
                    </a:xfrm>
                    <a:prstGeom prst="rect">
                      <a:avLst/>
                    </a:prstGeom>
                  </pic:spPr>
                </pic:pic>
              </a:graphicData>
            </a:graphic>
          </wp:inline>
        </w:drawing>
      </w:r>
    </w:p>
    <w:p>
      <w:pPr>
        <w:spacing w:after="130"/>
        <w:jc w:val="center"/>
      </w:pPr>
      <w:r>
        <w:rPr>
          <w:i/>
          <w:iCs/>
          <w:color w:val="52514E"/>
          <w:sz w:val="17"/>
          <w:szCs w:val="17"/>
        </w:rPr>
        <w:t xml:space="preserve">Figure 2. Pipeline. Orange marks the polymer-specific features carried over from Round 2; blue marks the graph models. Blend weights are fitted per target on out-of-fold predictions.</w:t>
      </w:r>
    </w:p>
    <w:p>
      <w:pPr>
        <w:pStyle w:val="Heading2"/>
        <w:spacing w:after="55" w:before="150"/>
      </w:pPr>
      <w:r>
        <w:rPr>
          <w:b/>
          <w:bCs/>
          <w:color w:val="EB6834"/>
          <w:sz w:val="22"/>
          <w:szCs w:val="22"/>
        </w:rPr>
        <w:t xml:space="preserve">Featurization</w:t>
      </w:r>
    </w:p>
    <w:p>
      <w:pPr>
        <w:spacing w:after="100" w:line="276"/>
      </w:pPr>
      <w:r>
        <w:rPr>
          <w:color w:val="0B0B0B"/>
          <w:sz w:val="20"/>
          <w:szCs w:val="20"/>
        </w:rPr>
        <w:t xml:space="preserve">The tree path uses RDKit descriptors, Morgan counts, MACCS keys and Avalon counts, plus the polymer-aware block we developed in Round 2: the repeat unit's backbone is the shortest path between its two attachment points (ring-complete, so a phenylene in the chain counts as chain), and 18 scalars plus a full descriptor set are computed on that extracted chain alone. Backbone length alone correlates +0.47 with Tg. The graph path reads the molecular graph directly with 22 atom features per node.</w:t>
      </w:r>
    </w:p>
    <w:p>
      <w:pPr>
        <w:spacing w:after="100" w:line="276"/>
      </w:pPr>
      <w:r>
        <w:rPr>
          <w:b/>
          <w:bCs/>
          <w:color w:val="0B0B0B"/>
          <w:sz w:val="20"/>
          <w:szCs w:val="20"/>
        </w:rPr>
        <w:t xml:space="preserve">What the features do for the small targets: </w:t>
      </w:r>
      <w:r>
        <w:rPr>
          <w:color w:val="0B0B0B"/>
          <w:sz w:val="20"/>
          <w:szCs w:val="20"/>
        </w:rPr>
        <w:t xml:space="preserve">the multi-task GNN carries 0.70 to 0.91 of the blend weight on all five, and only 0.29 on Tg. The shared encoder is doing the work precisely where the data is thin.</w:t>
      </w:r>
    </w:p>
    <w:p>
      <w:pPr>
        <w:pStyle w:val="Heading2"/>
        <w:spacing w:after="55" w:before="150"/>
      </w:pPr>
      <w:r>
        <w:rPr>
          <w:b/>
          <w:bCs/>
          <w:color w:val="EB6834"/>
          <w:sz w:val="22"/>
          <w:szCs w:val="22"/>
        </w:rPr>
        <w:t xml:space="preserve">Polymer invariance, measured rather than assumed</w:t>
      </w:r>
    </w:p>
    <w:p>
      <w:pPr>
        <w:spacing w:after="100" w:line="276"/>
      </w:pPr>
      <w:r>
        <w:rPr>
          <w:color w:val="0B0B0B"/>
          <w:sz w:val="20"/>
          <w:szCs w:val="20"/>
        </w:rPr>
        <w:t xml:space="preserve">A model that gives different answers for two spellings of the same molecule cannot be trusted by a materials scientist. We tested this rather than asserting it: for 120 test molecules per target we generated five randomised SMILES each and measured the spread in predictions.</w:t>
      </w:r>
    </w:p>
    <w:p>
      <w:pPr>
        <w:spacing w:after="100" w:line="276"/>
      </w:pPr>
      <w:r>
        <w:rPr>
          <w:b/>
          <w:bCs/>
          <w:color w:val="0B0B0B"/>
          <w:sz w:val="20"/>
          <w:szCs w:val="20"/>
        </w:rPr>
        <w:t xml:space="preserve">The initial model was not invariant. </w:t>
      </w:r>
      <w:r>
        <w:rPr>
          <w:color w:val="0B0B0B"/>
          <w:sz w:val="20"/>
          <w:szCs w:val="20"/>
        </w:rPr>
        <w:t xml:space="preserve">Predictions moved by up to 3.02% of a target standard deviation on Tg and 1.22% on Egc. Tracing it found three causes with one root: atom ordering. Tied shortest paths around a ring resolve differently, Gasteiger charges on dummy atoms converge differently, and RDKit's Ipc descriptor exceeds 10¹³ where floating-point rounding is not order-stable. Because 65% of the supplied SMILES are not in canonical form, this was affecting real predictions, not a hypothetical.</w:t>
      </w:r>
    </w:p>
    <w:p>
      <w:pPr>
        <w:spacing w:after="100" w:line="276"/>
      </w:pPr>
      <w:r>
        <w:rPr>
          <w:b/>
          <w:bCs/>
          <w:color w:val="0B0B0B"/>
          <w:sz w:val="20"/>
          <w:szCs w:val="20"/>
        </w:rPr>
        <w:t xml:space="preserve">The fix is one line and a dropped descriptor: </w:t>
      </w:r>
      <w:r>
        <w:rPr>
          <w:color w:val="0B0B0B"/>
          <w:sz w:val="20"/>
          <w:szCs w:val="20"/>
        </w:rPr>
        <w:t xml:space="preserve">re-parse every molecule from its canonical SMILES before featurizing, and exclude Ipc. After it, the maximum deviation across equivalent SMILES is </w:t>
      </w:r>
      <w:r>
        <w:rPr>
          <w:b/>
          <w:bCs/>
          <w:color w:val="0B0B0B"/>
          <w:sz w:val="20"/>
          <w:szCs w:val="20"/>
        </w:rPr>
        <w:t xml:space="preserve">exactly zero</w:t>
      </w:r>
      <w:r>
        <w:rPr>
          <w:color w:val="0B0B0B"/>
          <w:sz w:val="20"/>
          <w:szCs w:val="20"/>
        </w:rPr>
        <w:t xml:space="preserve"> at both the feature level (all 14,221 features) and the prediction level. The graph models were already invariant to 6×10⁻⁷ eV, floating-point noise. The fix cost 0.0001 in score.</w:t>
      </w:r>
    </w:p>
    <w:p>
      <w:pPr>
        <w:spacing w:after="35" w:before="70"/>
        <w:jc w:val="center"/>
      </w:pPr>
      <w:r>
        <w:drawing>
          <wp:inline distT="0" distB="0" distL="0" distR="0">
            <wp:extent cx="4754880" cy="20673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4880" cy="2067339"/>
                    </a:xfrm>
                    <a:prstGeom prst="rect">
                      <a:avLst/>
                    </a:prstGeom>
                  </pic:spPr>
                </pic:pic>
              </a:graphicData>
            </a:graphic>
          </wp:inline>
        </w:drawing>
      </w:r>
    </w:p>
    <w:p>
      <w:pPr>
        <w:spacing w:after="130"/>
        <w:jc w:val="center"/>
      </w:pPr>
      <w:r>
        <w:rPr>
          <w:i/>
          <w:iCs/>
          <w:color w:val="52514E"/>
          <w:sz w:val="17"/>
          <w:szCs w:val="17"/>
        </w:rPr>
        <w:t xml:space="preserve">Figure 3. Maximum prediction change across five randomised SMILES of the same molecule, before and after canonicalisation.</w:t>
      </w:r>
    </w:p>
    <w:p>
      <w:pPr>
        <w:pStyle w:val="Heading1"/>
        <w:spacing w:after="70" w:before="230"/>
      </w:pPr>
      <w:r>
        <w:rPr>
          <w:b/>
          <w:bCs/>
          <w:color w:val="0B0B0B"/>
          <w:sz w:val="26"/>
          <w:szCs w:val="26"/>
        </w:rPr>
        <w:t xml:space="preserve">2. Preliminary Salient Results</w:t>
      </w:r>
    </w:p>
    <w:p>
      <w:pPr>
        <w:pStyle w:val="Heading2"/>
        <w:spacing w:after="55" w:before="150"/>
      </w:pPr>
      <w:r>
        <w:rPr>
          <w:b/>
          <w:bCs/>
          <w:color w:val="EB6834"/>
          <w:sz w:val="22"/>
          <w:szCs w:val="22"/>
        </w:rPr>
        <w:t xml:space="preserve">Key EDA findings</w:t>
      </w:r>
    </w:p>
    <w:p>
      <w:pPr>
        <w:pStyle w:val="ListParagraph"/>
        <w:numPr>
          <w:ilvl w:val="0"/>
          <w:numId w:val="2"/>
        </w:numPr>
        <w:spacing w:after="55" w:line="264"/>
      </w:pPr>
      <w:r>
        <w:rPr>
          <w:b/>
          <w:bCs/>
          <w:color w:val="0B0B0B"/>
          <w:sz w:val="20"/>
          <w:szCs w:val="20"/>
        </w:rPr>
        <w:t xml:space="preserve">Severe target imbalance. </w:t>
      </w:r>
      <w:r>
        <w:rPr>
          <w:color w:val="0B0B0B"/>
          <w:sz w:val="20"/>
          <w:szCs w:val="20"/>
        </w:rPr>
        <w:t xml:space="preserve">Tg has 4,143 rows and Egc 2,028; the other five have 221 to 337 each. Each is 1/7 of the metric regardless.</w:t>
      </w:r>
    </w:p>
    <w:p>
      <w:pPr>
        <w:pStyle w:val="ListParagraph"/>
        <w:numPr>
          <w:ilvl w:val="0"/>
          <w:numId w:val="2"/>
        </w:numPr>
        <w:spacing w:after="55" w:line="264"/>
      </w:pPr>
      <w:r>
        <w:rPr>
          <w:b/>
          <w:bCs/>
          <w:color w:val="0B0B0B"/>
          <w:sz w:val="20"/>
          <w:szCs w:val="20"/>
        </w:rPr>
        <w:t xml:space="preserve">The targets cluster by physics </w:t>
      </w:r>
      <w:r>
        <w:rPr>
          <w:color w:val="0B0B0B"/>
          <w:sz w:val="20"/>
          <w:szCs w:val="20"/>
        </w:rPr>
        <w:t xml:space="preserve">(Figure 1), and only 415 of 6,565 molecules carry more than one label, so the transfer has to happen through the representation rather than through shared rows.</w:t>
      </w:r>
    </w:p>
    <w:p>
      <w:pPr>
        <w:pStyle w:val="ListParagraph"/>
        <w:numPr>
          <w:ilvl w:val="0"/>
          <w:numId w:val="2"/>
        </w:numPr>
        <w:spacing w:after="55" w:line="264"/>
      </w:pPr>
      <w:r>
        <w:rPr>
          <w:b/>
          <w:bCs/>
          <w:color w:val="0B0B0B"/>
          <w:sz w:val="20"/>
          <w:szCs w:val="20"/>
        </w:rPr>
        <w:t xml:space="preserve">Clean polymer SMILES. </w:t>
      </w:r>
      <w:r>
        <w:rPr>
          <w:color w:val="0B0B0B"/>
          <w:sz w:val="20"/>
          <w:szCs w:val="20"/>
        </w:rPr>
        <w:t xml:space="preserve">All 10,605 unique structures parse, and every one carries exactly two attachment points, which is what makes backbone extraction well defined.</w:t>
      </w:r>
    </w:p>
    <w:p>
      <w:pPr>
        <w:pStyle w:val="ListParagraph"/>
        <w:numPr>
          <w:ilvl w:val="0"/>
          <w:numId w:val="2"/>
        </w:numPr>
        <w:spacing w:after="55" w:line="264"/>
      </w:pPr>
      <w:r>
        <w:rPr>
          <w:b/>
          <w:bCs/>
          <w:color w:val="0B0B0B"/>
          <w:sz w:val="20"/>
          <w:szCs w:val="20"/>
        </w:rPr>
        <w:t xml:space="preserve">Most SMILES are non-canonical (65%), </w:t>
      </w:r>
      <w:r>
        <w:rPr>
          <w:color w:val="0B0B0B"/>
          <w:sz w:val="20"/>
          <w:szCs w:val="20"/>
        </w:rPr>
        <w:t xml:space="preserve">which is why the invariance defect above had real effect.</w:t>
      </w:r>
    </w:p>
    <w:p>
      <w:pPr>
        <w:spacing w:after="35" w:before="70"/>
        <w:jc w:val="center"/>
      </w:pPr>
      <w:r>
        <w:drawing>
          <wp:inline distT="0" distB="0" distL="0" distR="0">
            <wp:extent cx="4754880" cy="2113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4880" cy="2113280"/>
                    </a:xfrm>
                    <a:prstGeom prst="rect">
                      <a:avLst/>
                    </a:prstGeom>
                  </pic:spPr>
                </pic:pic>
              </a:graphicData>
            </a:graphic>
          </wp:inline>
        </w:drawing>
      </w:r>
    </w:p>
    <w:p>
      <w:pPr>
        <w:spacing w:after="130"/>
        <w:jc w:val="center"/>
      </w:pPr>
      <w:r>
        <w:rPr>
          <w:i/>
          <w:iCs/>
          <w:color w:val="52514E"/>
          <w:sz w:val="17"/>
          <w:szCs w:val="17"/>
        </w:rPr>
        <w:t xml:space="preserve">Figure 4. Training rows per target. Five of seven are data-starved.</w:t>
      </w:r>
    </w:p>
    <w:p>
      <w:pPr>
        <w:pStyle w:val="Heading2"/>
        <w:spacing w:after="55" w:before="150"/>
      </w:pPr>
      <w:r>
        <w:rPr>
          <w:b/>
          <w:bCs/>
          <w:color w:val="EB6834"/>
          <w:sz w:val="22"/>
          <w:szCs w:val="22"/>
        </w:rPr>
        <w:t xml:space="preserve">Results</w:t>
      </w:r>
    </w:p>
    <w:tbl>
      <w:tblPr>
        <w:tblW w:type="dxa" w:w="9300"/>
        <w:tblBorders>
          <w:top w:val="single" w:color="C9C8C2" w:sz="4"/>
          <w:left w:val="none"/>
          <w:bottom w:val="single" w:color="C9C8C2" w:sz="4"/>
          <w:right w:val="none"/>
          <w:insideH w:val="single" w:color="E3E2DC" w:sz="2"/>
          <w:insideV w:val="none"/>
        </w:tblBorders>
      </w:tblPr>
      <w:tblGrid>
        <w:gridCol w:w="1250"/>
        <w:gridCol w:w="1050"/>
        <w:gridCol w:w="1250"/>
        <w:gridCol w:w="1250"/>
        <w:gridCol w:w="1400"/>
        <w:gridCol w:w="1400"/>
        <w:gridCol w:w="1700"/>
      </w:tblGrid>
      <w:tr>
        <w:tc>
          <w:tcPr>
            <w:tcW w:type="dxa" w:w="1250"/>
            <w:shd w:fill="F3F2EE" w:color="auto" w:val="clear"/>
            <w:tcMar>
              <w:top w:type="dxa" w:w="45"/>
              <w:left w:type="dxa" w:w="85"/>
              <w:bottom w:type="dxa" w:w="45"/>
              <w:right w:type="dxa" w:w="85"/>
            </w:tcMar>
          </w:tcPr>
          <w:p>
            <w:pPr>
              <w:spacing w:after="0"/>
            </w:pPr>
            <w:r>
              <w:rPr>
                <w:b/>
                <w:bCs/>
                <w:color w:val="0B0B0B"/>
                <w:sz w:val="17"/>
                <w:szCs w:val="17"/>
              </w:rPr>
              <w:t xml:space="preserve">Target</w:t>
            </w:r>
          </w:p>
        </w:tc>
        <w:tc>
          <w:tcPr>
            <w:tcW w:type="dxa" w:w="1050"/>
            <w:shd w:fill="F3F2EE" w:color="auto" w:val="clear"/>
            <w:tcMar>
              <w:top w:type="dxa" w:w="45"/>
              <w:left w:type="dxa" w:w="85"/>
              <w:bottom w:type="dxa" w:w="45"/>
              <w:right w:type="dxa" w:w="85"/>
            </w:tcMar>
          </w:tcPr>
          <w:p>
            <w:pPr>
              <w:spacing w:after="0"/>
            </w:pPr>
            <w:r>
              <w:rPr>
                <w:b/>
                <w:bCs/>
                <w:color w:val="0B0B0B"/>
                <w:sz w:val="17"/>
                <w:szCs w:val="17"/>
              </w:rPr>
              <w:t xml:space="preserve">rows</w:t>
            </w:r>
          </w:p>
        </w:tc>
        <w:tc>
          <w:tcPr>
            <w:tcW w:type="dxa" w:w="1250"/>
            <w:shd w:fill="F3F2EE" w:color="auto" w:val="clear"/>
            <w:tcMar>
              <w:top w:type="dxa" w:w="45"/>
              <w:left w:type="dxa" w:w="85"/>
              <w:bottom w:type="dxa" w:w="45"/>
              <w:right w:type="dxa" w:w="85"/>
            </w:tcMar>
          </w:tcPr>
          <w:p>
            <w:pPr>
              <w:spacing w:after="0"/>
            </w:pPr>
            <w:r>
              <w:rPr>
                <w:b/>
                <w:bCs/>
                <w:color w:val="0B0B0B"/>
                <w:sz w:val="17"/>
                <w:szCs w:val="17"/>
              </w:rPr>
              <w:t xml:space="preserve">LightGBM</w:t>
            </w:r>
          </w:p>
        </w:tc>
        <w:tc>
          <w:tcPr>
            <w:tcW w:type="dxa" w:w="1250"/>
            <w:shd w:fill="F3F2EE" w:color="auto" w:val="clear"/>
            <w:tcMar>
              <w:top w:type="dxa" w:w="45"/>
              <w:left w:type="dxa" w:w="85"/>
              <w:bottom w:type="dxa" w:w="45"/>
              <w:right w:type="dxa" w:w="85"/>
            </w:tcMar>
          </w:tcPr>
          <w:p>
            <w:pPr>
              <w:spacing w:after="0"/>
            </w:pPr>
            <w:r>
              <w:rPr>
                <w:b/>
                <w:bCs/>
                <w:color w:val="0B0B0B"/>
                <w:sz w:val="17"/>
                <w:szCs w:val="17"/>
              </w:rPr>
              <w:t xml:space="preserve">GNN</w:t>
            </w:r>
          </w:p>
        </w:tc>
        <w:tc>
          <w:tcPr>
            <w:tcW w:type="dxa" w:w="1400"/>
            <w:shd w:fill="F3F2EE" w:color="auto" w:val="clear"/>
            <w:tcMar>
              <w:top w:type="dxa" w:w="45"/>
              <w:left w:type="dxa" w:w="85"/>
              <w:bottom w:type="dxa" w:w="45"/>
              <w:right w:type="dxa" w:w="85"/>
            </w:tcMar>
          </w:tcPr>
          <w:p>
            <w:pPr>
              <w:spacing w:after="0"/>
            </w:pPr>
            <w:r>
              <w:rPr>
                <w:b/>
                <w:bCs/>
                <w:color w:val="0B0B0B"/>
                <w:sz w:val="17"/>
                <w:szCs w:val="17"/>
              </w:rPr>
              <w:t xml:space="preserve">multi-task</w:t>
            </w:r>
          </w:p>
        </w:tc>
        <w:tc>
          <w:tcPr>
            <w:tcW w:type="dxa" w:w="1400"/>
            <w:shd w:fill="F3F2EE" w:color="auto" w:val="clear"/>
            <w:tcMar>
              <w:top w:type="dxa" w:w="45"/>
              <w:left w:type="dxa" w:w="85"/>
              <w:bottom w:type="dxa" w:w="45"/>
              <w:right w:type="dxa" w:w="85"/>
            </w:tcMar>
          </w:tcPr>
          <w:p>
            <w:pPr>
              <w:spacing w:after="0"/>
            </w:pPr>
            <w:r>
              <w:rPr>
                <w:b/>
                <w:bCs/>
                <w:color w:val="0B0B0B"/>
                <w:sz w:val="17"/>
                <w:szCs w:val="17"/>
              </w:rPr>
              <w:t xml:space="preserve">blend</w:t>
            </w:r>
          </w:p>
        </w:tc>
        <w:tc>
          <w:tcPr>
            <w:tcW w:type="dxa" w:w="1700"/>
            <w:shd w:fill="F3F2EE" w:color="auto" w:val="clear"/>
            <w:tcMar>
              <w:top w:type="dxa" w:w="45"/>
              <w:left w:type="dxa" w:w="85"/>
              <w:bottom w:type="dxa" w:w="45"/>
              <w:right w:type="dxa" w:w="85"/>
            </w:tcMar>
          </w:tcPr>
          <w:p>
            <w:pPr>
              <w:spacing w:after="0"/>
            </w:pPr>
            <w:r>
              <w:rPr>
                <w:b/>
                <w:bCs/>
                <w:color w:val="0B0B0B"/>
                <w:sz w:val="17"/>
                <w:szCs w:val="17"/>
              </w:rPr>
              <w:t xml:space="preserve">multi-task wt</w:t>
            </w:r>
          </w:p>
        </w:tc>
      </w:tr>
      <w:tr>
        <w:tc>
          <w:tcPr>
            <w:tcW w:type="dxa" w:w="1250"/>
            <w:tcMar>
              <w:top w:type="dxa" w:w="45"/>
              <w:left w:type="dxa" w:w="85"/>
              <w:bottom w:type="dxa" w:w="45"/>
              <w:right w:type="dxa" w:w="85"/>
            </w:tcMar>
          </w:tcPr>
          <w:p>
            <w:pPr>
              <w:spacing w:after="0"/>
            </w:pPr>
            <w:r>
              <w:rPr>
                <w:b w:val="false"/>
                <w:bCs w:val="false"/>
                <w:color w:val="0B0B0B"/>
                <w:sz w:val="17"/>
                <w:szCs w:val="17"/>
              </w:rPr>
              <w:t xml:space="preserve">EGC</w:t>
            </w:r>
          </w:p>
        </w:tc>
        <w:tc>
          <w:tcPr>
            <w:tcW w:type="dxa" w:w="1050"/>
            <w:tcMar>
              <w:top w:type="dxa" w:w="45"/>
              <w:left w:type="dxa" w:w="85"/>
              <w:bottom w:type="dxa" w:w="45"/>
              <w:right w:type="dxa" w:w="85"/>
            </w:tcMar>
          </w:tcPr>
          <w:p>
            <w:pPr>
              <w:spacing w:after="0"/>
              <w:jc w:val="right"/>
            </w:pPr>
            <w:r>
              <w:rPr>
                <w:b w:val="false"/>
                <w:bCs w:val="false"/>
                <w:color w:val="0B0B0B"/>
                <w:sz w:val="17"/>
                <w:szCs w:val="17"/>
              </w:rPr>
              <w:t xml:space="preserve">2,028</w:t>
            </w:r>
          </w:p>
        </w:tc>
        <w:tc>
          <w:tcPr>
            <w:tcW w:type="dxa" w:w="1250"/>
            <w:tcMar>
              <w:top w:type="dxa" w:w="45"/>
              <w:left w:type="dxa" w:w="85"/>
              <w:bottom w:type="dxa" w:w="45"/>
              <w:right w:type="dxa" w:w="85"/>
            </w:tcMar>
          </w:tcPr>
          <w:p>
            <w:pPr>
              <w:spacing w:after="0"/>
              <w:jc w:val="right"/>
            </w:pPr>
            <w:r>
              <w:rPr>
                <w:b w:val="false"/>
                <w:bCs w:val="false"/>
                <w:color w:val="0B0B0B"/>
                <w:sz w:val="17"/>
                <w:szCs w:val="17"/>
              </w:rPr>
              <w:t xml:space="preserve">0.908</w:t>
            </w:r>
          </w:p>
        </w:tc>
        <w:tc>
          <w:tcPr>
            <w:tcW w:type="dxa" w:w="1250"/>
            <w:tcMar>
              <w:top w:type="dxa" w:w="45"/>
              <w:left w:type="dxa" w:w="85"/>
              <w:bottom w:type="dxa" w:w="45"/>
              <w:right w:type="dxa" w:w="85"/>
            </w:tcMar>
          </w:tcPr>
          <w:p>
            <w:pPr>
              <w:spacing w:after="0"/>
              <w:jc w:val="right"/>
            </w:pPr>
            <w:r>
              <w:rPr>
                <w:b w:val="false"/>
                <w:bCs w:val="false"/>
                <w:color w:val="0B0B0B"/>
                <w:sz w:val="17"/>
                <w:szCs w:val="17"/>
              </w:rPr>
              <w:t xml:space="preserve">0.913</w:t>
            </w:r>
          </w:p>
        </w:tc>
        <w:tc>
          <w:tcPr>
            <w:tcW w:type="dxa" w:w="1400"/>
            <w:tcMar>
              <w:top w:type="dxa" w:w="45"/>
              <w:left w:type="dxa" w:w="85"/>
              <w:bottom w:type="dxa" w:w="45"/>
              <w:right w:type="dxa" w:w="85"/>
            </w:tcMar>
          </w:tcPr>
          <w:p>
            <w:pPr>
              <w:spacing w:after="0"/>
              <w:jc w:val="right"/>
            </w:pPr>
            <w:r>
              <w:rPr>
                <w:b w:val="false"/>
                <w:bCs w:val="false"/>
                <w:color w:val="0B0B0B"/>
                <w:sz w:val="17"/>
                <w:szCs w:val="17"/>
              </w:rPr>
              <w:t xml:space="preserve">0.927</w:t>
            </w:r>
          </w:p>
        </w:tc>
        <w:tc>
          <w:tcPr>
            <w:tcW w:type="dxa" w:w="1400"/>
            <w:tcMar>
              <w:top w:type="dxa" w:w="45"/>
              <w:left w:type="dxa" w:w="85"/>
              <w:bottom w:type="dxa" w:w="45"/>
              <w:right w:type="dxa" w:w="85"/>
            </w:tcMar>
          </w:tcPr>
          <w:p>
            <w:pPr>
              <w:spacing w:after="0"/>
              <w:jc w:val="right"/>
            </w:pPr>
            <w:r>
              <w:rPr>
                <w:b w:val="false"/>
                <w:bCs w:val="false"/>
                <w:color w:val="0B0B0B"/>
                <w:sz w:val="17"/>
                <w:szCs w:val="17"/>
              </w:rPr>
              <w:t xml:space="preserve">0.930</w:t>
            </w:r>
          </w:p>
        </w:tc>
        <w:tc>
          <w:tcPr>
            <w:tcW w:type="dxa" w:w="1700"/>
            <w:tcMar>
              <w:top w:type="dxa" w:w="45"/>
              <w:left w:type="dxa" w:w="85"/>
              <w:bottom w:type="dxa" w:w="45"/>
              <w:right w:type="dxa" w:w="85"/>
            </w:tcMar>
          </w:tcPr>
          <w:p>
            <w:pPr>
              <w:spacing w:after="0"/>
              <w:jc w:val="right"/>
            </w:pPr>
            <w:r>
              <w:rPr>
                <w:b w:val="false"/>
                <w:bCs w:val="false"/>
                <w:color w:val="0B0B0B"/>
                <w:sz w:val="17"/>
                <w:szCs w:val="17"/>
              </w:rPr>
              <w:t xml:space="preserve">0.71</w:t>
            </w:r>
          </w:p>
        </w:tc>
      </w:tr>
      <w:tr>
        <w:tc>
          <w:tcPr>
            <w:tcW w:type="dxa" w:w="1250"/>
            <w:tcMar>
              <w:top w:type="dxa" w:w="45"/>
              <w:left w:type="dxa" w:w="85"/>
              <w:bottom w:type="dxa" w:w="45"/>
              <w:right w:type="dxa" w:w="85"/>
            </w:tcMar>
          </w:tcPr>
          <w:p>
            <w:pPr>
              <w:spacing w:after="0"/>
            </w:pPr>
            <w:r>
              <w:rPr>
                <w:b w:val="false"/>
                <w:bCs w:val="false"/>
                <w:color w:val="0B0B0B"/>
                <w:sz w:val="17"/>
                <w:szCs w:val="17"/>
              </w:rPr>
              <w:t xml:space="preserve">EGB</w:t>
            </w:r>
          </w:p>
        </w:tc>
        <w:tc>
          <w:tcPr>
            <w:tcW w:type="dxa" w:w="1050"/>
            <w:tcMar>
              <w:top w:type="dxa" w:w="45"/>
              <w:left w:type="dxa" w:w="85"/>
              <w:bottom w:type="dxa" w:w="45"/>
              <w:right w:type="dxa" w:w="85"/>
            </w:tcMar>
          </w:tcPr>
          <w:p>
            <w:pPr>
              <w:spacing w:after="0"/>
              <w:jc w:val="right"/>
            </w:pPr>
            <w:r>
              <w:rPr>
                <w:b w:val="false"/>
                <w:bCs w:val="false"/>
                <w:color w:val="0B0B0B"/>
                <w:sz w:val="17"/>
                <w:szCs w:val="17"/>
              </w:rPr>
              <w:t xml:space="preserve">337</w:t>
            </w:r>
          </w:p>
        </w:tc>
        <w:tc>
          <w:tcPr>
            <w:tcW w:type="dxa" w:w="1250"/>
            <w:tcMar>
              <w:top w:type="dxa" w:w="45"/>
              <w:left w:type="dxa" w:w="85"/>
              <w:bottom w:type="dxa" w:w="45"/>
              <w:right w:type="dxa" w:w="85"/>
            </w:tcMar>
          </w:tcPr>
          <w:p>
            <w:pPr>
              <w:spacing w:after="0"/>
              <w:jc w:val="right"/>
            </w:pPr>
            <w:r>
              <w:rPr>
                <w:b w:val="false"/>
                <w:bCs w:val="false"/>
                <w:color w:val="0B0B0B"/>
                <w:sz w:val="17"/>
                <w:szCs w:val="17"/>
              </w:rPr>
              <w:t xml:space="preserve">0.902</w:t>
            </w:r>
          </w:p>
        </w:tc>
        <w:tc>
          <w:tcPr>
            <w:tcW w:type="dxa" w:w="1250"/>
            <w:tcMar>
              <w:top w:type="dxa" w:w="45"/>
              <w:left w:type="dxa" w:w="85"/>
              <w:bottom w:type="dxa" w:w="45"/>
              <w:right w:type="dxa" w:w="85"/>
            </w:tcMar>
          </w:tcPr>
          <w:p>
            <w:pPr>
              <w:spacing w:after="0"/>
              <w:jc w:val="right"/>
            </w:pPr>
            <w:r>
              <w:rPr>
                <w:b w:val="false"/>
                <w:bCs w:val="false"/>
                <w:color w:val="0B0B0B"/>
                <w:sz w:val="17"/>
                <w:szCs w:val="17"/>
              </w:rPr>
              <w:t xml:space="preserve">0.940</w:t>
            </w:r>
          </w:p>
        </w:tc>
        <w:tc>
          <w:tcPr>
            <w:tcW w:type="dxa" w:w="1400"/>
            <w:tcMar>
              <w:top w:type="dxa" w:w="45"/>
              <w:left w:type="dxa" w:w="85"/>
              <w:bottom w:type="dxa" w:w="45"/>
              <w:right w:type="dxa" w:w="85"/>
            </w:tcMar>
          </w:tcPr>
          <w:p>
            <w:pPr>
              <w:spacing w:after="0"/>
              <w:jc w:val="right"/>
            </w:pPr>
            <w:r>
              <w:rPr>
                <w:b w:val="false"/>
                <w:bCs w:val="false"/>
                <w:color w:val="0B0B0B"/>
                <w:sz w:val="17"/>
                <w:szCs w:val="17"/>
              </w:rPr>
              <w:t xml:space="preserve">0.958</w:t>
            </w:r>
          </w:p>
        </w:tc>
        <w:tc>
          <w:tcPr>
            <w:tcW w:type="dxa" w:w="1400"/>
            <w:tcMar>
              <w:top w:type="dxa" w:w="45"/>
              <w:left w:type="dxa" w:w="85"/>
              <w:bottom w:type="dxa" w:w="45"/>
              <w:right w:type="dxa" w:w="85"/>
            </w:tcMar>
          </w:tcPr>
          <w:p>
            <w:pPr>
              <w:spacing w:after="0"/>
              <w:jc w:val="right"/>
            </w:pPr>
            <w:r>
              <w:rPr>
                <w:b w:val="false"/>
                <w:bCs w:val="false"/>
                <w:color w:val="0B0B0B"/>
                <w:sz w:val="17"/>
                <w:szCs w:val="17"/>
              </w:rPr>
              <w:t xml:space="preserve">0.959</w:t>
            </w:r>
          </w:p>
        </w:tc>
        <w:tc>
          <w:tcPr>
            <w:tcW w:type="dxa" w:w="1700"/>
            <w:tcMar>
              <w:top w:type="dxa" w:w="45"/>
              <w:left w:type="dxa" w:w="85"/>
              <w:bottom w:type="dxa" w:w="45"/>
              <w:right w:type="dxa" w:w="85"/>
            </w:tcMar>
          </w:tcPr>
          <w:p>
            <w:pPr>
              <w:spacing w:after="0"/>
              <w:jc w:val="right"/>
            </w:pPr>
            <w:r>
              <w:rPr>
                <w:b w:val="false"/>
                <w:bCs w:val="false"/>
                <w:color w:val="0B0B0B"/>
                <w:sz w:val="17"/>
                <w:szCs w:val="17"/>
              </w:rPr>
              <w:t xml:space="preserve">0.82</w:t>
            </w:r>
          </w:p>
        </w:tc>
      </w:tr>
      <w:tr>
        <w:tc>
          <w:tcPr>
            <w:tcW w:type="dxa" w:w="1250"/>
            <w:tcMar>
              <w:top w:type="dxa" w:w="45"/>
              <w:left w:type="dxa" w:w="85"/>
              <w:bottom w:type="dxa" w:w="45"/>
              <w:right w:type="dxa" w:w="85"/>
            </w:tcMar>
          </w:tcPr>
          <w:p>
            <w:pPr>
              <w:spacing w:after="0"/>
            </w:pPr>
            <w:r>
              <w:rPr>
                <w:b w:val="false"/>
                <w:bCs w:val="false"/>
                <w:color w:val="0B0B0B"/>
                <w:sz w:val="17"/>
                <w:szCs w:val="17"/>
              </w:rPr>
              <w:t xml:space="preserve">EI</w:t>
            </w:r>
          </w:p>
        </w:tc>
        <w:tc>
          <w:tcPr>
            <w:tcW w:type="dxa" w:w="1050"/>
            <w:tcMar>
              <w:top w:type="dxa" w:w="45"/>
              <w:left w:type="dxa" w:w="85"/>
              <w:bottom w:type="dxa" w:w="45"/>
              <w:right w:type="dxa" w:w="85"/>
            </w:tcMar>
          </w:tcPr>
          <w:p>
            <w:pPr>
              <w:spacing w:after="0"/>
              <w:jc w:val="right"/>
            </w:pPr>
            <w:r>
              <w:rPr>
                <w:b w:val="false"/>
                <w:bCs w:val="false"/>
                <w:color w:val="0B0B0B"/>
                <w:sz w:val="17"/>
                <w:szCs w:val="17"/>
              </w:rPr>
              <w:t xml:space="preserve">222</w:t>
            </w:r>
          </w:p>
        </w:tc>
        <w:tc>
          <w:tcPr>
            <w:tcW w:type="dxa" w:w="1250"/>
            <w:tcMar>
              <w:top w:type="dxa" w:w="45"/>
              <w:left w:type="dxa" w:w="85"/>
              <w:bottom w:type="dxa" w:w="45"/>
              <w:right w:type="dxa" w:w="85"/>
            </w:tcMar>
          </w:tcPr>
          <w:p>
            <w:pPr>
              <w:spacing w:after="0"/>
              <w:jc w:val="right"/>
            </w:pPr>
            <w:r>
              <w:rPr>
                <w:b w:val="false"/>
                <w:bCs w:val="false"/>
                <w:color w:val="0B0B0B"/>
                <w:sz w:val="17"/>
                <w:szCs w:val="17"/>
              </w:rPr>
              <w:t xml:space="preserve">0.798</w:t>
            </w:r>
          </w:p>
        </w:tc>
        <w:tc>
          <w:tcPr>
            <w:tcW w:type="dxa" w:w="1250"/>
            <w:tcMar>
              <w:top w:type="dxa" w:w="45"/>
              <w:left w:type="dxa" w:w="85"/>
              <w:bottom w:type="dxa" w:w="45"/>
              <w:right w:type="dxa" w:w="85"/>
            </w:tcMar>
          </w:tcPr>
          <w:p>
            <w:pPr>
              <w:spacing w:after="0"/>
              <w:jc w:val="right"/>
            </w:pPr>
            <w:r>
              <w:rPr>
                <w:b w:val="false"/>
                <w:bCs w:val="false"/>
                <w:color w:val="0B0B0B"/>
                <w:sz w:val="17"/>
                <w:szCs w:val="17"/>
              </w:rPr>
              <w:t xml:space="preserve">0.826</w:t>
            </w:r>
          </w:p>
        </w:tc>
        <w:tc>
          <w:tcPr>
            <w:tcW w:type="dxa" w:w="1400"/>
            <w:tcMar>
              <w:top w:type="dxa" w:w="45"/>
              <w:left w:type="dxa" w:w="85"/>
              <w:bottom w:type="dxa" w:w="45"/>
              <w:right w:type="dxa" w:w="85"/>
            </w:tcMar>
          </w:tcPr>
          <w:p>
            <w:pPr>
              <w:spacing w:after="0"/>
              <w:jc w:val="right"/>
            </w:pPr>
            <w:r>
              <w:rPr>
                <w:b w:val="false"/>
                <w:bCs w:val="false"/>
                <w:color w:val="0B0B0B"/>
                <w:sz w:val="17"/>
                <w:szCs w:val="17"/>
              </w:rPr>
              <w:t xml:space="preserve">0.866</w:t>
            </w:r>
          </w:p>
        </w:tc>
        <w:tc>
          <w:tcPr>
            <w:tcW w:type="dxa" w:w="1400"/>
            <w:tcMar>
              <w:top w:type="dxa" w:w="45"/>
              <w:left w:type="dxa" w:w="85"/>
              <w:bottom w:type="dxa" w:w="45"/>
              <w:right w:type="dxa" w:w="85"/>
            </w:tcMar>
          </w:tcPr>
          <w:p>
            <w:pPr>
              <w:spacing w:after="0"/>
              <w:jc w:val="right"/>
            </w:pPr>
            <w:r>
              <w:rPr>
                <w:b w:val="false"/>
                <w:bCs w:val="false"/>
                <w:color w:val="0B0B0B"/>
                <w:sz w:val="17"/>
                <w:szCs w:val="17"/>
              </w:rPr>
              <w:t xml:space="preserve">0.864</w:t>
            </w:r>
          </w:p>
        </w:tc>
        <w:tc>
          <w:tcPr>
            <w:tcW w:type="dxa" w:w="1700"/>
            <w:tcMar>
              <w:top w:type="dxa" w:w="45"/>
              <w:left w:type="dxa" w:w="85"/>
              <w:bottom w:type="dxa" w:w="45"/>
              <w:right w:type="dxa" w:w="85"/>
            </w:tcMar>
          </w:tcPr>
          <w:p>
            <w:pPr>
              <w:spacing w:after="0"/>
              <w:jc w:val="right"/>
            </w:pPr>
            <w:r>
              <w:rPr>
                <w:b w:val="false"/>
                <w:bCs w:val="false"/>
                <w:color w:val="0B0B0B"/>
                <w:sz w:val="17"/>
                <w:szCs w:val="17"/>
              </w:rPr>
              <w:t xml:space="preserve">0.88</w:t>
            </w:r>
          </w:p>
        </w:tc>
      </w:tr>
      <w:tr>
        <w:tc>
          <w:tcPr>
            <w:tcW w:type="dxa" w:w="1250"/>
            <w:tcMar>
              <w:top w:type="dxa" w:w="45"/>
              <w:left w:type="dxa" w:w="85"/>
              <w:bottom w:type="dxa" w:w="45"/>
              <w:right w:type="dxa" w:w="85"/>
            </w:tcMar>
          </w:tcPr>
          <w:p>
            <w:pPr>
              <w:spacing w:after="0"/>
            </w:pPr>
            <w:r>
              <w:rPr>
                <w:b w:val="false"/>
                <w:bCs w:val="false"/>
                <w:color w:val="0B0B0B"/>
                <w:sz w:val="17"/>
                <w:szCs w:val="17"/>
              </w:rPr>
              <w:t xml:space="preserve">EEA</w:t>
            </w:r>
          </w:p>
        </w:tc>
        <w:tc>
          <w:tcPr>
            <w:tcW w:type="dxa" w:w="1050"/>
            <w:tcMar>
              <w:top w:type="dxa" w:w="45"/>
              <w:left w:type="dxa" w:w="85"/>
              <w:bottom w:type="dxa" w:w="45"/>
              <w:right w:type="dxa" w:w="85"/>
            </w:tcMar>
          </w:tcPr>
          <w:p>
            <w:pPr>
              <w:spacing w:after="0"/>
              <w:jc w:val="right"/>
            </w:pPr>
            <w:r>
              <w:rPr>
                <w:b w:val="false"/>
                <w:bCs w:val="false"/>
                <w:color w:val="0B0B0B"/>
                <w:sz w:val="17"/>
                <w:szCs w:val="17"/>
              </w:rPr>
              <w:t xml:space="preserve">221</w:t>
            </w:r>
          </w:p>
        </w:tc>
        <w:tc>
          <w:tcPr>
            <w:tcW w:type="dxa" w:w="1250"/>
            <w:tcMar>
              <w:top w:type="dxa" w:w="45"/>
              <w:left w:type="dxa" w:w="85"/>
              <w:bottom w:type="dxa" w:w="45"/>
              <w:right w:type="dxa" w:w="85"/>
            </w:tcMar>
          </w:tcPr>
          <w:p>
            <w:pPr>
              <w:spacing w:after="0"/>
              <w:jc w:val="right"/>
            </w:pPr>
            <w:r>
              <w:rPr>
                <w:b w:val="false"/>
                <w:bCs w:val="false"/>
                <w:color w:val="0B0B0B"/>
                <w:sz w:val="17"/>
                <w:szCs w:val="17"/>
              </w:rPr>
              <w:t xml:space="preserve">0.891</w:t>
            </w:r>
          </w:p>
        </w:tc>
        <w:tc>
          <w:tcPr>
            <w:tcW w:type="dxa" w:w="1250"/>
            <w:tcMar>
              <w:top w:type="dxa" w:w="45"/>
              <w:left w:type="dxa" w:w="85"/>
              <w:bottom w:type="dxa" w:w="45"/>
              <w:right w:type="dxa" w:w="85"/>
            </w:tcMar>
          </w:tcPr>
          <w:p>
            <w:pPr>
              <w:spacing w:after="0"/>
              <w:jc w:val="right"/>
            </w:pPr>
            <w:r>
              <w:rPr>
                <w:b w:val="false"/>
                <w:bCs w:val="false"/>
                <w:color w:val="0B0B0B"/>
                <w:sz w:val="17"/>
                <w:szCs w:val="17"/>
              </w:rPr>
              <w:t xml:space="preserve">0.930</w:t>
            </w:r>
          </w:p>
        </w:tc>
        <w:tc>
          <w:tcPr>
            <w:tcW w:type="dxa" w:w="1400"/>
            <w:tcMar>
              <w:top w:type="dxa" w:w="45"/>
              <w:left w:type="dxa" w:w="85"/>
              <w:bottom w:type="dxa" w:w="45"/>
              <w:right w:type="dxa" w:w="85"/>
            </w:tcMar>
          </w:tcPr>
          <w:p>
            <w:pPr>
              <w:spacing w:after="0"/>
              <w:jc w:val="right"/>
            </w:pPr>
            <w:r>
              <w:rPr>
                <w:b w:val="false"/>
                <w:bCs w:val="false"/>
                <w:color w:val="0B0B0B"/>
                <w:sz w:val="17"/>
                <w:szCs w:val="17"/>
              </w:rPr>
              <w:t xml:space="preserve">0.942</w:t>
            </w:r>
          </w:p>
        </w:tc>
        <w:tc>
          <w:tcPr>
            <w:tcW w:type="dxa" w:w="1400"/>
            <w:tcMar>
              <w:top w:type="dxa" w:w="45"/>
              <w:left w:type="dxa" w:w="85"/>
              <w:bottom w:type="dxa" w:w="45"/>
              <w:right w:type="dxa" w:w="85"/>
            </w:tcMar>
          </w:tcPr>
          <w:p>
            <w:pPr>
              <w:spacing w:after="0"/>
              <w:jc w:val="right"/>
            </w:pPr>
            <w:r>
              <w:rPr>
                <w:b w:val="false"/>
                <w:bCs w:val="false"/>
                <w:color w:val="0B0B0B"/>
                <w:sz w:val="17"/>
                <w:szCs w:val="17"/>
              </w:rPr>
              <w:t xml:space="preserve">0.945</w:t>
            </w:r>
          </w:p>
        </w:tc>
        <w:tc>
          <w:tcPr>
            <w:tcW w:type="dxa" w:w="1700"/>
            <w:tcMar>
              <w:top w:type="dxa" w:w="45"/>
              <w:left w:type="dxa" w:w="85"/>
              <w:bottom w:type="dxa" w:w="45"/>
              <w:right w:type="dxa" w:w="85"/>
            </w:tcMar>
          </w:tcPr>
          <w:p>
            <w:pPr>
              <w:spacing w:after="0"/>
              <w:jc w:val="right"/>
            </w:pPr>
            <w:r>
              <w:rPr>
                <w:b w:val="false"/>
                <w:bCs w:val="false"/>
                <w:color w:val="0B0B0B"/>
                <w:sz w:val="17"/>
                <w:szCs w:val="17"/>
              </w:rPr>
              <w:t xml:space="preserve">0.71</w:t>
            </w:r>
          </w:p>
        </w:tc>
      </w:tr>
      <w:tr>
        <w:tc>
          <w:tcPr>
            <w:tcW w:type="dxa" w:w="1250"/>
            <w:tcMar>
              <w:top w:type="dxa" w:w="45"/>
              <w:left w:type="dxa" w:w="85"/>
              <w:bottom w:type="dxa" w:w="45"/>
              <w:right w:type="dxa" w:w="85"/>
            </w:tcMar>
          </w:tcPr>
          <w:p>
            <w:pPr>
              <w:spacing w:after="0"/>
            </w:pPr>
            <w:r>
              <w:rPr>
                <w:b w:val="false"/>
                <w:bCs w:val="false"/>
                <w:color w:val="0B0B0B"/>
                <w:sz w:val="17"/>
                <w:szCs w:val="17"/>
              </w:rPr>
              <w:t xml:space="preserve">EPS</w:t>
            </w:r>
          </w:p>
        </w:tc>
        <w:tc>
          <w:tcPr>
            <w:tcW w:type="dxa" w:w="1050"/>
            <w:tcMar>
              <w:top w:type="dxa" w:w="45"/>
              <w:left w:type="dxa" w:w="85"/>
              <w:bottom w:type="dxa" w:w="45"/>
              <w:right w:type="dxa" w:w="85"/>
            </w:tcMar>
          </w:tcPr>
          <w:p>
            <w:pPr>
              <w:spacing w:after="0"/>
              <w:jc w:val="right"/>
            </w:pPr>
            <w:r>
              <w:rPr>
                <w:b w:val="false"/>
                <w:bCs w:val="false"/>
                <w:color w:val="0B0B0B"/>
                <w:sz w:val="17"/>
                <w:szCs w:val="17"/>
              </w:rPr>
              <w:t xml:space="preserve">229</w:t>
            </w:r>
          </w:p>
        </w:tc>
        <w:tc>
          <w:tcPr>
            <w:tcW w:type="dxa" w:w="1250"/>
            <w:tcMar>
              <w:top w:type="dxa" w:w="45"/>
              <w:left w:type="dxa" w:w="85"/>
              <w:bottom w:type="dxa" w:w="45"/>
              <w:right w:type="dxa" w:w="85"/>
            </w:tcMar>
          </w:tcPr>
          <w:p>
            <w:pPr>
              <w:spacing w:after="0"/>
              <w:jc w:val="right"/>
            </w:pPr>
            <w:r>
              <w:rPr>
                <w:b w:val="false"/>
                <w:bCs w:val="false"/>
                <w:color w:val="0B0B0B"/>
                <w:sz w:val="17"/>
                <w:szCs w:val="17"/>
              </w:rPr>
              <w:t xml:space="preserve">0.746</w:t>
            </w:r>
          </w:p>
        </w:tc>
        <w:tc>
          <w:tcPr>
            <w:tcW w:type="dxa" w:w="1250"/>
            <w:tcMar>
              <w:top w:type="dxa" w:w="45"/>
              <w:left w:type="dxa" w:w="85"/>
              <w:bottom w:type="dxa" w:w="45"/>
              <w:right w:type="dxa" w:w="85"/>
            </w:tcMar>
          </w:tcPr>
          <w:p>
            <w:pPr>
              <w:spacing w:after="0"/>
              <w:jc w:val="right"/>
            </w:pPr>
            <w:r>
              <w:rPr>
                <w:b w:val="false"/>
                <w:bCs w:val="false"/>
                <w:color w:val="0B0B0B"/>
                <w:sz w:val="17"/>
                <w:szCs w:val="17"/>
              </w:rPr>
              <w:t xml:space="preserve">0.805</w:t>
            </w:r>
          </w:p>
        </w:tc>
        <w:tc>
          <w:tcPr>
            <w:tcW w:type="dxa" w:w="1400"/>
            <w:tcMar>
              <w:top w:type="dxa" w:w="45"/>
              <w:left w:type="dxa" w:w="85"/>
              <w:bottom w:type="dxa" w:w="45"/>
              <w:right w:type="dxa" w:w="85"/>
            </w:tcMar>
          </w:tcPr>
          <w:p>
            <w:pPr>
              <w:spacing w:after="0"/>
              <w:jc w:val="right"/>
            </w:pPr>
            <w:r>
              <w:rPr>
                <w:b w:val="false"/>
                <w:bCs w:val="false"/>
                <w:color w:val="0B0B0B"/>
                <w:sz w:val="17"/>
                <w:szCs w:val="17"/>
              </w:rPr>
              <w:t xml:space="preserve">0.834</w:t>
            </w:r>
          </w:p>
        </w:tc>
        <w:tc>
          <w:tcPr>
            <w:tcW w:type="dxa" w:w="1400"/>
            <w:tcMar>
              <w:top w:type="dxa" w:w="45"/>
              <w:left w:type="dxa" w:w="85"/>
              <w:bottom w:type="dxa" w:w="45"/>
              <w:right w:type="dxa" w:w="85"/>
            </w:tcMar>
          </w:tcPr>
          <w:p>
            <w:pPr>
              <w:spacing w:after="0"/>
              <w:jc w:val="right"/>
            </w:pPr>
            <w:r>
              <w:rPr>
                <w:b w:val="false"/>
                <w:bCs w:val="false"/>
                <w:color w:val="0B0B0B"/>
                <w:sz w:val="17"/>
                <w:szCs w:val="17"/>
              </w:rPr>
              <w:t xml:space="preserve">0.837</w:t>
            </w:r>
          </w:p>
        </w:tc>
        <w:tc>
          <w:tcPr>
            <w:tcW w:type="dxa" w:w="1700"/>
            <w:tcMar>
              <w:top w:type="dxa" w:w="45"/>
              <w:left w:type="dxa" w:w="85"/>
              <w:bottom w:type="dxa" w:w="45"/>
              <w:right w:type="dxa" w:w="85"/>
            </w:tcMar>
          </w:tcPr>
          <w:p>
            <w:pPr>
              <w:spacing w:after="0"/>
              <w:jc w:val="right"/>
            </w:pPr>
            <w:r>
              <w:rPr>
                <w:b w:val="false"/>
                <w:bCs w:val="false"/>
                <w:color w:val="0B0B0B"/>
                <w:sz w:val="17"/>
                <w:szCs w:val="17"/>
              </w:rPr>
              <w:t xml:space="preserve">0.70</w:t>
            </w:r>
          </w:p>
        </w:tc>
      </w:tr>
      <w:tr>
        <w:tc>
          <w:tcPr>
            <w:tcW w:type="dxa" w:w="1250"/>
            <w:tcMar>
              <w:top w:type="dxa" w:w="45"/>
              <w:left w:type="dxa" w:w="85"/>
              <w:bottom w:type="dxa" w:w="45"/>
              <w:right w:type="dxa" w:w="85"/>
            </w:tcMar>
          </w:tcPr>
          <w:p>
            <w:pPr>
              <w:spacing w:after="0"/>
            </w:pPr>
            <w:r>
              <w:rPr>
                <w:b w:val="false"/>
                <w:bCs w:val="false"/>
                <w:color w:val="0B0B0B"/>
                <w:sz w:val="17"/>
                <w:szCs w:val="17"/>
              </w:rPr>
              <w:t xml:space="preserve">NC</w:t>
            </w:r>
          </w:p>
        </w:tc>
        <w:tc>
          <w:tcPr>
            <w:tcW w:type="dxa" w:w="1050"/>
            <w:tcMar>
              <w:top w:type="dxa" w:w="45"/>
              <w:left w:type="dxa" w:w="85"/>
              <w:bottom w:type="dxa" w:w="45"/>
              <w:right w:type="dxa" w:w="85"/>
            </w:tcMar>
          </w:tcPr>
          <w:p>
            <w:pPr>
              <w:spacing w:after="0"/>
              <w:jc w:val="right"/>
            </w:pPr>
            <w:r>
              <w:rPr>
                <w:b w:val="false"/>
                <w:bCs w:val="false"/>
                <w:color w:val="0B0B0B"/>
                <w:sz w:val="17"/>
                <w:szCs w:val="17"/>
              </w:rPr>
              <w:t xml:space="preserve">229</w:t>
            </w:r>
          </w:p>
        </w:tc>
        <w:tc>
          <w:tcPr>
            <w:tcW w:type="dxa" w:w="1250"/>
            <w:tcMar>
              <w:top w:type="dxa" w:w="45"/>
              <w:left w:type="dxa" w:w="85"/>
              <w:bottom w:type="dxa" w:w="45"/>
              <w:right w:type="dxa" w:w="85"/>
            </w:tcMar>
          </w:tcPr>
          <w:p>
            <w:pPr>
              <w:spacing w:after="0"/>
              <w:jc w:val="right"/>
            </w:pPr>
            <w:r>
              <w:rPr>
                <w:b w:val="false"/>
                <w:bCs w:val="false"/>
                <w:color w:val="0B0B0B"/>
                <w:sz w:val="17"/>
                <w:szCs w:val="17"/>
              </w:rPr>
              <w:t xml:space="preserve">0.810</w:t>
            </w:r>
          </w:p>
        </w:tc>
        <w:tc>
          <w:tcPr>
            <w:tcW w:type="dxa" w:w="1250"/>
            <w:tcMar>
              <w:top w:type="dxa" w:w="45"/>
              <w:left w:type="dxa" w:w="85"/>
              <w:bottom w:type="dxa" w:w="45"/>
              <w:right w:type="dxa" w:w="85"/>
            </w:tcMar>
          </w:tcPr>
          <w:p>
            <w:pPr>
              <w:spacing w:after="0"/>
              <w:jc w:val="right"/>
            </w:pPr>
            <w:r>
              <w:rPr>
                <w:b w:val="false"/>
                <w:bCs w:val="false"/>
                <w:color w:val="0B0B0B"/>
                <w:sz w:val="17"/>
                <w:szCs w:val="17"/>
              </w:rPr>
              <w:t xml:space="preserve">0.860</w:t>
            </w:r>
          </w:p>
        </w:tc>
        <w:tc>
          <w:tcPr>
            <w:tcW w:type="dxa" w:w="1400"/>
            <w:tcMar>
              <w:top w:type="dxa" w:w="45"/>
              <w:left w:type="dxa" w:w="85"/>
              <w:bottom w:type="dxa" w:w="45"/>
              <w:right w:type="dxa" w:w="85"/>
            </w:tcMar>
          </w:tcPr>
          <w:p>
            <w:pPr>
              <w:spacing w:after="0"/>
              <w:jc w:val="right"/>
            </w:pPr>
            <w:r>
              <w:rPr>
                <w:b w:val="false"/>
                <w:bCs w:val="false"/>
                <w:color w:val="0B0B0B"/>
                <w:sz w:val="17"/>
                <w:szCs w:val="17"/>
              </w:rPr>
              <w:t xml:space="preserve">0.906</w:t>
            </w:r>
          </w:p>
        </w:tc>
        <w:tc>
          <w:tcPr>
            <w:tcW w:type="dxa" w:w="1400"/>
            <w:tcMar>
              <w:top w:type="dxa" w:w="45"/>
              <w:left w:type="dxa" w:w="85"/>
              <w:bottom w:type="dxa" w:w="45"/>
              <w:right w:type="dxa" w:w="85"/>
            </w:tcMar>
          </w:tcPr>
          <w:p>
            <w:pPr>
              <w:spacing w:after="0"/>
              <w:jc w:val="right"/>
            </w:pPr>
            <w:r>
              <w:rPr>
                <w:b w:val="false"/>
                <w:bCs w:val="false"/>
                <w:color w:val="0B0B0B"/>
                <w:sz w:val="17"/>
                <w:szCs w:val="17"/>
              </w:rPr>
              <w:t xml:space="preserve">0.903</w:t>
            </w:r>
          </w:p>
        </w:tc>
        <w:tc>
          <w:tcPr>
            <w:tcW w:type="dxa" w:w="1700"/>
            <w:tcMar>
              <w:top w:type="dxa" w:w="45"/>
              <w:left w:type="dxa" w:w="85"/>
              <w:bottom w:type="dxa" w:w="45"/>
              <w:right w:type="dxa" w:w="85"/>
            </w:tcMar>
          </w:tcPr>
          <w:p>
            <w:pPr>
              <w:spacing w:after="0"/>
              <w:jc w:val="right"/>
            </w:pPr>
            <w:r>
              <w:rPr>
                <w:b w:val="false"/>
                <w:bCs w:val="false"/>
                <w:color w:val="0B0B0B"/>
                <w:sz w:val="17"/>
                <w:szCs w:val="17"/>
              </w:rPr>
              <w:t xml:space="preserve">0.91</w:t>
            </w:r>
          </w:p>
        </w:tc>
      </w:tr>
      <w:tr>
        <w:tc>
          <w:tcPr>
            <w:tcW w:type="dxa" w:w="1250"/>
            <w:tcMar>
              <w:top w:type="dxa" w:w="45"/>
              <w:left w:type="dxa" w:w="85"/>
              <w:bottom w:type="dxa" w:w="45"/>
              <w:right w:type="dxa" w:w="85"/>
            </w:tcMar>
          </w:tcPr>
          <w:p>
            <w:pPr>
              <w:spacing w:after="0"/>
            </w:pPr>
            <w:r>
              <w:rPr>
                <w:b w:val="false"/>
                <w:bCs w:val="false"/>
                <w:color w:val="0B0B0B"/>
                <w:sz w:val="17"/>
                <w:szCs w:val="17"/>
              </w:rPr>
              <w:t xml:space="preserve">TG</w:t>
            </w:r>
          </w:p>
        </w:tc>
        <w:tc>
          <w:tcPr>
            <w:tcW w:type="dxa" w:w="1050"/>
            <w:tcMar>
              <w:top w:type="dxa" w:w="45"/>
              <w:left w:type="dxa" w:w="85"/>
              <w:bottom w:type="dxa" w:w="45"/>
              <w:right w:type="dxa" w:w="85"/>
            </w:tcMar>
          </w:tcPr>
          <w:p>
            <w:pPr>
              <w:spacing w:after="0"/>
              <w:jc w:val="right"/>
            </w:pPr>
            <w:r>
              <w:rPr>
                <w:b w:val="false"/>
                <w:bCs w:val="false"/>
                <w:color w:val="0B0B0B"/>
                <w:sz w:val="17"/>
                <w:szCs w:val="17"/>
              </w:rPr>
              <w:t xml:space="preserve">4,143</w:t>
            </w:r>
          </w:p>
        </w:tc>
        <w:tc>
          <w:tcPr>
            <w:tcW w:type="dxa" w:w="1250"/>
            <w:tcMar>
              <w:top w:type="dxa" w:w="45"/>
              <w:left w:type="dxa" w:w="85"/>
              <w:bottom w:type="dxa" w:w="45"/>
              <w:right w:type="dxa" w:w="85"/>
            </w:tcMar>
          </w:tcPr>
          <w:p>
            <w:pPr>
              <w:spacing w:after="0"/>
              <w:jc w:val="right"/>
            </w:pPr>
            <w:r>
              <w:rPr>
                <w:b w:val="false"/>
                <w:bCs w:val="false"/>
                <w:color w:val="0B0B0B"/>
                <w:sz w:val="17"/>
                <w:szCs w:val="17"/>
              </w:rPr>
              <w:t xml:space="preserve">0.913</w:t>
            </w:r>
          </w:p>
        </w:tc>
        <w:tc>
          <w:tcPr>
            <w:tcW w:type="dxa" w:w="1250"/>
            <w:tcMar>
              <w:top w:type="dxa" w:w="45"/>
              <w:left w:type="dxa" w:w="85"/>
              <w:bottom w:type="dxa" w:w="45"/>
              <w:right w:type="dxa" w:w="85"/>
            </w:tcMar>
          </w:tcPr>
          <w:p>
            <w:pPr>
              <w:spacing w:after="0"/>
              <w:jc w:val="right"/>
            </w:pPr>
            <w:r>
              <w:rPr>
                <w:b w:val="false"/>
                <w:bCs w:val="false"/>
                <w:color w:val="0B0B0B"/>
                <w:sz w:val="17"/>
                <w:szCs w:val="17"/>
              </w:rPr>
              <w:t xml:space="preserve">0.905</w:t>
            </w:r>
          </w:p>
        </w:tc>
        <w:tc>
          <w:tcPr>
            <w:tcW w:type="dxa" w:w="1400"/>
            <w:tcMar>
              <w:top w:type="dxa" w:w="45"/>
              <w:left w:type="dxa" w:w="85"/>
              <w:bottom w:type="dxa" w:w="45"/>
              <w:right w:type="dxa" w:w="85"/>
            </w:tcMar>
          </w:tcPr>
          <w:p>
            <w:pPr>
              <w:spacing w:after="0"/>
              <w:jc w:val="right"/>
            </w:pPr>
            <w:r>
              <w:rPr>
                <w:b w:val="false"/>
                <w:bCs w:val="false"/>
                <w:color w:val="0B0B0B"/>
                <w:sz w:val="17"/>
                <w:szCs w:val="17"/>
              </w:rPr>
              <w:t xml:space="preserve">—</w:t>
            </w:r>
          </w:p>
        </w:tc>
        <w:tc>
          <w:tcPr>
            <w:tcW w:type="dxa" w:w="1400"/>
            <w:tcMar>
              <w:top w:type="dxa" w:w="45"/>
              <w:left w:type="dxa" w:w="85"/>
              <w:bottom w:type="dxa" w:w="45"/>
              <w:right w:type="dxa" w:w="85"/>
            </w:tcMar>
          </w:tcPr>
          <w:p>
            <w:pPr>
              <w:spacing w:after="0"/>
              <w:jc w:val="right"/>
            </w:pPr>
            <w:r>
              <w:rPr>
                <w:b w:val="false"/>
                <w:bCs w:val="false"/>
                <w:color w:val="0B0B0B"/>
                <w:sz w:val="17"/>
                <w:szCs w:val="17"/>
              </w:rPr>
              <w:t xml:space="preserve">0.920</w:t>
            </w:r>
          </w:p>
        </w:tc>
        <w:tc>
          <w:tcPr>
            <w:tcW w:type="dxa" w:w="1700"/>
            <w:tcMar>
              <w:top w:type="dxa" w:w="45"/>
              <w:left w:type="dxa" w:w="85"/>
              <w:bottom w:type="dxa" w:w="45"/>
              <w:right w:type="dxa" w:w="85"/>
            </w:tcMar>
          </w:tcPr>
          <w:p>
            <w:pPr>
              <w:spacing w:after="0"/>
              <w:jc w:val="right"/>
            </w:pPr>
            <w:r>
              <w:rPr>
                <w:b w:val="false"/>
                <w:bCs w:val="false"/>
                <w:color w:val="0B0B0B"/>
                <w:sz w:val="17"/>
                <w:szCs w:val="17"/>
              </w:rPr>
              <w:t xml:space="preserve">—</w:t>
            </w:r>
          </w:p>
        </w:tc>
      </w:tr>
    </w:tbl>
    <w:p>
      <w:pPr>
        <w:spacing w:after="90"/>
      </w:pPr>
    </w:p>
    <w:p>
      <w:pPr>
        <w:spacing w:after="100" w:line="276"/>
      </w:pPr>
      <w:r>
        <w:rPr>
          <w:b/>
          <w:bCs/>
          <w:color w:val="0B0B0B"/>
          <w:sz w:val="20"/>
          <w:szCs w:val="20"/>
        </w:rPr>
        <w:t xml:space="preserve">Official metric: 0.9085</w:t>
      </w:r>
      <w:r>
        <w:rPr>
          <w:color w:val="0B0B0B"/>
          <w:sz w:val="20"/>
          <w:szCs w:val="20"/>
        </w:rPr>
        <w:t xml:space="preserve"> (mean of seven per-target R², out-of-fold, blend weights fitted by nested cross-validation so they never see the rows they score). The progression across submissions was 0.8888 for per-target models, 0.9038 adding the multi-task encoder, 0.9073 with three seeds and 0.9085 with six. The organizer's Ridge baseline scores 0.537.</w:t>
      </w:r>
    </w:p>
    <w:p>
      <w:pPr>
        <w:spacing w:after="35" w:before="70"/>
        <w:jc w:val="center"/>
      </w:pPr>
      <w:r>
        <w:drawing>
          <wp:inline distT="0" distB="0" distL="0" distR="0">
            <wp:extent cx="4846320" cy="236405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46320" cy="2364059"/>
                    </a:xfrm>
                    <a:prstGeom prst="rect">
                      <a:avLst/>
                    </a:prstGeom>
                  </pic:spPr>
                </pic:pic>
              </a:graphicData>
            </a:graphic>
          </wp:inline>
        </w:drawing>
      </w:r>
    </w:p>
    <w:p>
      <w:pPr>
        <w:spacing w:after="130"/>
        <w:jc w:val="center"/>
      </w:pPr>
      <w:r>
        <w:rPr>
          <w:i/>
          <w:iCs/>
          <w:color w:val="52514E"/>
          <w:sz w:val="17"/>
          <w:szCs w:val="17"/>
        </w:rPr>
        <w:t xml:space="preserve">Figure 5. Effect of adding the shared encoder, per target. Gains scale inversely with data: +0.041 on refractive index (229 rows), +0.007 on chain band gap (2,028 rows).</w:t>
      </w:r>
    </w:p>
    <w:p>
      <w:pPr>
        <w:spacing w:after="35" w:before="70"/>
        <w:jc w:val="center"/>
      </w:pPr>
      <w:r>
        <w:drawing>
          <wp:inline distT="0" distB="0" distL="0" distR="0">
            <wp:extent cx="5486400" cy="27026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702660"/>
                    </a:xfrm>
                    <a:prstGeom prst="rect">
                      <a:avLst/>
                    </a:prstGeom>
                  </pic:spPr>
                </pic:pic>
              </a:graphicData>
            </a:graphic>
          </wp:inline>
        </w:drawing>
      </w:r>
    </w:p>
    <w:p>
      <w:pPr>
        <w:spacing w:after="130"/>
        <w:jc w:val="center"/>
      </w:pPr>
      <w:r>
        <w:rPr>
          <w:i/>
          <w:iCs/>
          <w:color w:val="52514E"/>
          <w:sz w:val="17"/>
          <w:szCs w:val="17"/>
        </w:rPr>
        <w:t xml:space="preserve">Figure 6. Out-of-fold predictions against ground truth for all seven targets.</w:t>
      </w:r>
    </w:p>
    <w:p>
      <w:pPr>
        <w:pStyle w:val="Heading1"/>
        <w:spacing w:after="70" w:before="230"/>
      </w:pPr>
      <w:r>
        <w:rPr>
          <w:b/>
          <w:bCs/>
          <w:color w:val="0B0B0B"/>
          <w:sz w:val="26"/>
          <w:szCs w:val="26"/>
        </w:rPr>
        <w:t xml:space="preserve">3. Technical Challenges and Pivots</w:t>
      </w:r>
    </w:p>
    <w:p>
      <w:pPr>
        <w:pStyle w:val="ListParagraph"/>
        <w:numPr>
          <w:ilvl w:val="0"/>
          <w:numId w:val="2"/>
        </w:numPr>
        <w:spacing w:after="55" w:line="264"/>
      </w:pPr>
      <w:r>
        <w:rPr>
          <w:b/>
          <w:bCs/>
          <w:color w:val="0B0B0B"/>
          <w:sz w:val="20"/>
          <w:szCs w:val="20"/>
        </w:rPr>
        <w:t xml:space="preserve">220-row targets. </w:t>
      </w:r>
      <w:r>
        <w:rPr>
          <w:color w:val="0B0B0B"/>
          <w:sz w:val="20"/>
          <w:szCs w:val="20"/>
        </w:rPr>
        <w:t xml:space="preserve">The central difficulty. Ten-fold cross-validation would leave 22-row validation folds, so we use five folds throughout and rely on the shared encoder rather than per-target capacity. Seed averaging matters far more than it did for the tree models: averaging six initialisations of the multi-task network is worth +0.0047, while seed averaging gradient-boosted trees measured exactly zero in Round 2.</w:t>
      </w:r>
    </w:p>
    <w:p>
      <w:pPr>
        <w:pStyle w:val="ListParagraph"/>
        <w:numPr>
          <w:ilvl w:val="0"/>
          <w:numId w:val="2"/>
        </w:numPr>
        <w:spacing w:after="55" w:line="264"/>
      </w:pPr>
      <w:r>
        <w:rPr>
          <w:b/>
          <w:bCs/>
          <w:color w:val="0B0B0B"/>
          <w:sz w:val="20"/>
          <w:szCs w:val="20"/>
        </w:rPr>
        <w:t xml:space="preserve">Pretraining on the auxiliary data did not work. </w:t>
      </w:r>
      <w:r>
        <w:rPr>
          <w:color w:val="0B0B0B"/>
          <w:sz w:val="20"/>
          <w:szCs w:val="20"/>
        </w:rPr>
        <w:t xml:space="preserve">We pretrained the encoder on 100,000 PI1M repeat units with a masked-atom objective, reaching 99% reconstruction accuracy, then fine-tuned. It scored −0.0038 against the same folds. The corpus is in-domain and the task was learned; the representation simply did not transfer to property regression better than supervised training on 3,266 labelled rows. We report it as a negative result rather than omitting it.</w:t>
      </w:r>
    </w:p>
    <w:p>
      <w:pPr>
        <w:pStyle w:val="ListParagraph"/>
        <w:numPr>
          <w:ilvl w:val="0"/>
          <w:numId w:val="2"/>
        </w:numPr>
        <w:spacing w:after="55" w:line="264"/>
      </w:pPr>
      <w:r>
        <w:rPr>
          <w:b/>
          <w:bCs/>
          <w:color w:val="0B0B0B"/>
          <w:sz w:val="20"/>
          <w:szCs w:val="20"/>
        </w:rPr>
        <w:t xml:space="preserve">The invariance defect was invisible until measured. </w:t>
      </w:r>
      <w:r>
        <w:rPr>
          <w:color w:val="0B0B0B"/>
          <w:sz w:val="20"/>
          <w:szCs w:val="20"/>
        </w:rPr>
        <w:t xml:space="preserve">Nothing in cross-validation reveals it, because the training and test SMILES are each written one particular way. It only appears when you deliberately re-spell the molecules, which is why we built the test.</w:t>
      </w:r>
    </w:p>
    <w:p>
      <w:pPr>
        <w:pStyle w:val="ListParagraph"/>
        <w:numPr>
          <w:ilvl w:val="0"/>
          <w:numId w:val="2"/>
        </w:numPr>
        <w:spacing w:after="55" w:line="264"/>
      </w:pPr>
      <w:r>
        <w:rPr>
          <w:b/>
          <w:bCs/>
          <w:color w:val="0B0B0B"/>
          <w:sz w:val="20"/>
          <w:szCs w:val="20"/>
        </w:rPr>
        <w:t xml:space="preserve">Reproducibility. </w:t>
      </w:r>
      <w:r>
        <w:rPr>
          <w:color w:val="0B0B0B"/>
          <w:sz w:val="20"/>
          <w:szCs w:val="20"/>
        </w:rPr>
        <w:t xml:space="preserve">The submitted notebook is single-threaded with per-fold seeds; parallel index_add_ in the message-passing step is otherwise non-deterministic. Kaggle reproduced our local out-of-fold score within 0.0035 on every run.</w:t>
      </w:r>
    </w:p>
    <w:p>
      <w:pPr>
        <w:pStyle w:val="Heading1"/>
        <w:spacing w:after="70" w:before="230"/>
      </w:pPr>
      <w:r>
        <w:rPr>
          <w:b/>
          <w:bCs/>
          <w:color w:val="0B0B0B"/>
          <w:sz w:val="26"/>
          <w:szCs w:val="26"/>
        </w:rPr>
        <w:t xml:space="preserve">4. Final Sprint Roadmap</w:t>
      </w:r>
    </w:p>
    <w:p>
      <w:pPr>
        <w:pStyle w:val="Heading2"/>
        <w:spacing w:after="55" w:before="150"/>
      </w:pPr>
      <w:r>
        <w:rPr>
          <w:b/>
          <w:bCs/>
          <w:color w:val="EB6834"/>
          <w:sz w:val="22"/>
          <w:szCs w:val="22"/>
        </w:rPr>
        <w:t xml:space="preserve">Immediate and refinement</w:t>
      </w:r>
    </w:p>
    <w:p>
      <w:pPr>
        <w:spacing w:after="100" w:line="276"/>
      </w:pPr>
      <w:r>
        <w:rPr>
          <w:color w:val="0B0B0B"/>
          <w:sz w:val="20"/>
          <w:szCs w:val="20"/>
        </w:rPr>
        <w:t xml:space="preserve">The model is frozen and reproducible. The remaining lever we would pursue with more compute is fold count: in Round 2, moving the graph model from five to ten folds was worth +0.0019 at equal cost, and that experiment is running against the electronic cluster now. Beyond it, the honest assessment is that seed averaging has reached diminishing returns (+0.0036 for the second and third seed, +0.0012 for the fourth through sixth).</w:t>
      </w:r>
    </w:p>
    <w:p>
      <w:pPr>
        <w:pStyle w:val="Heading2"/>
        <w:spacing w:after="55" w:before="150"/>
      </w:pPr>
      <w:r>
        <w:rPr>
          <w:b/>
          <w:bCs/>
          <w:color w:val="EB6834"/>
          <w:sz w:val="22"/>
          <w:szCs w:val="22"/>
        </w:rPr>
        <w:t xml:space="preserve">Explainability: electronic applications</w:t>
      </w:r>
    </w:p>
    <w:p>
      <w:pPr>
        <w:spacing w:after="100" w:line="276"/>
      </w:pPr>
      <w:r>
        <w:rPr>
          <w:color w:val="0B0B0B"/>
          <w:sz w:val="20"/>
          <w:szCs w:val="20"/>
        </w:rPr>
        <w:t xml:space="preserve">For a newly proposed polymer the model's reasoning about electronic behaviour is legible through the backbone block, which is where its feature importance concentrates. Band gap falls as conjugation runs along the chain lengthen, as backbone aromatic atom count rises, and as the attachment atoms become sp² or aromatic, which lets conjugation propagate across repeat units rather than terminating at the unit boundary. We quantified this directly: the conjugated-bond fraction of an explicitly constructed dimer correlates −0.76 with chain band gap. The motifs the model associates with low, tunable gaps are fused and linked aromatic backbones — phenylene, fluorene and thiophene-like units — with low side-chain mass fraction; sp³ spacers and bulky pendant groups raise the gap. Because ionisation energy and electron affinity share the encoder, the same structural signals explain where the frontier orbitals sit, not just their separation.</w:t>
      </w:r>
    </w:p>
    <w:p>
      <w:pPr>
        <w:pStyle w:val="Heading2"/>
        <w:spacing w:after="55" w:before="150"/>
      </w:pPr>
      <w:r>
        <w:rPr>
          <w:b/>
          <w:bCs/>
          <w:color w:val="EB6834"/>
          <w:sz w:val="22"/>
          <w:szCs w:val="22"/>
        </w:rPr>
        <w:t xml:space="preserve">Explainability: optical applications</w:t>
      </w:r>
    </w:p>
    <w:p>
      <w:pPr>
        <w:spacing w:after="100" w:line="276"/>
      </w:pPr>
      <w:r>
        <w:rPr>
          <w:color w:val="0B0B0B"/>
          <w:sz w:val="20"/>
          <w:szCs w:val="20"/>
        </w:rPr>
        <w:t xml:space="preserve">Two of the seven targets are directly optical, and this is where the shared encoder pays off most visibly: refractive index gains +0.041 R² from multi-task training, the largest gain of any target. The model's optical reasoning follows the same structural axis, because refractive index and dielectric constant correlate +0.92 with each other and −0.85 with band gap: polarisable, conjugated, aromatic-rich backbones raise both the refractive index and the dielectric constant while narrowing the gap, and the absorption edge follows at roughly 1240/Egc nm. Backbone rigidity and planarity — high ring-atom count, low rotatable-bond count — concentrate that effect, while side-chain bulk dilutes it and acts as a blue-shifting, solubilising trade-off. For a candidate polymer the model can therefore report predicted refractive index, dielectric constant and absorption edge together with the backbone motifs driving all three, which is the combination an optical-materials decision actually needs.</w:t>
      </w:r>
    </w:p>
    <w:p>
      <w:pPr>
        <w:pStyle w:val="Heading2"/>
        <w:spacing w:after="55" w:before="150"/>
      </w:pPr>
      <w:r>
        <w:rPr>
          <w:b/>
          <w:bCs/>
          <w:color w:val="EB6834"/>
          <w:sz w:val="22"/>
          <w:szCs w:val="22"/>
        </w:rPr>
        <w:t xml:space="preserve">Final output</w:t>
      </w:r>
    </w:p>
    <w:p>
      <w:pPr>
        <w:spacing w:after="100" w:line="276"/>
      </w:pPr>
      <w:r>
        <w:rPr>
          <w:color w:val="0B0B0B"/>
          <w:sz w:val="20"/>
          <w:szCs w:val="20"/>
        </w:rPr>
        <w:t xml:space="preserve">A single self-contained Kaggle notebook: data loading, canonicalisation, featurization, backbone extraction, per-target LightGBM and GNN, the multi-task encoder, blending and submission, running end to end on Kaggle CPU with no accelerator and no uploaded artifacts.</w:t>
      </w:r>
    </w:p>
    <w:p>
      <w:pPr>
        <w:pStyle w:val="Heading1"/>
        <w:spacing w:after="70" w:before="230"/>
      </w:pPr>
      <w:r>
        <w:rPr>
          <w:b/>
          <w:bCs/>
          <w:color w:val="0B0B0B"/>
          <w:sz w:val="26"/>
          <w:szCs w:val="26"/>
        </w:rPr>
        <w:t xml:space="preserve">Appendix</w:t>
      </w:r>
    </w:p>
    <w:p>
      <w:pPr>
        <w:spacing w:after="100" w:line="276"/>
      </w:pPr>
      <w:r>
        <w:rPr>
          <w:b/>
          <w:bCs/>
          <w:color w:val="0B0B0B"/>
          <w:sz w:val="20"/>
          <w:szCs w:val="20"/>
        </w:rPr>
        <w:t xml:space="preserve">Notebook: </w:t>
      </w:r>
      <w:hyperlink w:history="1" r:id="rIdywehhxr25jml0rzldgfiy">
        <w:r>
          <w:rPr>
            <w:color w:val="2A78D6"/>
            <w:sz w:val="20"/>
            <w:szCs w:val="20"/>
            <w:u w:val="single"/>
          </w:rPr>
          <w:t xml:space="preserve">kaggle.com/code/sahilsadhwani25/neonnull-round-3</w:t>
        </w:r>
      </w:hyperlink>
      <w:r>
        <w:rPr>
          <w:color w:val="0B0B0B"/>
          <w:sz w:val="20"/>
          <w:szCs w:val="20"/>
        </w:rPr>
        <w:t xml:space="preserve">   ·   </w:t>
      </w:r>
      <w:r>
        <w:rPr>
          <w:b/>
          <w:bCs/>
          <w:color w:val="0B0B0B"/>
          <w:sz w:val="20"/>
          <w:szCs w:val="20"/>
        </w:rPr>
        <w:t xml:space="preserve">Code: </w:t>
      </w:r>
      <w:hyperlink w:history="1" r:id="rIdrzyjlrzt5eahqhabfemvx">
        <w:r>
          <w:rPr>
            <w:color w:val="2A78D6"/>
            <w:sz w:val="20"/>
            <w:szCs w:val="20"/>
            <w:u w:val="single"/>
          </w:rPr>
          <w:t xml:space="preserve">github.com/Sahilo6/amalgam-polymer</w:t>
        </w:r>
      </w:hyperlink>
    </w:p>
    <w:p>
      <w:pPr>
        <w:spacing w:after="100" w:line="276"/>
      </w:pPr>
      <w:r>
        <w:rPr>
          <w:b/>
          <w:bCs/>
          <w:color w:val="0B0B0B"/>
          <w:sz w:val="20"/>
          <w:szCs w:val="20"/>
        </w:rPr>
        <w:t xml:space="preserve">Model particulars: </w:t>
      </w:r>
      <w:r>
        <w:rPr>
          <w:color w:val="0B0B0B"/>
          <w:sz w:val="20"/>
          <w:szCs w:val="20"/>
        </w:rPr>
        <w:t xml:space="preserve">LightGBM 4,000 trees with early stopping, 5 folds. Message-passing GNN 383k parameters, hidden 128, three layers with GRU updates, mean+max pooling. Multi-task variant 387k parameters, shared encoder with six linear heads, six seeds averaged. Inference under 1 ms per molecule.</w:t>
      </w:r>
    </w:p>
    <w:p>
      <w:pPr>
        <w:spacing w:after="100" w:line="276"/>
      </w:pPr>
      <w:r>
        <w:rPr>
          <w:b/>
          <w:bCs/>
          <w:color w:val="0B0B0B"/>
          <w:sz w:val="20"/>
          <w:szCs w:val="20"/>
        </w:rPr>
        <w:t xml:space="preserve">References: </w:t>
      </w:r>
      <w:r>
        <w:rPr>
          <w:color w:val="0B0B0B"/>
          <w:sz w:val="20"/>
          <w:szCs w:val="20"/>
        </w:rPr>
        <w:t xml:space="preserve">RDKit (rdkit.org); Gilmer et al., Neural Message Passing for Quantum Chemistry, ICML 2017; Ke et al., LightGBM, NeurIPS 2017; Gedeck et al., Avalon fingerprints, JCIM 2006; Ma &amp; Luo, PI1M: A Benchmark Database for Polymer Informatics, JCIM 2020.</w:t>
      </w:r>
    </w:p>
    <w:p>
      <w:pPr>
        <w:spacing w:after="60"/>
      </w:pPr>
    </w:p>
    <w:p>
      <w:pPr>
        <w:spacing w:after="100" w:line="276"/>
      </w:pPr>
      <w:r>
        <w:rPr>
          <w:b/>
          <w:bCs/>
          <w:color w:val="0B0B0B"/>
          <w:sz w:val="20"/>
          <w:szCs w:val="20"/>
        </w:rPr>
        <w:t xml:space="preserve">Every Round 3 experiment, with its measured effect on the official metric:</w:t>
      </w:r>
    </w:p>
    <w:tbl>
      <w:tblPr>
        <w:tblW w:type="dxa" w:w="9300"/>
        <w:tblBorders>
          <w:top w:val="single" w:color="C9C8C2" w:sz="4"/>
          <w:left w:val="none"/>
          <w:bottom w:val="single" w:color="C9C8C2" w:sz="4"/>
          <w:right w:val="none"/>
          <w:insideH w:val="single" w:color="E3E2DC" w:sz="2"/>
          <w:insideV w:val="none"/>
        </w:tblBorders>
      </w:tblPr>
      <w:tblGrid>
        <w:gridCol w:w="4400"/>
        <w:gridCol w:w="1900"/>
        <w:gridCol w:w="3000"/>
      </w:tblGrid>
      <w:tr>
        <w:tc>
          <w:tcPr>
            <w:tcW w:type="dxa" w:w="4400"/>
            <w:shd w:fill="F3F2EE" w:color="auto" w:val="clear"/>
            <w:tcMar>
              <w:top w:type="dxa" w:w="45"/>
              <w:left w:type="dxa" w:w="85"/>
              <w:bottom w:type="dxa" w:w="45"/>
              <w:right w:type="dxa" w:w="85"/>
            </w:tcMar>
          </w:tcPr>
          <w:p>
            <w:pPr>
              <w:spacing w:after="0"/>
            </w:pPr>
            <w:r>
              <w:rPr>
                <w:b/>
                <w:bCs/>
                <w:color w:val="0B0B0B"/>
                <w:sz w:val="17"/>
                <w:szCs w:val="17"/>
              </w:rPr>
              <w:t xml:space="preserve">Idea</w:t>
            </w:r>
          </w:p>
        </w:tc>
        <w:tc>
          <w:tcPr>
            <w:tcW w:type="dxa" w:w="1900"/>
            <w:shd w:fill="F3F2EE" w:color="auto" w:val="clear"/>
            <w:tcMar>
              <w:top w:type="dxa" w:w="45"/>
              <w:left w:type="dxa" w:w="85"/>
              <w:bottom w:type="dxa" w:w="45"/>
              <w:right w:type="dxa" w:w="85"/>
            </w:tcMar>
          </w:tcPr>
          <w:p>
            <w:pPr>
              <w:spacing w:after="0"/>
            </w:pPr>
            <w:r>
              <w:rPr>
                <w:b/>
                <w:bCs/>
                <w:color w:val="0B0B0B"/>
                <w:sz w:val="17"/>
                <w:szCs w:val="17"/>
              </w:rPr>
              <w:t xml:space="preserve">Effect</w:t>
            </w:r>
          </w:p>
        </w:tc>
        <w:tc>
          <w:tcPr>
            <w:tcW w:type="dxa" w:w="3000"/>
            <w:shd w:fill="F3F2EE" w:color="auto" w:val="clear"/>
            <w:tcMar>
              <w:top w:type="dxa" w:w="45"/>
              <w:left w:type="dxa" w:w="85"/>
              <w:bottom w:type="dxa" w:w="45"/>
              <w:right w:type="dxa" w:w="85"/>
            </w:tcMar>
          </w:tcPr>
          <w:p>
            <w:pPr>
              <w:spacing w:after="0"/>
            </w:pPr>
            <w:r>
              <w:rPr>
                <w:b/>
                <w:bCs/>
                <w:color w:val="0B0B0B"/>
                <w:sz w:val="17"/>
                <w:szCs w:val="17"/>
              </w:rPr>
              <w:t xml:space="preserve">Verdict</w:t>
            </w:r>
          </w:p>
        </w:tc>
      </w:tr>
      <w:tr>
        <w:tc>
          <w:tcPr>
            <w:tcW w:type="dxa" w:w="4400"/>
            <w:tcMar>
              <w:top w:type="dxa" w:w="45"/>
              <w:left w:type="dxa" w:w="85"/>
              <w:bottom w:type="dxa" w:w="45"/>
              <w:right w:type="dxa" w:w="85"/>
            </w:tcMar>
          </w:tcPr>
          <w:p>
            <w:pPr>
              <w:spacing w:after="0"/>
            </w:pPr>
            <w:r>
              <w:rPr>
                <w:b w:val="false"/>
                <w:bCs w:val="false"/>
                <w:color w:val="0B0B0B"/>
                <w:sz w:val="17"/>
                <w:szCs w:val="17"/>
              </w:rPr>
              <w:t xml:space="preserve">Multi-task GNN over the electronic cluster</w:t>
            </w:r>
          </w:p>
        </w:tc>
        <w:tc>
          <w:tcPr>
            <w:tcW w:type="dxa" w:w="1900"/>
            <w:tcMar>
              <w:top w:type="dxa" w:w="45"/>
              <w:left w:type="dxa" w:w="85"/>
              <w:bottom w:type="dxa" w:w="45"/>
              <w:right w:type="dxa" w:w="85"/>
            </w:tcMar>
          </w:tcPr>
          <w:p>
            <w:pPr>
              <w:spacing w:after="0"/>
              <w:jc w:val="right"/>
            </w:pPr>
            <w:r>
              <w:rPr>
                <w:b w:val="false"/>
                <w:bCs w:val="false"/>
                <w:color w:val="0B0B0B"/>
                <w:sz w:val="17"/>
                <w:szCs w:val="17"/>
              </w:rPr>
              <w:t xml:space="preserve">+0.0157</w:t>
            </w:r>
          </w:p>
        </w:tc>
        <w:tc>
          <w:tcPr>
            <w:tcW w:type="dxa" w:w="3000"/>
            <w:tcMar>
              <w:top w:type="dxa" w:w="45"/>
              <w:left w:type="dxa" w:w="85"/>
              <w:bottom w:type="dxa" w:w="45"/>
              <w:right w:type="dxa" w:w="85"/>
            </w:tcMar>
          </w:tcPr>
          <w:p>
            <w:pPr>
              <w:spacing w:after="0"/>
              <w:jc w:val="right"/>
            </w:pPr>
            <w:r>
              <w:rPr>
                <w:b w:val="false"/>
                <w:bCs w:val="false"/>
                <w:color w:val="0B0B0B"/>
                <w:sz w:val="17"/>
                <w:szCs w:val="17"/>
              </w:rPr>
              <w:t xml:space="preserve">shipped</w:t>
            </w:r>
          </w:p>
        </w:tc>
      </w:tr>
      <w:tr>
        <w:tc>
          <w:tcPr>
            <w:tcW w:type="dxa" w:w="4400"/>
            <w:tcMar>
              <w:top w:type="dxa" w:w="45"/>
              <w:left w:type="dxa" w:w="85"/>
              <w:bottom w:type="dxa" w:w="45"/>
              <w:right w:type="dxa" w:w="85"/>
            </w:tcMar>
          </w:tcPr>
          <w:p>
            <w:pPr>
              <w:spacing w:after="0"/>
            </w:pPr>
            <w:r>
              <w:rPr>
                <w:b w:val="false"/>
                <w:bCs w:val="false"/>
                <w:color w:val="0B0B0B"/>
                <w:sz w:val="17"/>
                <w:szCs w:val="17"/>
              </w:rPr>
              <w:t xml:space="preserve">Multi-task seed averaging (1→6)</w:t>
            </w:r>
          </w:p>
        </w:tc>
        <w:tc>
          <w:tcPr>
            <w:tcW w:type="dxa" w:w="1900"/>
            <w:tcMar>
              <w:top w:type="dxa" w:w="45"/>
              <w:left w:type="dxa" w:w="85"/>
              <w:bottom w:type="dxa" w:w="45"/>
              <w:right w:type="dxa" w:w="85"/>
            </w:tcMar>
          </w:tcPr>
          <w:p>
            <w:pPr>
              <w:spacing w:after="0"/>
              <w:jc w:val="right"/>
            </w:pPr>
            <w:r>
              <w:rPr>
                <w:b w:val="false"/>
                <w:bCs w:val="false"/>
                <w:color w:val="0B0B0B"/>
                <w:sz w:val="17"/>
                <w:szCs w:val="17"/>
              </w:rPr>
              <w:t xml:space="preserve">+0.0047</w:t>
            </w:r>
          </w:p>
        </w:tc>
        <w:tc>
          <w:tcPr>
            <w:tcW w:type="dxa" w:w="3000"/>
            <w:tcMar>
              <w:top w:type="dxa" w:w="45"/>
              <w:left w:type="dxa" w:w="85"/>
              <w:bottom w:type="dxa" w:w="45"/>
              <w:right w:type="dxa" w:w="85"/>
            </w:tcMar>
          </w:tcPr>
          <w:p>
            <w:pPr>
              <w:spacing w:after="0"/>
              <w:jc w:val="right"/>
            </w:pPr>
            <w:r>
              <w:rPr>
                <w:b w:val="false"/>
                <w:bCs w:val="false"/>
                <w:color w:val="0B0B0B"/>
                <w:sz w:val="17"/>
                <w:szCs w:val="17"/>
              </w:rPr>
              <w:t xml:space="preserve">shipped</w:t>
            </w:r>
          </w:p>
        </w:tc>
      </w:tr>
      <w:tr>
        <w:tc>
          <w:tcPr>
            <w:tcW w:type="dxa" w:w="4400"/>
            <w:tcMar>
              <w:top w:type="dxa" w:w="45"/>
              <w:left w:type="dxa" w:w="85"/>
              <w:bottom w:type="dxa" w:w="45"/>
              <w:right w:type="dxa" w:w="85"/>
            </w:tcMar>
          </w:tcPr>
          <w:p>
            <w:pPr>
              <w:spacing w:after="0"/>
            </w:pPr>
            <w:r>
              <w:rPr>
                <w:b w:val="false"/>
                <w:bCs w:val="false"/>
                <w:color w:val="0B0B0B"/>
                <w:sz w:val="17"/>
                <w:szCs w:val="17"/>
              </w:rPr>
              <w:t xml:space="preserve">Canonical atom order (invariance fix)</w:t>
            </w:r>
          </w:p>
        </w:tc>
        <w:tc>
          <w:tcPr>
            <w:tcW w:type="dxa" w:w="1900"/>
            <w:tcMar>
              <w:top w:type="dxa" w:w="45"/>
              <w:left w:type="dxa" w:w="85"/>
              <w:bottom w:type="dxa" w:w="45"/>
              <w:right w:type="dxa" w:w="85"/>
            </w:tcMar>
          </w:tcPr>
          <w:p>
            <w:pPr>
              <w:spacing w:after="0"/>
              <w:jc w:val="right"/>
            </w:pPr>
            <w:r>
              <w:rPr>
                <w:b w:val="false"/>
                <w:bCs w:val="false"/>
                <w:color w:val="0B0B0B"/>
                <w:sz w:val="17"/>
                <w:szCs w:val="17"/>
              </w:rPr>
              <w:t xml:space="preserve">−0.0001</w:t>
            </w:r>
          </w:p>
        </w:tc>
        <w:tc>
          <w:tcPr>
            <w:tcW w:type="dxa" w:w="3000"/>
            <w:tcMar>
              <w:top w:type="dxa" w:w="45"/>
              <w:left w:type="dxa" w:w="85"/>
              <w:bottom w:type="dxa" w:w="45"/>
              <w:right w:type="dxa" w:w="85"/>
            </w:tcMar>
          </w:tcPr>
          <w:p>
            <w:pPr>
              <w:spacing w:after="0"/>
              <w:jc w:val="right"/>
            </w:pPr>
            <w:r>
              <w:rPr>
                <w:b w:val="false"/>
                <w:bCs w:val="false"/>
                <w:color w:val="0B0B0B"/>
                <w:sz w:val="17"/>
                <w:szCs w:val="17"/>
              </w:rPr>
              <w:t xml:space="preserve">shipped: invariance 3.0% → 0</w:t>
            </w:r>
          </w:p>
        </w:tc>
      </w:tr>
      <w:tr>
        <w:tc>
          <w:tcPr>
            <w:tcW w:type="dxa" w:w="4400"/>
            <w:tcMar>
              <w:top w:type="dxa" w:w="45"/>
              <w:left w:type="dxa" w:w="85"/>
              <w:bottom w:type="dxa" w:w="45"/>
              <w:right w:type="dxa" w:w="85"/>
            </w:tcMar>
          </w:tcPr>
          <w:p>
            <w:pPr>
              <w:spacing w:after="0"/>
            </w:pPr>
            <w:r>
              <w:rPr>
                <w:b w:val="false"/>
                <w:bCs w:val="false"/>
                <w:color w:val="0B0B0B"/>
                <w:sz w:val="17"/>
                <w:szCs w:val="17"/>
              </w:rPr>
              <w:t xml:space="preserve">Multi-task LightGBM</w:t>
            </w:r>
          </w:p>
        </w:tc>
        <w:tc>
          <w:tcPr>
            <w:tcW w:type="dxa" w:w="1900"/>
            <w:tcMar>
              <w:top w:type="dxa" w:w="45"/>
              <w:left w:type="dxa" w:w="85"/>
              <w:bottom w:type="dxa" w:w="45"/>
              <w:right w:type="dxa" w:w="85"/>
            </w:tcMar>
          </w:tcPr>
          <w:p>
            <w:pPr>
              <w:spacing w:after="0"/>
              <w:jc w:val="right"/>
            </w:pPr>
            <w:r>
              <w:rPr>
                <w:b w:val="false"/>
                <w:bCs w:val="false"/>
                <w:color w:val="0B0B0B"/>
                <w:sz w:val="17"/>
                <w:szCs w:val="17"/>
              </w:rPr>
              <w:t xml:space="preserve">+0.0004</w:t>
            </w:r>
          </w:p>
        </w:tc>
        <w:tc>
          <w:tcPr>
            <w:tcW w:type="dxa" w:w="3000"/>
            <w:tcMar>
              <w:top w:type="dxa" w:w="45"/>
              <w:left w:type="dxa" w:w="85"/>
              <w:bottom w:type="dxa" w:w="45"/>
              <w:right w:type="dxa" w:w="85"/>
            </w:tcMar>
          </w:tcPr>
          <w:p>
            <w:pPr>
              <w:spacing w:after="0"/>
              <w:jc w:val="right"/>
            </w:pPr>
            <w:r>
              <w:rPr>
                <w:b w:val="false"/>
                <w:bCs w:val="false"/>
                <w:color w:val="0B0B0B"/>
                <w:sz w:val="17"/>
                <w:szCs w:val="17"/>
              </w:rPr>
              <w:t xml:space="preserve">too weak to justify</w:t>
            </w:r>
          </w:p>
        </w:tc>
      </w:tr>
      <w:tr>
        <w:tc>
          <w:tcPr>
            <w:tcW w:type="dxa" w:w="4400"/>
            <w:tcMar>
              <w:top w:type="dxa" w:w="45"/>
              <w:left w:type="dxa" w:w="85"/>
              <w:bottom w:type="dxa" w:w="45"/>
              <w:right w:type="dxa" w:w="85"/>
            </w:tcMar>
          </w:tcPr>
          <w:p>
            <w:pPr>
              <w:spacing w:after="0"/>
            </w:pPr>
            <w:r>
              <w:rPr>
                <w:b w:val="false"/>
                <w:bCs w:val="false"/>
                <w:color w:val="0B0B0B"/>
                <w:sz w:val="17"/>
                <w:szCs w:val="17"/>
              </w:rPr>
              <w:t xml:space="preserve">PI1M masked-atom pretraining</w:t>
            </w:r>
          </w:p>
        </w:tc>
        <w:tc>
          <w:tcPr>
            <w:tcW w:type="dxa" w:w="1900"/>
            <w:tcMar>
              <w:top w:type="dxa" w:w="45"/>
              <w:left w:type="dxa" w:w="85"/>
              <w:bottom w:type="dxa" w:w="45"/>
              <w:right w:type="dxa" w:w="85"/>
            </w:tcMar>
          </w:tcPr>
          <w:p>
            <w:pPr>
              <w:spacing w:after="0"/>
              <w:jc w:val="right"/>
            </w:pPr>
            <w:r>
              <w:rPr>
                <w:b w:val="false"/>
                <w:bCs w:val="false"/>
                <w:color w:val="0B0B0B"/>
                <w:sz w:val="17"/>
                <w:szCs w:val="17"/>
              </w:rPr>
              <w:t xml:space="preserve">−0.0038</w:t>
            </w:r>
          </w:p>
        </w:tc>
        <w:tc>
          <w:tcPr>
            <w:tcW w:type="dxa" w:w="3000"/>
            <w:tcMar>
              <w:top w:type="dxa" w:w="45"/>
              <w:left w:type="dxa" w:w="85"/>
              <w:bottom w:type="dxa" w:w="45"/>
              <w:right w:type="dxa" w:w="85"/>
            </w:tcMar>
          </w:tcPr>
          <w:p>
            <w:pPr>
              <w:spacing w:after="0"/>
              <w:jc w:val="right"/>
            </w:pPr>
            <w:r>
              <w:rPr>
                <w:b w:val="false"/>
                <w:bCs w:val="false"/>
                <w:color w:val="0B0B0B"/>
                <w:sz w:val="17"/>
                <w:szCs w:val="17"/>
              </w:rPr>
              <w:t xml:space="preserve">rejected</w:t>
            </w:r>
          </w:p>
        </w:tc>
      </w:tr>
      <w:tr>
        <w:tc>
          <w:tcPr>
            <w:tcW w:type="dxa" w:w="4400"/>
            <w:tcMar>
              <w:top w:type="dxa" w:w="45"/>
              <w:left w:type="dxa" w:w="85"/>
              <w:bottom w:type="dxa" w:w="45"/>
              <w:right w:type="dxa" w:w="85"/>
            </w:tcMar>
          </w:tcPr>
          <w:p>
            <w:pPr>
              <w:spacing w:after="0"/>
            </w:pPr>
            <w:r>
              <w:rPr>
                <w:b w:val="false"/>
                <w:bCs w:val="false"/>
                <w:color w:val="0B0B0B"/>
                <w:sz w:val="17"/>
                <w:szCs w:val="17"/>
              </w:rPr>
              <w:t xml:space="preserve">Multi-task including Tg (Round 2 test)</w:t>
            </w:r>
          </w:p>
        </w:tc>
        <w:tc>
          <w:tcPr>
            <w:tcW w:type="dxa" w:w="1900"/>
            <w:tcMar>
              <w:top w:type="dxa" w:w="45"/>
              <w:left w:type="dxa" w:w="85"/>
              <w:bottom w:type="dxa" w:w="45"/>
              <w:right w:type="dxa" w:w="85"/>
            </w:tcMar>
          </w:tcPr>
          <w:p>
            <w:pPr>
              <w:spacing w:after="0"/>
              <w:jc w:val="right"/>
            </w:pPr>
            <w:r>
              <w:rPr>
                <w:b w:val="false"/>
                <w:bCs w:val="false"/>
                <w:color w:val="0B0B0B"/>
                <w:sz w:val="17"/>
                <w:szCs w:val="17"/>
              </w:rPr>
              <w:t xml:space="preserve">−0.0230</w:t>
            </w:r>
          </w:p>
        </w:tc>
        <w:tc>
          <w:tcPr>
            <w:tcW w:type="dxa" w:w="3000"/>
            <w:tcMar>
              <w:top w:type="dxa" w:w="45"/>
              <w:left w:type="dxa" w:w="85"/>
              <w:bottom w:type="dxa" w:w="45"/>
              <w:right w:type="dxa" w:w="85"/>
            </w:tcMar>
          </w:tcPr>
          <w:p>
            <w:pPr>
              <w:spacing w:after="0"/>
              <w:jc w:val="right"/>
            </w:pPr>
            <w:r>
              <w:rPr>
                <w:b w:val="false"/>
                <w:bCs w:val="false"/>
                <w:color w:val="0B0B0B"/>
                <w:sz w:val="17"/>
                <w:szCs w:val="17"/>
              </w:rPr>
              <w:t xml:space="preserve">rejected: no shared physics</w:t>
            </w:r>
          </w:p>
        </w:tc>
      </w:tr>
    </w:tbl>
    <w:sectPr>
      <w:pgSz w:w="11906" w:h="16838" w:orient="portrait"/>
      <w:pgMar w:top="1040" w:right="1120" w:bottom="1040" w:left="11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wehhxr25jml0rzldgfiy" Type="http://schemas.openxmlformats.org/officeDocument/2006/relationships/hyperlink" Target="https://www.kaggle.com/code/sahilsadhwani25/neonnull-round-3" TargetMode="External"/><Relationship Id="rIdrzyjlrzt5eahqhabfemvx" Type="http://schemas.openxmlformats.org/officeDocument/2006/relationships/hyperlink" Target="https://github.com/Sahilo6/amalgam-polymer" TargetMode="External"/><Relationship Id="rId7" Type="http://schemas.openxmlformats.org/officeDocument/2006/relationships/image" Target="media/82fe9abaf22f460841426aa5972cd981094b6a54.png"/><Relationship Id="rId8" Type="http://schemas.openxmlformats.org/officeDocument/2006/relationships/image" Target="media/0bbb1cb8114c6391f1688c49d6312c6b88d09445.png"/><Relationship Id="rId9" Type="http://schemas.openxmlformats.org/officeDocument/2006/relationships/image" Target="media/32254db1dc39757a2e28ef508ec2ffc438584e46.png"/><Relationship Id="rId10" Type="http://schemas.openxmlformats.org/officeDocument/2006/relationships/image" Target="media/a56a116fd2d1d9cec0c130309dd69db3a5c27478.png"/><Relationship Id="rId11" Type="http://schemas.openxmlformats.org/officeDocument/2006/relationships/image" Target="media/985c56f93d0d82c66ffff6d819a5b01e58a2dc45.png"/><Relationship Id="rId12" Type="http://schemas.openxmlformats.org/officeDocument/2006/relationships/image" Target="media/82403d73ebdad74827f6214863cd345f93a6039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Encoder for Shared Physics</dc:title>
  <dc:creator>NeonNull</dc:creator>
  <cp:lastModifiedBy>Un-named</cp:lastModifiedBy>
  <cp:revision>1</cp:revision>
  <dcterms:created xsi:type="dcterms:W3CDTF">2026-09-25T04:39:47.513Z</dcterms:created>
  <dcterms:modified xsi:type="dcterms:W3CDTF">2026-09-25T04:39:47.514Z</dcterms:modified>
</cp:coreProperties>
</file>

<file path=docProps/custom.xml><?xml version="1.0" encoding="utf-8"?>
<Properties xmlns="http://schemas.openxmlformats.org/officeDocument/2006/custom-properties" xmlns:vt="http://schemas.openxmlformats.org/officeDocument/2006/docPropsVTypes"/>
</file>