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81681D">
      <w:pPr>
        <w:spacing w:before="0" w:after="40"/>
      </w:pPr>
      <w:r>
        <w:rPr>
          <w:rFonts w:ascii="Calibri" w:hAnsi="Calibri"/>
          <w:b/>
          <w:color w:val="0F172A"/>
          <w:sz w:val="48"/>
        </w:rPr>
        <w:t>Project FaceIT — Competitive Edge &amp; Feature Analysis</w:t>
      </w:r>
    </w:p>
    <w:p w14:paraId="06768DD6">
      <w:pPr>
        <w:spacing w:after="280"/>
      </w:pPr>
      <w:r>
        <w:rPr>
          <w:rFonts w:ascii="Calibri" w:hAnsi="Calibri"/>
          <w:i/>
          <w:color w:val="64748B"/>
          <w:sz w:val="26"/>
        </w:rPr>
        <w:t>Strategic Market Intelligence Teardown: Competitor Gaps vs. FaceIT's Architectural Moats</w:t>
      </w:r>
    </w:p>
    <w:tbl>
      <w:tblPr>
        <w:tblStyle w:val="12"/>
        <w:tblW w:w="0" w:type="auto"/>
        <w:jc w:val="center"/>
        <w:tblLayout w:type="autofit"/>
        <w:tblCellMar>
          <w:top w:w="0" w:type="dxa"/>
          <w:left w:w="108" w:type="dxa"/>
          <w:bottom w:w="0" w:type="dxa"/>
          <w:right w:w="108" w:type="dxa"/>
        </w:tblCellMar>
      </w:tblPr>
      <w:tblGrid>
        <w:gridCol w:w="2520"/>
        <w:gridCol w:w="2520"/>
        <w:gridCol w:w="2520"/>
        <w:gridCol w:w="2520"/>
      </w:tblGrid>
      <w:tr w14:paraId="3EB36D63">
        <w:tblPrEx>
          <w:tblCellMar>
            <w:top w:w="0" w:type="dxa"/>
            <w:left w:w="108" w:type="dxa"/>
            <w:bottom w:w="0" w:type="dxa"/>
            <w:right w:w="108" w:type="dxa"/>
          </w:tblCellMar>
        </w:tblPrEx>
        <w:trPr>
          <w:jc w:val="center"/>
        </w:trPr>
        <w:tc>
          <w:tcPr>
            <w:tcW w:w="2520" w:type="dxa"/>
            <w:shd w:val="clear" w:color="auto" w:fill="F1F5F9"/>
            <w:tcMar>
              <w:top w:w="100" w:type="dxa"/>
              <w:left w:w="120" w:type="dxa"/>
              <w:bottom w:w="100" w:type="dxa"/>
              <w:right w:w="120" w:type="dxa"/>
            </w:tcMar>
          </w:tcPr>
          <w:p w14:paraId="126FD33B">
            <w:pPr>
              <w:spacing w:after="0"/>
            </w:pPr>
            <w:r>
              <w:rPr>
                <w:b/>
                <w:color w:val="64748B"/>
                <w:sz w:val="17"/>
              </w:rPr>
              <w:t>Prepared For</w:t>
            </w:r>
            <w:r>
              <w:rPr>
                <w:b/>
                <w:color w:val="64748B"/>
                <w:sz w:val="17"/>
              </w:rPr>
              <w:br w:type="textWrapping"/>
            </w:r>
            <w:r>
              <w:rPr>
                <w:b/>
                <w:color w:val="0F172A"/>
                <w:sz w:val="19"/>
              </w:rPr>
              <w:t>SIH 2024 / Evaluation Panel</w:t>
            </w:r>
          </w:p>
        </w:tc>
        <w:tc>
          <w:tcPr>
            <w:tcW w:w="2520" w:type="dxa"/>
            <w:shd w:val="clear" w:color="auto" w:fill="F1F5F9"/>
            <w:tcMar>
              <w:top w:w="100" w:type="dxa"/>
              <w:left w:w="120" w:type="dxa"/>
              <w:bottom w:w="100" w:type="dxa"/>
              <w:right w:w="120" w:type="dxa"/>
            </w:tcMar>
          </w:tcPr>
          <w:p w14:paraId="01630D74">
            <w:pPr>
              <w:spacing w:after="0"/>
            </w:pPr>
            <w:r>
              <w:rPr>
                <w:b/>
                <w:color w:val="64748B"/>
                <w:sz w:val="17"/>
              </w:rPr>
              <w:t>Target Sector</w:t>
            </w:r>
            <w:r>
              <w:rPr>
                <w:b/>
                <w:color w:val="64748B"/>
                <w:sz w:val="17"/>
              </w:rPr>
              <w:br w:type="textWrapping"/>
            </w:r>
            <w:r>
              <w:rPr>
                <w:b/>
                <w:color w:val="0F172A"/>
                <w:sz w:val="19"/>
              </w:rPr>
              <w:t>HealthTech / AI Diagnostics / Public Good</w:t>
            </w:r>
          </w:p>
        </w:tc>
        <w:tc>
          <w:tcPr>
            <w:tcW w:w="2520" w:type="dxa"/>
            <w:shd w:val="clear" w:color="auto" w:fill="F1F5F9"/>
            <w:tcMar>
              <w:top w:w="100" w:type="dxa"/>
              <w:left w:w="120" w:type="dxa"/>
              <w:bottom w:w="100" w:type="dxa"/>
              <w:right w:w="120" w:type="dxa"/>
            </w:tcMar>
          </w:tcPr>
          <w:p w14:paraId="640E4677">
            <w:pPr>
              <w:spacing w:after="0"/>
            </w:pPr>
            <w:r>
              <w:rPr>
                <w:b/>
                <w:color w:val="64748B"/>
                <w:sz w:val="17"/>
              </w:rPr>
              <w:t>Document Type</w:t>
            </w:r>
            <w:r>
              <w:rPr>
                <w:b/>
                <w:color w:val="64748B"/>
                <w:sz w:val="17"/>
              </w:rPr>
              <w:br w:type="textWrapping"/>
            </w:r>
            <w:r>
              <w:rPr>
                <w:b/>
                <w:color w:val="0F172A"/>
                <w:sz w:val="19"/>
              </w:rPr>
              <w:t>Competitor Teardown &amp; Edge Ledger</w:t>
            </w:r>
          </w:p>
        </w:tc>
        <w:tc>
          <w:tcPr>
            <w:tcW w:w="2520" w:type="dxa"/>
            <w:shd w:val="clear" w:color="auto" w:fill="F1F5F9"/>
            <w:tcMar>
              <w:top w:w="100" w:type="dxa"/>
              <w:left w:w="120" w:type="dxa"/>
              <w:bottom w:w="100" w:type="dxa"/>
              <w:right w:w="120" w:type="dxa"/>
            </w:tcMar>
          </w:tcPr>
          <w:p w14:paraId="5A298EE5">
            <w:pPr>
              <w:spacing w:after="0"/>
            </w:pPr>
            <w:r>
              <w:rPr>
                <w:b/>
                <w:color w:val="64748B"/>
                <w:sz w:val="17"/>
              </w:rPr>
              <w:t>Core Focus</w:t>
            </w:r>
            <w:r>
              <w:rPr>
                <w:b/>
                <w:color w:val="64748B"/>
                <w:sz w:val="17"/>
              </w:rPr>
              <w:br w:type="textWrapping"/>
            </w:r>
            <w:r>
              <w:rPr>
                <w:b/>
                <w:color w:val="0F172A"/>
                <w:sz w:val="19"/>
              </w:rPr>
              <w:t>Toxicity Scanner &amp; Med Generic Engine</w:t>
            </w:r>
          </w:p>
        </w:tc>
      </w:tr>
    </w:tbl>
    <w:p w14:paraId="318DB1BF">
      <w:pPr>
        <w:spacing w:after="200"/>
      </w:pPr>
    </w:p>
    <w:tbl>
      <w:tblPr>
        <w:tblStyle w:val="12"/>
        <w:tblW w:w="0" w:type="auto"/>
        <w:jc w:val="center"/>
        <w:tblLayout w:type="autofit"/>
        <w:tblCellMar>
          <w:top w:w="0" w:type="dxa"/>
          <w:left w:w="108" w:type="dxa"/>
          <w:bottom w:w="0" w:type="dxa"/>
          <w:right w:w="108" w:type="dxa"/>
        </w:tblCellMar>
      </w:tblPr>
      <w:tblGrid>
        <w:gridCol w:w="10080"/>
      </w:tblGrid>
      <w:tr w14:paraId="04D2B6D3">
        <w:tblPrEx>
          <w:tblCellMar>
            <w:top w:w="0" w:type="dxa"/>
            <w:left w:w="108" w:type="dxa"/>
            <w:bottom w:w="0" w:type="dxa"/>
            <w:right w:w="108" w:type="dxa"/>
          </w:tblCellMar>
        </w:tblPrEx>
        <w:trPr>
          <w:jc w:val="center"/>
        </w:trPr>
        <w:tc>
          <w:tcPr>
            <w:tcW w:w="10080" w:type="dxa"/>
            <w:tcBorders>
              <w:top w:val="nil"/>
              <w:left w:val="single" w:color="0D9488" w:sz="24" w:space="0"/>
              <w:bottom w:val="nil"/>
              <w:right w:val="nil"/>
            </w:tcBorders>
            <w:shd w:val="clear" w:color="auto" w:fill="F0FDFA"/>
            <w:tcMar>
              <w:top w:w="160" w:type="dxa"/>
              <w:left w:w="240" w:type="dxa"/>
              <w:bottom w:w="160" w:type="dxa"/>
              <w:right w:w="200" w:type="dxa"/>
            </w:tcMar>
          </w:tcPr>
          <w:p w14:paraId="7E77E3AC">
            <w:pPr>
              <w:spacing w:after="60"/>
            </w:pPr>
            <w:r>
              <w:rPr>
                <w:rFonts w:ascii="Calibri" w:hAnsi="Calibri"/>
                <w:b/>
                <w:color w:val="0D9488"/>
                <w:sz w:val="22"/>
              </w:rPr>
              <w:t>★ Executive Summary: Why FaceIT Wins the Market</w:t>
            </w:r>
            <w:r>
              <w:rPr>
                <w:rFonts w:ascii="Calibri" w:hAnsi="Calibri"/>
                <w:b/>
                <w:color w:val="0D9488"/>
                <w:sz w:val="22"/>
              </w:rPr>
              <w:br w:type="textWrapping"/>
            </w:r>
            <w:r>
              <w:rPr>
                <w:rFonts w:ascii="Calibri" w:hAnsi="Calibri"/>
                <w:color w:val="334155"/>
                <w:sz w:val="20"/>
              </w:rPr>
              <w:t>Current market offerings force a painful trade-off: ingredient safety apps (Yuka, INCI) ignore Indian pharmaceuticals and food patterns; e-pharmacies (1mg, Apollo) profit from selling costly branded medicines; and telemedicine apps (CureSkin) lock users into expensive white-label product subscriptions. FaceIT shatters this fragmented ecosystem by unifying AI multi-domain toxicity analysis (Skin, Diet, Hair) with direct Jan Aushadhi (PMBJP) government generic substitution, saving citizens up to 88% on dermatology prescriptions with 100% unbiased transparency.</w:t>
            </w:r>
          </w:p>
        </w:tc>
      </w:tr>
    </w:tbl>
    <w:p w14:paraId="74652484">
      <w:pPr>
        <w:spacing w:after="120"/>
      </w:pPr>
    </w:p>
    <w:p w14:paraId="5B7C9B44">
      <w:pPr>
        <w:pStyle w:val="2"/>
        <w:spacing w:before="280" w:after="120"/>
      </w:pPr>
      <w:r>
        <w:rPr>
          <w:rFonts w:ascii="Calibri" w:hAnsi="Calibri"/>
          <w:b/>
          <w:color w:val="0F172A"/>
          <w:sz w:val="36"/>
        </w:rPr>
        <w:t>1. Master Feature Comparison Matrix</w:t>
      </w:r>
    </w:p>
    <w:p w14:paraId="37A17CD9">
      <w:pPr>
        <w:spacing w:after="160"/>
      </w:pPr>
      <w:r>
        <w:t>The following matrix benchmarks FaceIT against all major direct and indirect competitors across the consumer health, dermatology, and e-pharmacy landscape in India and globally:</w:t>
      </w:r>
    </w:p>
    <w:tbl>
      <w:tblPr>
        <w:tblStyle w:val="12"/>
        <w:tblW w:w="0" w:type="auto"/>
        <w:jc w:val="center"/>
        <w:tblLayout w:type="autofit"/>
        <w:tblCellMar>
          <w:top w:w="0" w:type="dxa"/>
          <w:left w:w="108" w:type="dxa"/>
          <w:bottom w:w="0" w:type="dxa"/>
          <w:right w:w="108" w:type="dxa"/>
        </w:tblCellMar>
      </w:tblPr>
      <w:tblGrid>
        <w:gridCol w:w="2320"/>
        <w:gridCol w:w="1955"/>
        <w:gridCol w:w="1519"/>
        <w:gridCol w:w="1499"/>
        <w:gridCol w:w="1519"/>
        <w:gridCol w:w="1468"/>
      </w:tblGrid>
      <w:tr w14:paraId="3FDF250C">
        <w:tblPrEx>
          <w:tblCellMar>
            <w:top w:w="0" w:type="dxa"/>
            <w:left w:w="108" w:type="dxa"/>
            <w:bottom w:w="0" w:type="dxa"/>
            <w:right w:w="108" w:type="dxa"/>
          </w:tblCellMar>
        </w:tblPrEx>
        <w:trPr>
          <w:jc w:val="center"/>
        </w:trPr>
        <w:tc>
          <w:tcPr>
            <w:tcW w:w="2320" w:type="dxa"/>
            <w:shd w:val="clear" w:color="auto" w:fill="1E293B"/>
            <w:tcMar>
              <w:top w:w="120" w:type="dxa"/>
              <w:left w:w="100" w:type="dxa"/>
              <w:bottom w:w="120" w:type="dxa"/>
              <w:right w:w="100" w:type="dxa"/>
            </w:tcMar>
          </w:tcPr>
          <w:p w14:paraId="7C9D12B9">
            <w:pPr>
              <w:jc w:val="center"/>
            </w:pPr>
            <w:bookmarkStart w:id="0" w:name="_GoBack"/>
            <w:r>
              <w:rPr>
                <w:rFonts w:ascii="Calibri" w:hAnsi="Calibri"/>
                <w:b/>
                <w:color w:val="FFFFFF"/>
                <w:sz w:val="18"/>
              </w:rPr>
              <w:t>Feature / Capability Dimension</w:t>
            </w:r>
          </w:p>
        </w:tc>
        <w:tc>
          <w:tcPr>
            <w:tcW w:w="1955" w:type="dxa"/>
            <w:shd w:val="clear" w:color="auto" w:fill="0D9488"/>
            <w:tcMar>
              <w:top w:w="120" w:type="dxa"/>
              <w:left w:w="100" w:type="dxa"/>
              <w:bottom w:w="120" w:type="dxa"/>
              <w:right w:w="100" w:type="dxa"/>
            </w:tcMar>
          </w:tcPr>
          <w:p w14:paraId="1B44B61C">
            <w:pPr>
              <w:jc w:val="center"/>
            </w:pPr>
            <w:r>
              <w:rPr>
                <w:rFonts w:ascii="Calibri" w:hAnsi="Calibri"/>
                <w:b/>
                <w:color w:val="FFFFFF"/>
                <w:sz w:val="18"/>
              </w:rPr>
              <w:t>FaceIT (Our Platform)</w:t>
            </w:r>
          </w:p>
        </w:tc>
        <w:tc>
          <w:tcPr>
            <w:tcW w:w="1519" w:type="dxa"/>
            <w:shd w:val="clear" w:color="auto" w:fill="1E293B"/>
            <w:tcMar>
              <w:top w:w="120" w:type="dxa"/>
              <w:left w:w="100" w:type="dxa"/>
              <w:bottom w:w="120" w:type="dxa"/>
              <w:right w:w="100" w:type="dxa"/>
            </w:tcMar>
          </w:tcPr>
          <w:p w14:paraId="65E20119">
            <w:pPr>
              <w:jc w:val="center"/>
            </w:pPr>
            <w:r>
              <w:rPr>
                <w:rFonts w:ascii="Calibri" w:hAnsi="Calibri"/>
                <w:b/>
                <w:color w:val="FFFFFF"/>
                <w:sz w:val="18"/>
              </w:rPr>
              <w:t>Yuka / ThinkDirty</w:t>
            </w:r>
          </w:p>
        </w:tc>
        <w:tc>
          <w:tcPr>
            <w:tcW w:w="1499" w:type="dxa"/>
            <w:shd w:val="clear" w:color="auto" w:fill="1E293B"/>
            <w:tcMar>
              <w:top w:w="120" w:type="dxa"/>
              <w:left w:w="100" w:type="dxa"/>
              <w:bottom w:w="120" w:type="dxa"/>
              <w:right w:w="100" w:type="dxa"/>
            </w:tcMar>
          </w:tcPr>
          <w:p w14:paraId="6590DB02">
            <w:pPr>
              <w:jc w:val="center"/>
            </w:pPr>
            <w:r>
              <w:rPr>
                <w:rFonts w:ascii="Calibri" w:hAnsi="Calibri"/>
                <w:b/>
                <w:color w:val="FFFFFF"/>
                <w:sz w:val="18"/>
              </w:rPr>
              <w:t>CureSkin / SkinBliss</w:t>
            </w:r>
          </w:p>
        </w:tc>
        <w:tc>
          <w:tcPr>
            <w:tcW w:w="1519" w:type="dxa"/>
            <w:shd w:val="clear" w:color="auto" w:fill="1E293B"/>
            <w:tcMar>
              <w:top w:w="120" w:type="dxa"/>
              <w:left w:w="100" w:type="dxa"/>
              <w:bottom w:w="120" w:type="dxa"/>
              <w:right w:w="100" w:type="dxa"/>
            </w:tcMar>
          </w:tcPr>
          <w:p w14:paraId="32FCF728">
            <w:pPr>
              <w:jc w:val="center"/>
            </w:pPr>
            <w:r>
              <w:rPr>
                <w:rFonts w:ascii="Calibri" w:hAnsi="Calibri"/>
                <w:b/>
                <w:color w:val="FFFFFF"/>
                <w:sz w:val="18"/>
              </w:rPr>
              <w:t>1mg / PharmEasy</w:t>
            </w:r>
          </w:p>
        </w:tc>
        <w:tc>
          <w:tcPr>
            <w:tcW w:w="1468" w:type="dxa"/>
            <w:shd w:val="clear" w:color="auto" w:fill="1E293B"/>
            <w:tcMar>
              <w:top w:w="120" w:type="dxa"/>
              <w:left w:w="100" w:type="dxa"/>
              <w:bottom w:w="120" w:type="dxa"/>
              <w:right w:w="100" w:type="dxa"/>
            </w:tcMar>
          </w:tcPr>
          <w:p w14:paraId="500437F9">
            <w:pPr>
              <w:jc w:val="center"/>
            </w:pPr>
            <w:r>
              <w:rPr>
                <w:rFonts w:ascii="Calibri" w:hAnsi="Calibri"/>
                <w:b/>
                <w:color w:val="FFFFFF"/>
                <w:sz w:val="18"/>
              </w:rPr>
              <w:t>Truemeds</w:t>
            </w:r>
          </w:p>
        </w:tc>
      </w:tr>
      <w:tr w14:paraId="047B07A5">
        <w:tblPrEx>
          <w:tblCellMar>
            <w:top w:w="0" w:type="dxa"/>
            <w:left w:w="108" w:type="dxa"/>
            <w:bottom w:w="0" w:type="dxa"/>
            <w:right w:w="108" w:type="dxa"/>
          </w:tblCellMar>
        </w:tblPrEx>
        <w:trPr>
          <w:jc w:val="center"/>
        </w:trPr>
        <w:tc>
          <w:tcPr>
            <w:tcW w:w="2320" w:type="dxa"/>
            <w:shd w:val="clear" w:color="auto" w:fill="F8FAFC"/>
            <w:tcMar>
              <w:top w:w="100" w:type="dxa"/>
              <w:left w:w="80" w:type="dxa"/>
              <w:bottom w:w="100" w:type="dxa"/>
              <w:right w:w="80" w:type="dxa"/>
            </w:tcMar>
          </w:tcPr>
          <w:p w14:paraId="0615155F">
            <w:pPr>
              <w:jc w:val="left"/>
            </w:pPr>
            <w:r>
              <w:rPr>
                <w:rFonts w:ascii="Calibri" w:hAnsi="Calibri"/>
                <w:color w:val="1E293B"/>
                <w:sz w:val="17"/>
              </w:rPr>
              <w:t>Multi-Domain Toxicity Scanner</w:t>
            </w:r>
            <w:r>
              <w:rPr>
                <w:rFonts w:ascii="Calibri" w:hAnsi="Calibri"/>
                <w:color w:val="1E293B"/>
                <w:sz w:val="17"/>
              </w:rPr>
              <w:br w:type="textWrapping"/>
            </w:r>
            <w:r>
              <w:rPr>
                <w:rFonts w:ascii="Calibri" w:hAnsi="Calibri"/>
                <w:color w:val="1E293B"/>
                <w:sz w:val="17"/>
              </w:rPr>
              <w:t>(Skin, Food/Diet &amp; Hair)</w:t>
            </w:r>
          </w:p>
        </w:tc>
        <w:tc>
          <w:tcPr>
            <w:tcW w:w="1955" w:type="dxa"/>
            <w:shd w:val="clear" w:color="auto" w:fill="F0FDFA"/>
            <w:tcMar>
              <w:top w:w="100" w:type="dxa"/>
              <w:left w:w="80" w:type="dxa"/>
              <w:bottom w:w="100" w:type="dxa"/>
              <w:right w:w="80" w:type="dxa"/>
            </w:tcMar>
          </w:tcPr>
          <w:p w14:paraId="37F9D483">
            <w:pPr>
              <w:jc w:val="center"/>
            </w:pPr>
            <w:r>
              <w:rPr>
                <w:rFonts w:ascii="Calibri" w:hAnsi="Calibri"/>
                <w:b/>
                <w:color w:val="0D9488"/>
                <w:sz w:val="17"/>
              </w:rPr>
              <w:t>✔ YES (Full Triad)</w:t>
            </w:r>
            <w:r>
              <w:rPr>
                <w:rFonts w:ascii="Calibri" w:hAnsi="Calibri"/>
                <w:b/>
                <w:color w:val="0D9488"/>
                <w:sz w:val="17"/>
              </w:rPr>
              <w:br w:type="textWrapping"/>
            </w:r>
            <w:r>
              <w:rPr>
                <w:rFonts w:ascii="Calibri" w:hAnsi="Calibri"/>
                <w:b/>
                <w:color w:val="0D9488"/>
                <w:sz w:val="17"/>
              </w:rPr>
              <w:t>Unified 3-domain scanning</w:t>
            </w:r>
          </w:p>
        </w:tc>
        <w:tc>
          <w:tcPr>
            <w:tcW w:w="1519" w:type="dxa"/>
            <w:shd w:val="clear" w:color="auto" w:fill="F8FAFC"/>
            <w:tcMar>
              <w:top w:w="100" w:type="dxa"/>
              <w:left w:w="80" w:type="dxa"/>
              <w:bottom w:w="100" w:type="dxa"/>
              <w:right w:w="80" w:type="dxa"/>
            </w:tcMar>
          </w:tcPr>
          <w:p w14:paraId="494BB42C">
            <w:pPr>
              <w:jc w:val="center"/>
            </w:pPr>
            <w:r>
              <w:rPr>
                <w:rFonts w:ascii="Calibri" w:hAnsi="Calibri"/>
                <w:color w:val="D97706"/>
                <w:sz w:val="17"/>
              </w:rPr>
              <w:t>▲ Partial</w:t>
            </w:r>
            <w:r>
              <w:rPr>
                <w:rFonts w:ascii="Calibri" w:hAnsi="Calibri"/>
                <w:color w:val="D97706"/>
                <w:sz w:val="17"/>
              </w:rPr>
              <w:br w:type="textWrapping"/>
            </w:r>
            <w:r>
              <w:rPr>
                <w:rFonts w:ascii="Calibri" w:hAnsi="Calibri"/>
                <w:color w:val="D97706"/>
                <w:sz w:val="17"/>
              </w:rPr>
              <w:t>Food &amp; Cosmetic only, no scalp/hair</w:t>
            </w:r>
          </w:p>
        </w:tc>
        <w:tc>
          <w:tcPr>
            <w:tcW w:w="1499" w:type="dxa"/>
            <w:shd w:val="clear" w:color="auto" w:fill="F8FAFC"/>
            <w:tcMar>
              <w:top w:w="100" w:type="dxa"/>
              <w:left w:w="80" w:type="dxa"/>
              <w:bottom w:w="100" w:type="dxa"/>
              <w:right w:w="80" w:type="dxa"/>
            </w:tcMar>
          </w:tcPr>
          <w:p w14:paraId="32EBC10D">
            <w:pPr>
              <w:jc w:val="center"/>
            </w:pPr>
            <w:r>
              <w:rPr>
                <w:rFonts w:ascii="Calibri" w:hAnsi="Calibri"/>
                <w:color w:val="E11D48"/>
                <w:sz w:val="17"/>
              </w:rPr>
              <w:t>✘ NO</w:t>
            </w:r>
            <w:r>
              <w:rPr>
                <w:rFonts w:ascii="Calibri" w:hAnsi="Calibri"/>
                <w:color w:val="E11D48"/>
                <w:sz w:val="17"/>
              </w:rPr>
              <w:br w:type="textWrapping"/>
            </w:r>
            <w:r>
              <w:rPr>
                <w:rFonts w:ascii="Calibri" w:hAnsi="Calibri"/>
                <w:color w:val="E11D48"/>
                <w:sz w:val="17"/>
              </w:rPr>
              <w:t>Skin only, no ingredient scanner</w:t>
            </w:r>
          </w:p>
        </w:tc>
        <w:tc>
          <w:tcPr>
            <w:tcW w:w="1519" w:type="dxa"/>
            <w:shd w:val="clear" w:color="auto" w:fill="F8FAFC"/>
            <w:tcMar>
              <w:top w:w="100" w:type="dxa"/>
              <w:left w:w="80" w:type="dxa"/>
              <w:bottom w:w="100" w:type="dxa"/>
              <w:right w:w="80" w:type="dxa"/>
            </w:tcMar>
          </w:tcPr>
          <w:p w14:paraId="77B21A41">
            <w:pPr>
              <w:jc w:val="center"/>
            </w:pPr>
            <w:r>
              <w:rPr>
                <w:rFonts w:ascii="Calibri" w:hAnsi="Calibri"/>
                <w:color w:val="E11D48"/>
                <w:sz w:val="17"/>
              </w:rPr>
              <w:t>✘ NO</w:t>
            </w:r>
            <w:r>
              <w:rPr>
                <w:rFonts w:ascii="Calibri" w:hAnsi="Calibri"/>
                <w:color w:val="E11D48"/>
                <w:sz w:val="17"/>
              </w:rPr>
              <w:br w:type="textWrapping"/>
            </w:r>
            <w:r>
              <w:rPr>
                <w:rFonts w:ascii="Calibri" w:hAnsi="Calibri"/>
                <w:color w:val="E11D48"/>
                <w:sz w:val="17"/>
              </w:rPr>
              <w:t>E-commerce storefront only</w:t>
            </w:r>
          </w:p>
        </w:tc>
        <w:tc>
          <w:tcPr>
            <w:tcW w:w="1468" w:type="dxa"/>
            <w:shd w:val="clear" w:color="auto" w:fill="F8FAFC"/>
            <w:tcMar>
              <w:top w:w="100" w:type="dxa"/>
              <w:left w:w="80" w:type="dxa"/>
              <w:bottom w:w="100" w:type="dxa"/>
              <w:right w:w="80" w:type="dxa"/>
            </w:tcMar>
          </w:tcPr>
          <w:p w14:paraId="289889C7">
            <w:pPr>
              <w:jc w:val="center"/>
            </w:pPr>
            <w:r>
              <w:rPr>
                <w:rFonts w:ascii="Calibri" w:hAnsi="Calibri"/>
                <w:color w:val="E11D48"/>
                <w:sz w:val="17"/>
              </w:rPr>
              <w:t>✘ NO</w:t>
            </w:r>
            <w:r>
              <w:rPr>
                <w:rFonts w:ascii="Calibri" w:hAnsi="Calibri"/>
                <w:color w:val="E11D48"/>
                <w:sz w:val="17"/>
              </w:rPr>
              <w:br w:type="textWrapping"/>
            </w:r>
            <w:r>
              <w:rPr>
                <w:rFonts w:ascii="Calibri" w:hAnsi="Calibri"/>
                <w:color w:val="E11D48"/>
                <w:sz w:val="17"/>
              </w:rPr>
              <w:t>Generic search only</w:t>
            </w:r>
          </w:p>
        </w:tc>
      </w:tr>
      <w:tr w14:paraId="18F2A736">
        <w:tblPrEx>
          <w:tblCellMar>
            <w:top w:w="0" w:type="dxa"/>
            <w:left w:w="108" w:type="dxa"/>
            <w:bottom w:w="0" w:type="dxa"/>
            <w:right w:w="108" w:type="dxa"/>
          </w:tblCellMar>
        </w:tblPrEx>
        <w:trPr>
          <w:jc w:val="center"/>
        </w:trPr>
        <w:tc>
          <w:tcPr>
            <w:tcW w:w="2320" w:type="dxa"/>
            <w:shd w:val="clear" w:color="auto" w:fill="FFFFFF"/>
            <w:tcMar>
              <w:top w:w="100" w:type="dxa"/>
              <w:left w:w="80" w:type="dxa"/>
              <w:bottom w:w="100" w:type="dxa"/>
              <w:right w:w="80" w:type="dxa"/>
            </w:tcMar>
          </w:tcPr>
          <w:p w14:paraId="729BFE87">
            <w:pPr>
              <w:jc w:val="left"/>
            </w:pPr>
            <w:r>
              <w:rPr>
                <w:rFonts w:ascii="Calibri" w:hAnsi="Calibri"/>
                <w:color w:val="1E293B"/>
                <w:sz w:val="17"/>
              </w:rPr>
              <w:t>Jan Aushadhi (PMBJP) Matching</w:t>
            </w:r>
            <w:r>
              <w:rPr>
                <w:rFonts w:ascii="Calibri" w:hAnsi="Calibri"/>
                <w:color w:val="1E293B"/>
                <w:sz w:val="17"/>
              </w:rPr>
              <w:br w:type="textWrapping"/>
            </w:r>
            <w:r>
              <w:rPr>
                <w:rFonts w:ascii="Calibri" w:hAnsi="Calibri"/>
                <w:color w:val="1E293B"/>
                <w:sz w:val="17"/>
              </w:rPr>
              <w:t>(Govt Generic Bio-Equivalents)</w:t>
            </w:r>
          </w:p>
        </w:tc>
        <w:tc>
          <w:tcPr>
            <w:tcW w:w="1955" w:type="dxa"/>
            <w:shd w:val="clear" w:color="auto" w:fill="E6FFFA"/>
            <w:tcMar>
              <w:top w:w="100" w:type="dxa"/>
              <w:left w:w="80" w:type="dxa"/>
              <w:bottom w:w="100" w:type="dxa"/>
              <w:right w:w="80" w:type="dxa"/>
            </w:tcMar>
          </w:tcPr>
          <w:p w14:paraId="0447403E">
            <w:pPr>
              <w:jc w:val="center"/>
            </w:pPr>
            <w:r>
              <w:rPr>
                <w:rFonts w:ascii="Calibri" w:hAnsi="Calibri"/>
                <w:b/>
                <w:color w:val="0D9488"/>
                <w:sz w:val="17"/>
              </w:rPr>
              <w:t>✔ YES (Native Core)</w:t>
            </w:r>
            <w:r>
              <w:rPr>
                <w:rFonts w:ascii="Calibri" w:hAnsi="Calibri"/>
                <w:b/>
                <w:color w:val="0D9488"/>
                <w:sz w:val="17"/>
              </w:rPr>
              <w:br w:type="textWrapping"/>
            </w:r>
            <w:r>
              <w:rPr>
                <w:rFonts w:ascii="Calibri" w:hAnsi="Calibri"/>
                <w:b/>
                <w:color w:val="0D9488"/>
                <w:sz w:val="17"/>
              </w:rPr>
              <w:t>Direct PMBJP code &amp; MRP ₹32-₹45</w:t>
            </w:r>
          </w:p>
        </w:tc>
        <w:tc>
          <w:tcPr>
            <w:tcW w:w="1519" w:type="dxa"/>
            <w:shd w:val="clear" w:color="auto" w:fill="FFFFFF"/>
            <w:tcMar>
              <w:top w:w="100" w:type="dxa"/>
              <w:left w:w="80" w:type="dxa"/>
              <w:bottom w:w="100" w:type="dxa"/>
              <w:right w:w="80" w:type="dxa"/>
            </w:tcMar>
          </w:tcPr>
          <w:p w14:paraId="181866BA">
            <w:pPr>
              <w:jc w:val="center"/>
            </w:pPr>
            <w:r>
              <w:rPr>
                <w:rFonts w:ascii="Calibri" w:hAnsi="Calibri"/>
                <w:color w:val="E11D48"/>
                <w:sz w:val="17"/>
              </w:rPr>
              <w:t>✘ NO</w:t>
            </w:r>
            <w:r>
              <w:rPr>
                <w:rFonts w:ascii="Calibri" w:hAnsi="Calibri"/>
                <w:color w:val="E11D48"/>
                <w:sz w:val="17"/>
              </w:rPr>
              <w:br w:type="textWrapping"/>
            </w:r>
            <w:r>
              <w:rPr>
                <w:rFonts w:ascii="Calibri" w:hAnsi="Calibri"/>
                <w:color w:val="E11D48"/>
                <w:sz w:val="17"/>
              </w:rPr>
              <w:t>Zero pharmaceutical indexing</w:t>
            </w:r>
          </w:p>
        </w:tc>
        <w:tc>
          <w:tcPr>
            <w:tcW w:w="1499" w:type="dxa"/>
            <w:shd w:val="clear" w:color="auto" w:fill="FFFFFF"/>
            <w:tcMar>
              <w:top w:w="100" w:type="dxa"/>
              <w:left w:w="80" w:type="dxa"/>
              <w:bottom w:w="100" w:type="dxa"/>
              <w:right w:w="80" w:type="dxa"/>
            </w:tcMar>
          </w:tcPr>
          <w:p w14:paraId="08A0D843">
            <w:pPr>
              <w:jc w:val="center"/>
            </w:pPr>
            <w:r>
              <w:rPr>
                <w:rFonts w:ascii="Calibri" w:hAnsi="Calibri"/>
                <w:color w:val="E11D48"/>
                <w:sz w:val="17"/>
              </w:rPr>
              <w:t>✘ NO</w:t>
            </w:r>
            <w:r>
              <w:rPr>
                <w:rFonts w:ascii="Calibri" w:hAnsi="Calibri"/>
                <w:color w:val="E11D48"/>
                <w:sz w:val="17"/>
              </w:rPr>
              <w:br w:type="textWrapping"/>
            </w:r>
            <w:r>
              <w:rPr>
                <w:rFonts w:ascii="Calibri" w:hAnsi="Calibri"/>
                <w:color w:val="E11D48"/>
                <w:sz w:val="17"/>
              </w:rPr>
              <w:t>Pushes private ₹1200+ kits</w:t>
            </w:r>
          </w:p>
        </w:tc>
        <w:tc>
          <w:tcPr>
            <w:tcW w:w="1519" w:type="dxa"/>
            <w:shd w:val="clear" w:color="auto" w:fill="FFFFFF"/>
            <w:tcMar>
              <w:top w:w="100" w:type="dxa"/>
              <w:left w:w="80" w:type="dxa"/>
              <w:bottom w:w="100" w:type="dxa"/>
              <w:right w:w="80" w:type="dxa"/>
            </w:tcMar>
          </w:tcPr>
          <w:p w14:paraId="754012F2">
            <w:pPr>
              <w:jc w:val="center"/>
            </w:pPr>
            <w:r>
              <w:rPr>
                <w:rFonts w:ascii="Calibri" w:hAnsi="Calibri"/>
                <w:color w:val="E11D48"/>
                <w:sz w:val="17"/>
              </w:rPr>
              <w:t>✘ NO</w:t>
            </w:r>
            <w:r>
              <w:rPr>
                <w:rFonts w:ascii="Calibri" w:hAnsi="Calibri"/>
                <w:color w:val="E11D48"/>
                <w:sz w:val="17"/>
              </w:rPr>
              <w:br w:type="textWrapping"/>
            </w:r>
            <w:r>
              <w:rPr>
                <w:rFonts w:ascii="Calibri" w:hAnsi="Calibri"/>
                <w:color w:val="E11D48"/>
                <w:sz w:val="17"/>
              </w:rPr>
              <w:t>Deprioritizes PMBJP (Low margin)</w:t>
            </w:r>
          </w:p>
        </w:tc>
        <w:tc>
          <w:tcPr>
            <w:tcW w:w="1468" w:type="dxa"/>
            <w:shd w:val="clear" w:color="auto" w:fill="FFFFFF"/>
            <w:tcMar>
              <w:top w:w="100" w:type="dxa"/>
              <w:left w:w="80" w:type="dxa"/>
              <w:bottom w:w="100" w:type="dxa"/>
              <w:right w:w="80" w:type="dxa"/>
            </w:tcMar>
          </w:tcPr>
          <w:p w14:paraId="1142E687">
            <w:pPr>
              <w:jc w:val="center"/>
            </w:pPr>
            <w:r>
              <w:rPr>
                <w:rFonts w:ascii="Calibri" w:hAnsi="Calibri"/>
                <w:color w:val="D97706"/>
                <w:sz w:val="17"/>
              </w:rPr>
              <w:t>▲ Partial</w:t>
            </w:r>
            <w:r>
              <w:rPr>
                <w:rFonts w:ascii="Calibri" w:hAnsi="Calibri"/>
                <w:color w:val="D97706"/>
                <w:sz w:val="17"/>
              </w:rPr>
              <w:br w:type="textWrapping"/>
            </w:r>
            <w:r>
              <w:rPr>
                <w:rFonts w:ascii="Calibri" w:hAnsi="Calibri"/>
                <w:color w:val="D97706"/>
                <w:sz w:val="17"/>
              </w:rPr>
              <w:t>Pushes private generic brands</w:t>
            </w:r>
          </w:p>
        </w:tc>
      </w:tr>
      <w:tr w14:paraId="666135B1">
        <w:tblPrEx>
          <w:tblCellMar>
            <w:top w:w="0" w:type="dxa"/>
            <w:left w:w="108" w:type="dxa"/>
            <w:bottom w:w="0" w:type="dxa"/>
            <w:right w:w="108" w:type="dxa"/>
          </w:tblCellMar>
        </w:tblPrEx>
        <w:trPr>
          <w:jc w:val="center"/>
        </w:trPr>
        <w:tc>
          <w:tcPr>
            <w:tcW w:w="2320" w:type="dxa"/>
            <w:shd w:val="clear" w:color="auto" w:fill="F8FAFC"/>
            <w:tcMar>
              <w:top w:w="100" w:type="dxa"/>
              <w:left w:w="80" w:type="dxa"/>
              <w:bottom w:w="100" w:type="dxa"/>
              <w:right w:w="80" w:type="dxa"/>
            </w:tcMar>
          </w:tcPr>
          <w:p w14:paraId="0C41D359">
            <w:pPr>
              <w:jc w:val="left"/>
            </w:pPr>
            <w:r>
              <w:rPr>
                <w:rFonts w:ascii="Calibri" w:hAnsi="Calibri"/>
                <w:color w:val="1E293B"/>
                <w:sz w:val="17"/>
              </w:rPr>
              <w:t>Patient Prescription Savings</w:t>
            </w:r>
            <w:r>
              <w:rPr>
                <w:rFonts w:ascii="Calibri" w:hAnsi="Calibri"/>
                <w:color w:val="1E293B"/>
                <w:sz w:val="17"/>
              </w:rPr>
              <w:br w:type="textWrapping"/>
            </w:r>
            <w:r>
              <w:rPr>
                <w:rFonts w:ascii="Calibri" w:hAnsi="Calibri"/>
                <w:color w:val="1E293B"/>
                <w:sz w:val="17"/>
              </w:rPr>
              <w:t>(% Cost Reduction)</w:t>
            </w:r>
          </w:p>
        </w:tc>
        <w:tc>
          <w:tcPr>
            <w:tcW w:w="1955" w:type="dxa"/>
            <w:shd w:val="clear" w:color="auto" w:fill="F0FDFA"/>
            <w:tcMar>
              <w:top w:w="100" w:type="dxa"/>
              <w:left w:w="80" w:type="dxa"/>
              <w:bottom w:w="100" w:type="dxa"/>
              <w:right w:w="80" w:type="dxa"/>
            </w:tcMar>
          </w:tcPr>
          <w:p w14:paraId="704A7C8A">
            <w:pPr>
              <w:jc w:val="center"/>
            </w:pPr>
            <w:r>
              <w:rPr>
                <w:rFonts w:ascii="Calibri" w:hAnsi="Calibri"/>
                <w:b/>
                <w:color w:val="0D9488"/>
                <w:sz w:val="17"/>
              </w:rPr>
              <w:t>✔ UP TO 88% SAVINGS</w:t>
            </w:r>
            <w:r>
              <w:rPr>
                <w:rFonts w:ascii="Calibri" w:hAnsi="Calibri"/>
                <w:b/>
                <w:color w:val="0D9488"/>
                <w:sz w:val="17"/>
              </w:rPr>
              <w:br w:type="textWrapping"/>
            </w:r>
            <w:r>
              <w:rPr>
                <w:rFonts w:ascii="Calibri" w:hAnsi="Calibri"/>
                <w:b/>
                <w:color w:val="0D9488"/>
                <w:sz w:val="17"/>
              </w:rPr>
              <w:t>(e.g., ₹45 vs ₹380 MRP)</w:t>
            </w:r>
          </w:p>
        </w:tc>
        <w:tc>
          <w:tcPr>
            <w:tcW w:w="1519" w:type="dxa"/>
            <w:shd w:val="clear" w:color="auto" w:fill="F8FAFC"/>
            <w:tcMar>
              <w:top w:w="100" w:type="dxa"/>
              <w:left w:w="80" w:type="dxa"/>
              <w:bottom w:w="100" w:type="dxa"/>
              <w:right w:w="80" w:type="dxa"/>
            </w:tcMar>
          </w:tcPr>
          <w:p w14:paraId="2D3A5944">
            <w:pPr>
              <w:jc w:val="center"/>
            </w:pPr>
            <w:r>
              <w:rPr>
                <w:rFonts w:ascii="Calibri" w:hAnsi="Calibri"/>
                <w:color w:val="E11D48"/>
                <w:sz w:val="17"/>
              </w:rPr>
              <w:t>✘ 0% (No pricing)</w:t>
            </w:r>
          </w:p>
        </w:tc>
        <w:tc>
          <w:tcPr>
            <w:tcW w:w="1499" w:type="dxa"/>
            <w:shd w:val="clear" w:color="auto" w:fill="F8FAFC"/>
            <w:tcMar>
              <w:top w:w="100" w:type="dxa"/>
              <w:left w:w="80" w:type="dxa"/>
              <w:bottom w:w="100" w:type="dxa"/>
              <w:right w:w="80" w:type="dxa"/>
            </w:tcMar>
          </w:tcPr>
          <w:p w14:paraId="7E6F0282">
            <w:pPr>
              <w:jc w:val="center"/>
            </w:pPr>
            <w:r>
              <w:rPr>
                <w:rFonts w:ascii="Calibri" w:hAnsi="Calibri"/>
                <w:color w:val="E11D48"/>
                <w:sz w:val="17"/>
              </w:rPr>
              <w:t>✘ Negative</w:t>
            </w:r>
            <w:r>
              <w:rPr>
                <w:rFonts w:ascii="Calibri" w:hAnsi="Calibri"/>
                <w:color w:val="E11D48"/>
                <w:sz w:val="17"/>
              </w:rPr>
              <w:br w:type="textWrapping"/>
            </w:r>
            <w:r>
              <w:rPr>
                <w:rFonts w:ascii="Calibri" w:hAnsi="Calibri"/>
                <w:color w:val="E11D48"/>
                <w:sz w:val="17"/>
              </w:rPr>
              <w:t>Increases user expense</w:t>
            </w:r>
          </w:p>
        </w:tc>
        <w:tc>
          <w:tcPr>
            <w:tcW w:w="1519" w:type="dxa"/>
            <w:shd w:val="clear" w:color="auto" w:fill="F8FAFC"/>
            <w:tcMar>
              <w:top w:w="100" w:type="dxa"/>
              <w:left w:w="80" w:type="dxa"/>
              <w:bottom w:w="100" w:type="dxa"/>
              <w:right w:w="80" w:type="dxa"/>
            </w:tcMar>
          </w:tcPr>
          <w:p w14:paraId="140261E9">
            <w:pPr>
              <w:jc w:val="center"/>
            </w:pPr>
            <w:r>
              <w:rPr>
                <w:rFonts w:ascii="Calibri" w:hAnsi="Calibri"/>
                <w:color w:val="D97706"/>
                <w:sz w:val="17"/>
              </w:rPr>
              <w:t>▲ 10% - 20%</w:t>
            </w:r>
            <w:r>
              <w:rPr>
                <w:rFonts w:ascii="Calibri" w:hAnsi="Calibri"/>
                <w:color w:val="D97706"/>
                <w:sz w:val="17"/>
              </w:rPr>
              <w:br w:type="textWrapping"/>
            </w:r>
            <w:r>
              <w:rPr>
                <w:rFonts w:ascii="Calibri" w:hAnsi="Calibri"/>
                <w:color w:val="D97706"/>
                <w:sz w:val="17"/>
              </w:rPr>
              <w:t>Standard commercial discounts</w:t>
            </w:r>
          </w:p>
        </w:tc>
        <w:tc>
          <w:tcPr>
            <w:tcW w:w="1468" w:type="dxa"/>
            <w:shd w:val="clear" w:color="auto" w:fill="F8FAFC"/>
            <w:tcMar>
              <w:top w:w="100" w:type="dxa"/>
              <w:left w:w="80" w:type="dxa"/>
              <w:bottom w:w="100" w:type="dxa"/>
              <w:right w:w="80" w:type="dxa"/>
            </w:tcMar>
          </w:tcPr>
          <w:p w14:paraId="02913035">
            <w:pPr>
              <w:jc w:val="center"/>
            </w:pPr>
            <w:r>
              <w:rPr>
                <w:rFonts w:ascii="Calibri" w:hAnsi="Calibri"/>
                <w:color w:val="D97706"/>
                <w:sz w:val="17"/>
              </w:rPr>
              <w:t>▲ 40% - 55%</w:t>
            </w:r>
            <w:r>
              <w:rPr>
                <w:rFonts w:ascii="Calibri" w:hAnsi="Calibri"/>
                <w:color w:val="D97706"/>
                <w:sz w:val="17"/>
              </w:rPr>
              <w:br w:type="textWrapping"/>
            </w:r>
            <w:r>
              <w:rPr>
                <w:rFonts w:ascii="Calibri" w:hAnsi="Calibri"/>
                <w:color w:val="D97706"/>
                <w:sz w:val="17"/>
              </w:rPr>
              <w:t>Private generic discounts</w:t>
            </w:r>
          </w:p>
        </w:tc>
      </w:tr>
      <w:tr w14:paraId="1EC06FDF">
        <w:tblPrEx>
          <w:tblCellMar>
            <w:top w:w="0" w:type="dxa"/>
            <w:left w:w="108" w:type="dxa"/>
            <w:bottom w:w="0" w:type="dxa"/>
            <w:right w:w="108" w:type="dxa"/>
          </w:tblCellMar>
        </w:tblPrEx>
        <w:trPr>
          <w:jc w:val="center"/>
        </w:trPr>
        <w:tc>
          <w:tcPr>
            <w:tcW w:w="2320" w:type="dxa"/>
            <w:shd w:val="clear" w:color="auto" w:fill="FFFFFF"/>
            <w:tcMar>
              <w:top w:w="100" w:type="dxa"/>
              <w:left w:w="80" w:type="dxa"/>
              <w:bottom w:w="100" w:type="dxa"/>
              <w:right w:w="80" w:type="dxa"/>
            </w:tcMar>
          </w:tcPr>
          <w:p w14:paraId="050261C9">
            <w:pPr>
              <w:jc w:val="left"/>
            </w:pPr>
            <w:r>
              <w:rPr>
                <w:rFonts w:ascii="Calibri" w:hAnsi="Calibri"/>
                <w:color w:val="1E293B"/>
                <w:sz w:val="17"/>
              </w:rPr>
              <w:t>Multimodal Prescription OCR</w:t>
            </w:r>
            <w:r>
              <w:rPr>
                <w:rFonts w:ascii="Calibri" w:hAnsi="Calibri"/>
                <w:color w:val="1E293B"/>
                <w:sz w:val="17"/>
              </w:rPr>
              <w:br w:type="textWrapping"/>
            </w:r>
            <w:r>
              <w:rPr>
                <w:rFonts w:ascii="Calibri" w:hAnsi="Calibri"/>
                <w:color w:val="1E293B"/>
                <w:sz w:val="17"/>
              </w:rPr>
              <w:t>(AI Camera &amp; Box Scanner)</w:t>
            </w:r>
          </w:p>
        </w:tc>
        <w:tc>
          <w:tcPr>
            <w:tcW w:w="1955" w:type="dxa"/>
            <w:shd w:val="clear" w:color="auto" w:fill="E6FFFA"/>
            <w:tcMar>
              <w:top w:w="100" w:type="dxa"/>
              <w:left w:w="80" w:type="dxa"/>
              <w:bottom w:w="100" w:type="dxa"/>
              <w:right w:w="80" w:type="dxa"/>
            </w:tcMar>
          </w:tcPr>
          <w:p w14:paraId="1AB91740">
            <w:pPr>
              <w:jc w:val="center"/>
            </w:pPr>
            <w:r>
              <w:rPr>
                <w:rFonts w:ascii="Calibri" w:hAnsi="Calibri"/>
                <w:b/>
                <w:color w:val="0D9488"/>
                <w:sz w:val="17"/>
              </w:rPr>
              <w:t>✔ YES</w:t>
            </w:r>
            <w:r>
              <w:rPr>
                <w:rFonts w:ascii="Calibri" w:hAnsi="Calibri"/>
                <w:b/>
                <w:color w:val="0D9488"/>
                <w:sz w:val="17"/>
              </w:rPr>
              <w:br w:type="textWrapping"/>
            </w:r>
            <w:r>
              <w:rPr>
                <w:rFonts w:ascii="Calibri" w:hAnsi="Calibri"/>
                <w:b/>
                <w:color w:val="0D9488"/>
                <w:sz w:val="17"/>
              </w:rPr>
              <w:t>Doctor handwritten &amp; tube OCR</w:t>
            </w:r>
          </w:p>
        </w:tc>
        <w:tc>
          <w:tcPr>
            <w:tcW w:w="1519" w:type="dxa"/>
            <w:shd w:val="clear" w:color="auto" w:fill="FFFFFF"/>
            <w:tcMar>
              <w:top w:w="100" w:type="dxa"/>
              <w:left w:w="80" w:type="dxa"/>
              <w:bottom w:w="100" w:type="dxa"/>
              <w:right w:w="80" w:type="dxa"/>
            </w:tcMar>
          </w:tcPr>
          <w:p w14:paraId="515F5BF6">
            <w:pPr>
              <w:jc w:val="center"/>
            </w:pPr>
            <w:r>
              <w:rPr>
                <w:rFonts w:ascii="Calibri" w:hAnsi="Calibri"/>
                <w:color w:val="E11D48"/>
                <w:sz w:val="17"/>
              </w:rPr>
              <w:t>✘ NO</w:t>
            </w:r>
            <w:r>
              <w:rPr>
                <w:rFonts w:ascii="Calibri" w:hAnsi="Calibri"/>
                <w:color w:val="E11D48"/>
                <w:sz w:val="17"/>
              </w:rPr>
              <w:br w:type="textWrapping"/>
            </w:r>
            <w:r>
              <w:rPr>
                <w:rFonts w:ascii="Calibri" w:hAnsi="Calibri"/>
                <w:color w:val="E11D48"/>
                <w:sz w:val="17"/>
              </w:rPr>
              <w:t>Barcode lookup only</w:t>
            </w:r>
          </w:p>
        </w:tc>
        <w:tc>
          <w:tcPr>
            <w:tcW w:w="1499" w:type="dxa"/>
            <w:shd w:val="clear" w:color="auto" w:fill="FFFFFF"/>
            <w:tcMar>
              <w:top w:w="100" w:type="dxa"/>
              <w:left w:w="80" w:type="dxa"/>
              <w:bottom w:w="100" w:type="dxa"/>
              <w:right w:w="80" w:type="dxa"/>
            </w:tcMar>
          </w:tcPr>
          <w:p w14:paraId="430F395B">
            <w:pPr>
              <w:jc w:val="center"/>
            </w:pPr>
            <w:r>
              <w:rPr>
                <w:rFonts w:ascii="Calibri" w:hAnsi="Calibri"/>
                <w:color w:val="D97706"/>
                <w:sz w:val="17"/>
              </w:rPr>
              <w:t>▲ Partial</w:t>
            </w:r>
            <w:r>
              <w:rPr>
                <w:rFonts w:ascii="Calibri" w:hAnsi="Calibri"/>
                <w:color w:val="D97706"/>
                <w:sz w:val="17"/>
              </w:rPr>
              <w:br w:type="textWrapping"/>
            </w:r>
            <w:r>
              <w:rPr>
                <w:rFonts w:ascii="Calibri" w:hAnsi="Calibri"/>
                <w:color w:val="D97706"/>
                <w:sz w:val="17"/>
              </w:rPr>
              <w:t>Human doctor review needed</w:t>
            </w:r>
          </w:p>
        </w:tc>
        <w:tc>
          <w:tcPr>
            <w:tcW w:w="1519" w:type="dxa"/>
            <w:shd w:val="clear" w:color="auto" w:fill="FFFFFF"/>
            <w:tcMar>
              <w:top w:w="100" w:type="dxa"/>
              <w:left w:w="80" w:type="dxa"/>
              <w:bottom w:w="100" w:type="dxa"/>
              <w:right w:w="80" w:type="dxa"/>
            </w:tcMar>
          </w:tcPr>
          <w:p w14:paraId="2F5C4E07">
            <w:pPr>
              <w:jc w:val="center"/>
            </w:pPr>
            <w:r>
              <w:rPr>
                <w:rFonts w:ascii="Calibri" w:hAnsi="Calibri"/>
                <w:color w:val="D97706"/>
                <w:sz w:val="17"/>
              </w:rPr>
              <w:t>▲ Partial</w:t>
            </w:r>
            <w:r>
              <w:rPr>
                <w:rFonts w:ascii="Calibri" w:hAnsi="Calibri"/>
                <w:color w:val="D97706"/>
                <w:sz w:val="17"/>
              </w:rPr>
              <w:br w:type="textWrapping"/>
            </w:r>
            <w:r>
              <w:rPr>
                <w:rFonts w:ascii="Calibri" w:hAnsi="Calibri"/>
                <w:color w:val="D97706"/>
                <w:sz w:val="17"/>
              </w:rPr>
              <w:t>Upload for manual validation</w:t>
            </w:r>
          </w:p>
        </w:tc>
        <w:tc>
          <w:tcPr>
            <w:tcW w:w="1468" w:type="dxa"/>
            <w:shd w:val="clear" w:color="auto" w:fill="FFFFFF"/>
            <w:tcMar>
              <w:top w:w="100" w:type="dxa"/>
              <w:left w:w="80" w:type="dxa"/>
              <w:bottom w:w="100" w:type="dxa"/>
              <w:right w:w="80" w:type="dxa"/>
            </w:tcMar>
          </w:tcPr>
          <w:p w14:paraId="6F51C34D">
            <w:pPr>
              <w:jc w:val="center"/>
            </w:pPr>
            <w:r>
              <w:rPr>
                <w:rFonts w:ascii="Calibri" w:hAnsi="Calibri"/>
                <w:color w:val="D97706"/>
                <w:sz w:val="17"/>
              </w:rPr>
              <w:t>▲ Partial</w:t>
            </w:r>
            <w:r>
              <w:rPr>
                <w:rFonts w:ascii="Calibri" w:hAnsi="Calibri"/>
                <w:color w:val="D97706"/>
                <w:sz w:val="17"/>
              </w:rPr>
              <w:br w:type="textWrapping"/>
            </w:r>
            <w:r>
              <w:rPr>
                <w:rFonts w:ascii="Calibri" w:hAnsi="Calibri"/>
                <w:color w:val="D97706"/>
                <w:sz w:val="17"/>
              </w:rPr>
              <w:t>Upload for tele-calling verification</w:t>
            </w:r>
          </w:p>
        </w:tc>
      </w:tr>
      <w:tr w14:paraId="2FF90969">
        <w:tblPrEx>
          <w:tblCellMar>
            <w:top w:w="0" w:type="dxa"/>
            <w:left w:w="108" w:type="dxa"/>
            <w:bottom w:w="0" w:type="dxa"/>
            <w:right w:w="108" w:type="dxa"/>
          </w:tblCellMar>
        </w:tblPrEx>
        <w:trPr>
          <w:jc w:val="center"/>
        </w:trPr>
        <w:tc>
          <w:tcPr>
            <w:tcW w:w="2320" w:type="dxa"/>
            <w:shd w:val="clear" w:color="auto" w:fill="F8FAFC"/>
            <w:tcMar>
              <w:top w:w="100" w:type="dxa"/>
              <w:left w:w="80" w:type="dxa"/>
              <w:bottom w:w="100" w:type="dxa"/>
              <w:right w:w="80" w:type="dxa"/>
            </w:tcMar>
          </w:tcPr>
          <w:p w14:paraId="42001C6F">
            <w:pPr>
              <w:jc w:val="left"/>
            </w:pPr>
            <w:r>
              <w:rPr>
                <w:rFonts w:ascii="Calibri" w:hAnsi="Calibri"/>
                <w:color w:val="1E293B"/>
                <w:sz w:val="17"/>
              </w:rPr>
              <w:t>Multi-Pharmacy Price Arbitrage</w:t>
            </w:r>
            <w:r>
              <w:rPr>
                <w:rFonts w:ascii="Calibri" w:hAnsi="Calibri"/>
                <w:color w:val="1E293B"/>
                <w:sz w:val="17"/>
              </w:rPr>
              <w:br w:type="textWrapping"/>
            </w:r>
            <w:r>
              <w:rPr>
                <w:rFonts w:ascii="Calibri" w:hAnsi="Calibri"/>
                <w:color w:val="1E293B"/>
                <w:sz w:val="17"/>
              </w:rPr>
              <w:t>(Live 5-Platform Comparison)</w:t>
            </w:r>
          </w:p>
        </w:tc>
        <w:tc>
          <w:tcPr>
            <w:tcW w:w="1955" w:type="dxa"/>
            <w:shd w:val="clear" w:color="auto" w:fill="F0FDFA"/>
            <w:tcMar>
              <w:top w:w="100" w:type="dxa"/>
              <w:left w:w="80" w:type="dxa"/>
              <w:bottom w:w="100" w:type="dxa"/>
              <w:right w:w="80" w:type="dxa"/>
            </w:tcMar>
          </w:tcPr>
          <w:p w14:paraId="0E55F573">
            <w:pPr>
              <w:jc w:val="center"/>
            </w:pPr>
            <w:r>
              <w:rPr>
                <w:rFonts w:ascii="Calibri" w:hAnsi="Calibri"/>
                <w:b/>
                <w:color w:val="0D9488"/>
                <w:sz w:val="17"/>
              </w:rPr>
              <w:t>✔ YES</w:t>
            </w:r>
            <w:r>
              <w:rPr>
                <w:rFonts w:ascii="Calibri" w:hAnsi="Calibri"/>
                <w:b/>
                <w:color w:val="0D9488"/>
                <w:sz w:val="17"/>
              </w:rPr>
              <w:br w:type="textWrapping"/>
            </w:r>
            <w:r>
              <w:rPr>
                <w:rFonts w:ascii="Calibri" w:hAnsi="Calibri"/>
                <w:b/>
                <w:color w:val="0D9488"/>
                <w:sz w:val="17"/>
              </w:rPr>
              <w:t>Truemeds vs 1mg vs Apollo vs PharmEasy</w:t>
            </w:r>
          </w:p>
        </w:tc>
        <w:tc>
          <w:tcPr>
            <w:tcW w:w="1519" w:type="dxa"/>
            <w:shd w:val="clear" w:color="auto" w:fill="F8FAFC"/>
            <w:tcMar>
              <w:top w:w="100" w:type="dxa"/>
              <w:left w:w="80" w:type="dxa"/>
              <w:bottom w:w="100" w:type="dxa"/>
              <w:right w:w="80" w:type="dxa"/>
            </w:tcMar>
          </w:tcPr>
          <w:p w14:paraId="63CA695F">
            <w:pPr>
              <w:jc w:val="center"/>
            </w:pPr>
            <w:r>
              <w:rPr>
                <w:rFonts w:ascii="Calibri" w:hAnsi="Calibri"/>
                <w:color w:val="E11D48"/>
                <w:sz w:val="17"/>
              </w:rPr>
              <w:t>✘ NO</w:t>
            </w:r>
            <w:r>
              <w:rPr>
                <w:rFonts w:ascii="Calibri" w:hAnsi="Calibri"/>
                <w:color w:val="E11D48"/>
                <w:sz w:val="17"/>
              </w:rPr>
              <w:br w:type="textWrapping"/>
            </w:r>
            <w:r>
              <w:rPr>
                <w:rFonts w:ascii="Calibri" w:hAnsi="Calibri"/>
                <w:color w:val="E11D48"/>
                <w:sz w:val="17"/>
              </w:rPr>
              <w:t>Zero commercial pricing data</w:t>
            </w:r>
          </w:p>
        </w:tc>
        <w:tc>
          <w:tcPr>
            <w:tcW w:w="1499" w:type="dxa"/>
            <w:shd w:val="clear" w:color="auto" w:fill="F8FAFC"/>
            <w:tcMar>
              <w:top w:w="100" w:type="dxa"/>
              <w:left w:w="80" w:type="dxa"/>
              <w:bottom w:w="100" w:type="dxa"/>
              <w:right w:w="80" w:type="dxa"/>
            </w:tcMar>
          </w:tcPr>
          <w:p w14:paraId="5EF5D19F">
            <w:pPr>
              <w:jc w:val="center"/>
            </w:pPr>
            <w:r>
              <w:rPr>
                <w:rFonts w:ascii="Calibri" w:hAnsi="Calibri"/>
                <w:color w:val="E11D48"/>
                <w:sz w:val="17"/>
              </w:rPr>
              <w:t>✘ NO</w:t>
            </w:r>
            <w:r>
              <w:rPr>
                <w:rFonts w:ascii="Calibri" w:hAnsi="Calibri"/>
                <w:color w:val="E11D48"/>
                <w:sz w:val="17"/>
              </w:rPr>
              <w:br w:type="textWrapping"/>
            </w:r>
            <w:r>
              <w:rPr>
                <w:rFonts w:ascii="Calibri" w:hAnsi="Calibri"/>
                <w:color w:val="E11D48"/>
                <w:sz w:val="17"/>
              </w:rPr>
              <w:t>Single proprietary shop only</w:t>
            </w:r>
          </w:p>
        </w:tc>
        <w:tc>
          <w:tcPr>
            <w:tcW w:w="1519" w:type="dxa"/>
            <w:shd w:val="clear" w:color="auto" w:fill="F8FAFC"/>
            <w:tcMar>
              <w:top w:w="100" w:type="dxa"/>
              <w:left w:w="80" w:type="dxa"/>
              <w:bottom w:w="100" w:type="dxa"/>
              <w:right w:w="80" w:type="dxa"/>
            </w:tcMar>
          </w:tcPr>
          <w:p w14:paraId="68FC7B21">
            <w:pPr>
              <w:jc w:val="center"/>
            </w:pPr>
            <w:r>
              <w:rPr>
                <w:rFonts w:ascii="Calibri" w:hAnsi="Calibri"/>
                <w:color w:val="E11D48"/>
                <w:sz w:val="17"/>
              </w:rPr>
              <w:t>✘ NO</w:t>
            </w:r>
            <w:r>
              <w:rPr>
                <w:rFonts w:ascii="Calibri" w:hAnsi="Calibri"/>
                <w:color w:val="E11D48"/>
                <w:sz w:val="17"/>
              </w:rPr>
              <w:br w:type="textWrapping"/>
            </w:r>
            <w:r>
              <w:rPr>
                <w:rFonts w:ascii="Calibri" w:hAnsi="Calibri"/>
                <w:color w:val="E11D48"/>
                <w:sz w:val="17"/>
              </w:rPr>
              <w:t>Walled garden (Own platform only)</w:t>
            </w:r>
          </w:p>
        </w:tc>
        <w:tc>
          <w:tcPr>
            <w:tcW w:w="1468" w:type="dxa"/>
            <w:shd w:val="clear" w:color="auto" w:fill="F8FAFC"/>
            <w:tcMar>
              <w:top w:w="100" w:type="dxa"/>
              <w:left w:w="80" w:type="dxa"/>
              <w:bottom w:w="100" w:type="dxa"/>
              <w:right w:w="80" w:type="dxa"/>
            </w:tcMar>
          </w:tcPr>
          <w:p w14:paraId="69B394E0">
            <w:pPr>
              <w:jc w:val="center"/>
            </w:pPr>
            <w:r>
              <w:rPr>
                <w:rFonts w:ascii="Calibri" w:hAnsi="Calibri"/>
                <w:color w:val="E11D48"/>
                <w:sz w:val="17"/>
              </w:rPr>
              <w:t>✘ NO</w:t>
            </w:r>
            <w:r>
              <w:rPr>
                <w:rFonts w:ascii="Calibri" w:hAnsi="Calibri"/>
                <w:color w:val="E11D48"/>
                <w:sz w:val="17"/>
              </w:rPr>
              <w:br w:type="textWrapping"/>
            </w:r>
            <w:r>
              <w:rPr>
                <w:rFonts w:ascii="Calibri" w:hAnsi="Calibri"/>
                <w:color w:val="E11D48"/>
                <w:sz w:val="17"/>
              </w:rPr>
              <w:t>Walled garden (Own catalog only)</w:t>
            </w:r>
          </w:p>
        </w:tc>
      </w:tr>
      <w:tr w14:paraId="0E954FBA">
        <w:tblPrEx>
          <w:tblCellMar>
            <w:top w:w="0" w:type="dxa"/>
            <w:left w:w="108" w:type="dxa"/>
            <w:bottom w:w="0" w:type="dxa"/>
            <w:right w:w="108" w:type="dxa"/>
          </w:tblCellMar>
        </w:tblPrEx>
        <w:trPr>
          <w:jc w:val="center"/>
        </w:trPr>
        <w:tc>
          <w:tcPr>
            <w:tcW w:w="2320" w:type="dxa"/>
            <w:shd w:val="clear" w:color="auto" w:fill="FFFFFF"/>
            <w:tcMar>
              <w:top w:w="100" w:type="dxa"/>
              <w:left w:w="80" w:type="dxa"/>
              <w:bottom w:w="100" w:type="dxa"/>
              <w:right w:w="80" w:type="dxa"/>
            </w:tcMar>
          </w:tcPr>
          <w:p w14:paraId="59BF3FA6">
            <w:pPr>
              <w:jc w:val="left"/>
            </w:pPr>
            <w:r>
              <w:rPr>
                <w:rFonts w:ascii="Calibri" w:hAnsi="Calibri"/>
                <w:color w:val="1E293B"/>
                <w:sz w:val="17"/>
              </w:rPr>
              <w:t>PMBJP Kendra Geo-Locator</w:t>
            </w:r>
            <w:r>
              <w:rPr>
                <w:rFonts w:ascii="Calibri" w:hAnsi="Calibri"/>
                <w:color w:val="1E293B"/>
                <w:sz w:val="17"/>
              </w:rPr>
              <w:br w:type="textWrapping"/>
            </w:r>
            <w:r>
              <w:rPr>
                <w:rFonts w:ascii="Calibri" w:hAnsi="Calibri"/>
                <w:color w:val="1E293B"/>
                <w:sz w:val="17"/>
              </w:rPr>
              <w:t>(Official Govt Store Finder)</w:t>
            </w:r>
          </w:p>
        </w:tc>
        <w:tc>
          <w:tcPr>
            <w:tcW w:w="1955" w:type="dxa"/>
            <w:shd w:val="clear" w:color="auto" w:fill="E6FFFA"/>
            <w:tcMar>
              <w:top w:w="100" w:type="dxa"/>
              <w:left w:w="80" w:type="dxa"/>
              <w:bottom w:w="100" w:type="dxa"/>
              <w:right w:w="80" w:type="dxa"/>
            </w:tcMar>
          </w:tcPr>
          <w:p w14:paraId="061CDCFE">
            <w:pPr>
              <w:jc w:val="center"/>
            </w:pPr>
            <w:r>
              <w:rPr>
                <w:rFonts w:ascii="Calibri" w:hAnsi="Calibri"/>
                <w:b/>
                <w:color w:val="0D9488"/>
                <w:sz w:val="17"/>
              </w:rPr>
              <w:t>✔ YES</w:t>
            </w:r>
            <w:r>
              <w:rPr>
                <w:rFonts w:ascii="Calibri" w:hAnsi="Calibri"/>
                <w:b/>
                <w:color w:val="0D9488"/>
                <w:sz w:val="17"/>
              </w:rPr>
              <w:br w:type="textWrapping"/>
            </w:r>
            <w:r>
              <w:rPr>
                <w:rFonts w:ascii="Calibri" w:hAnsi="Calibri"/>
                <w:b/>
                <w:color w:val="0D9488"/>
                <w:sz w:val="17"/>
              </w:rPr>
              <w:t>Direct verified Kendra locator integration</w:t>
            </w:r>
          </w:p>
        </w:tc>
        <w:tc>
          <w:tcPr>
            <w:tcW w:w="1519" w:type="dxa"/>
            <w:shd w:val="clear" w:color="auto" w:fill="FFFFFF"/>
            <w:tcMar>
              <w:top w:w="100" w:type="dxa"/>
              <w:left w:w="80" w:type="dxa"/>
              <w:bottom w:w="100" w:type="dxa"/>
              <w:right w:w="80" w:type="dxa"/>
            </w:tcMar>
          </w:tcPr>
          <w:p w14:paraId="5BE0CA43">
            <w:pPr>
              <w:jc w:val="center"/>
            </w:pPr>
            <w:r>
              <w:rPr>
                <w:rFonts w:ascii="Calibri" w:hAnsi="Calibri"/>
                <w:color w:val="E11D48"/>
                <w:sz w:val="17"/>
              </w:rPr>
              <w:t>✘ NO</w:t>
            </w:r>
          </w:p>
        </w:tc>
        <w:tc>
          <w:tcPr>
            <w:tcW w:w="1499" w:type="dxa"/>
            <w:shd w:val="clear" w:color="auto" w:fill="FFFFFF"/>
            <w:tcMar>
              <w:top w:w="100" w:type="dxa"/>
              <w:left w:w="80" w:type="dxa"/>
              <w:bottom w:w="100" w:type="dxa"/>
              <w:right w:w="80" w:type="dxa"/>
            </w:tcMar>
          </w:tcPr>
          <w:p w14:paraId="41DCE250">
            <w:pPr>
              <w:jc w:val="center"/>
            </w:pPr>
            <w:r>
              <w:rPr>
                <w:rFonts w:ascii="Calibri" w:hAnsi="Calibri"/>
                <w:color w:val="E11D48"/>
                <w:sz w:val="17"/>
              </w:rPr>
              <w:t>✘ NO</w:t>
            </w:r>
          </w:p>
        </w:tc>
        <w:tc>
          <w:tcPr>
            <w:tcW w:w="1519" w:type="dxa"/>
            <w:shd w:val="clear" w:color="auto" w:fill="FFFFFF"/>
            <w:tcMar>
              <w:top w:w="100" w:type="dxa"/>
              <w:left w:w="80" w:type="dxa"/>
              <w:bottom w:w="100" w:type="dxa"/>
              <w:right w:w="80" w:type="dxa"/>
            </w:tcMar>
          </w:tcPr>
          <w:p w14:paraId="070F5A5F">
            <w:pPr>
              <w:jc w:val="center"/>
            </w:pPr>
            <w:r>
              <w:rPr>
                <w:rFonts w:ascii="Calibri" w:hAnsi="Calibri"/>
                <w:color w:val="E11D48"/>
                <w:sz w:val="17"/>
              </w:rPr>
              <w:t>✘ NO</w:t>
            </w:r>
          </w:p>
        </w:tc>
        <w:tc>
          <w:tcPr>
            <w:tcW w:w="1468" w:type="dxa"/>
            <w:shd w:val="clear" w:color="auto" w:fill="FFFFFF"/>
            <w:tcMar>
              <w:top w:w="100" w:type="dxa"/>
              <w:left w:w="80" w:type="dxa"/>
              <w:bottom w:w="100" w:type="dxa"/>
              <w:right w:w="80" w:type="dxa"/>
            </w:tcMar>
          </w:tcPr>
          <w:p w14:paraId="03662FA7">
            <w:pPr>
              <w:jc w:val="center"/>
            </w:pPr>
            <w:r>
              <w:rPr>
                <w:rFonts w:ascii="Calibri" w:hAnsi="Calibri"/>
                <w:color w:val="E11D48"/>
                <w:sz w:val="17"/>
              </w:rPr>
              <w:t>✘ NO</w:t>
            </w:r>
          </w:p>
        </w:tc>
      </w:tr>
      <w:tr w14:paraId="42BC09FD">
        <w:tblPrEx>
          <w:tblCellMar>
            <w:top w:w="0" w:type="dxa"/>
            <w:left w:w="108" w:type="dxa"/>
            <w:bottom w:w="0" w:type="dxa"/>
            <w:right w:w="108" w:type="dxa"/>
          </w:tblCellMar>
        </w:tblPrEx>
        <w:trPr>
          <w:jc w:val="center"/>
        </w:trPr>
        <w:tc>
          <w:tcPr>
            <w:tcW w:w="2320" w:type="dxa"/>
            <w:shd w:val="clear" w:color="auto" w:fill="F8FAFC"/>
            <w:tcMar>
              <w:top w:w="100" w:type="dxa"/>
              <w:left w:w="80" w:type="dxa"/>
              <w:bottom w:w="100" w:type="dxa"/>
              <w:right w:w="80" w:type="dxa"/>
            </w:tcMar>
          </w:tcPr>
          <w:p w14:paraId="46978B11">
            <w:pPr>
              <w:jc w:val="left"/>
            </w:pPr>
            <w:r>
              <w:rPr>
                <w:rFonts w:ascii="Calibri" w:hAnsi="Calibri"/>
                <w:color w:val="1E293B"/>
                <w:sz w:val="17"/>
              </w:rPr>
              <w:t>Visual Traffic-Light Donut Chart</w:t>
            </w:r>
            <w:r>
              <w:rPr>
                <w:rFonts w:ascii="Calibri" w:hAnsi="Calibri"/>
                <w:color w:val="1E293B"/>
                <w:sz w:val="17"/>
              </w:rPr>
              <w:br w:type="textWrapping"/>
            </w:r>
            <w:r>
              <w:rPr>
                <w:rFonts w:ascii="Calibri" w:hAnsi="Calibri"/>
                <w:color w:val="1E293B"/>
                <w:sz w:val="17"/>
              </w:rPr>
              <w:t>(Green / Yellow / Red Zones)</w:t>
            </w:r>
          </w:p>
        </w:tc>
        <w:tc>
          <w:tcPr>
            <w:tcW w:w="1955" w:type="dxa"/>
            <w:shd w:val="clear" w:color="auto" w:fill="F0FDFA"/>
            <w:tcMar>
              <w:top w:w="100" w:type="dxa"/>
              <w:left w:w="80" w:type="dxa"/>
              <w:bottom w:w="100" w:type="dxa"/>
              <w:right w:w="80" w:type="dxa"/>
            </w:tcMar>
          </w:tcPr>
          <w:p w14:paraId="5CAFF0F0">
            <w:pPr>
              <w:jc w:val="center"/>
            </w:pPr>
            <w:r>
              <w:rPr>
                <w:rFonts w:ascii="Calibri" w:hAnsi="Calibri"/>
                <w:b/>
                <w:color w:val="0D9488"/>
                <w:sz w:val="17"/>
              </w:rPr>
              <w:t>✔ YES</w:t>
            </w:r>
            <w:r>
              <w:rPr>
                <w:rFonts w:ascii="Calibri" w:hAnsi="Calibri"/>
                <w:b/>
                <w:color w:val="0D9488"/>
                <w:sz w:val="17"/>
              </w:rPr>
              <w:br w:type="textWrapping"/>
            </w:r>
            <w:r>
              <w:rPr>
                <w:rFonts w:ascii="Calibri" w:hAnsi="Calibri"/>
                <w:b/>
                <w:color w:val="0D9488"/>
                <w:sz w:val="17"/>
              </w:rPr>
              <w:t>HTML5 Canvas &amp; dynamic active %</w:t>
            </w:r>
          </w:p>
        </w:tc>
        <w:tc>
          <w:tcPr>
            <w:tcW w:w="1519" w:type="dxa"/>
            <w:shd w:val="clear" w:color="auto" w:fill="F8FAFC"/>
            <w:tcMar>
              <w:top w:w="100" w:type="dxa"/>
              <w:left w:w="80" w:type="dxa"/>
              <w:bottom w:w="100" w:type="dxa"/>
              <w:right w:w="80" w:type="dxa"/>
            </w:tcMar>
          </w:tcPr>
          <w:p w14:paraId="6866B6B0">
            <w:pPr>
              <w:jc w:val="center"/>
            </w:pPr>
            <w:r>
              <w:rPr>
                <w:rFonts w:ascii="Calibri" w:hAnsi="Calibri"/>
                <w:color w:val="D97706"/>
                <w:sz w:val="17"/>
              </w:rPr>
              <w:t>▲ Basic Score</w:t>
            </w:r>
            <w:r>
              <w:rPr>
                <w:rFonts w:ascii="Calibri" w:hAnsi="Calibri"/>
                <w:color w:val="D97706"/>
                <w:sz w:val="17"/>
              </w:rPr>
              <w:br w:type="textWrapping"/>
            </w:r>
            <w:r>
              <w:rPr>
                <w:rFonts w:ascii="Calibri" w:hAnsi="Calibri"/>
                <w:color w:val="D97706"/>
                <w:sz w:val="17"/>
              </w:rPr>
              <w:t>Single 0-100 numerical ring</w:t>
            </w:r>
          </w:p>
        </w:tc>
        <w:tc>
          <w:tcPr>
            <w:tcW w:w="1499" w:type="dxa"/>
            <w:shd w:val="clear" w:color="auto" w:fill="F8FAFC"/>
            <w:tcMar>
              <w:top w:w="100" w:type="dxa"/>
              <w:left w:w="80" w:type="dxa"/>
              <w:bottom w:w="100" w:type="dxa"/>
              <w:right w:w="80" w:type="dxa"/>
            </w:tcMar>
          </w:tcPr>
          <w:p w14:paraId="3051CCA1">
            <w:pPr>
              <w:jc w:val="center"/>
            </w:pPr>
            <w:r>
              <w:rPr>
                <w:rFonts w:ascii="Calibri" w:hAnsi="Calibri"/>
                <w:color w:val="E11D48"/>
                <w:sz w:val="17"/>
              </w:rPr>
              <w:t>✘ NO</w:t>
            </w:r>
            <w:r>
              <w:rPr>
                <w:rFonts w:ascii="Calibri" w:hAnsi="Calibri"/>
                <w:color w:val="E11D48"/>
                <w:sz w:val="17"/>
              </w:rPr>
              <w:br w:type="textWrapping"/>
            </w:r>
            <w:r>
              <w:rPr>
                <w:rFonts w:ascii="Calibri" w:hAnsi="Calibri"/>
                <w:color w:val="E11D48"/>
                <w:sz w:val="17"/>
              </w:rPr>
              <w:t>No ingredient visualization</w:t>
            </w:r>
          </w:p>
        </w:tc>
        <w:tc>
          <w:tcPr>
            <w:tcW w:w="1519" w:type="dxa"/>
            <w:shd w:val="clear" w:color="auto" w:fill="F8FAFC"/>
            <w:tcMar>
              <w:top w:w="100" w:type="dxa"/>
              <w:left w:w="80" w:type="dxa"/>
              <w:bottom w:w="100" w:type="dxa"/>
              <w:right w:w="80" w:type="dxa"/>
            </w:tcMar>
          </w:tcPr>
          <w:p w14:paraId="3D9ADEBA">
            <w:pPr>
              <w:jc w:val="center"/>
            </w:pPr>
            <w:r>
              <w:rPr>
                <w:rFonts w:ascii="Calibri" w:hAnsi="Calibri"/>
                <w:color w:val="E11D48"/>
                <w:sz w:val="17"/>
              </w:rPr>
              <w:t>✘ NO</w:t>
            </w:r>
          </w:p>
        </w:tc>
        <w:tc>
          <w:tcPr>
            <w:tcW w:w="1468" w:type="dxa"/>
            <w:shd w:val="clear" w:color="auto" w:fill="F8FAFC"/>
            <w:tcMar>
              <w:top w:w="100" w:type="dxa"/>
              <w:left w:w="80" w:type="dxa"/>
              <w:bottom w:w="100" w:type="dxa"/>
              <w:right w:w="80" w:type="dxa"/>
            </w:tcMar>
          </w:tcPr>
          <w:p w14:paraId="3D9E79FA">
            <w:pPr>
              <w:jc w:val="center"/>
            </w:pPr>
            <w:r>
              <w:rPr>
                <w:rFonts w:ascii="Calibri" w:hAnsi="Calibri"/>
                <w:color w:val="E11D48"/>
                <w:sz w:val="17"/>
              </w:rPr>
              <w:t>✘ NO</w:t>
            </w:r>
          </w:p>
        </w:tc>
      </w:tr>
      <w:tr w14:paraId="1A194745">
        <w:tblPrEx>
          <w:tblCellMar>
            <w:top w:w="0" w:type="dxa"/>
            <w:left w:w="108" w:type="dxa"/>
            <w:bottom w:w="0" w:type="dxa"/>
            <w:right w:w="108" w:type="dxa"/>
          </w:tblCellMar>
        </w:tblPrEx>
        <w:trPr>
          <w:jc w:val="center"/>
        </w:trPr>
        <w:tc>
          <w:tcPr>
            <w:tcW w:w="2320" w:type="dxa"/>
            <w:shd w:val="clear" w:color="auto" w:fill="FFFFFF"/>
            <w:tcMar>
              <w:top w:w="100" w:type="dxa"/>
              <w:left w:w="80" w:type="dxa"/>
              <w:bottom w:w="100" w:type="dxa"/>
              <w:right w:w="80" w:type="dxa"/>
            </w:tcMar>
          </w:tcPr>
          <w:p w14:paraId="1A80C18B">
            <w:pPr>
              <w:jc w:val="left"/>
            </w:pPr>
            <w:r>
              <w:rPr>
                <w:rFonts w:ascii="Calibri" w:hAnsi="Calibri"/>
                <w:color w:val="1E293B"/>
                <w:sz w:val="17"/>
              </w:rPr>
              <w:t>Comedogenic &amp; Scalp-Irritant Grading</w:t>
            </w:r>
            <w:r>
              <w:rPr>
                <w:rFonts w:ascii="Calibri" w:hAnsi="Calibri"/>
                <w:color w:val="1E293B"/>
                <w:sz w:val="17"/>
              </w:rPr>
              <w:br w:type="textWrapping"/>
            </w:r>
            <w:r>
              <w:rPr>
                <w:rFonts w:ascii="Calibri" w:hAnsi="Calibri"/>
                <w:color w:val="1E293B"/>
                <w:sz w:val="17"/>
              </w:rPr>
              <w:t>(Pore &amp; Folliculitis Safety)</w:t>
            </w:r>
          </w:p>
        </w:tc>
        <w:tc>
          <w:tcPr>
            <w:tcW w:w="1955" w:type="dxa"/>
            <w:shd w:val="clear" w:color="auto" w:fill="E6FFFA"/>
            <w:tcMar>
              <w:top w:w="100" w:type="dxa"/>
              <w:left w:w="80" w:type="dxa"/>
              <w:bottom w:w="100" w:type="dxa"/>
              <w:right w:w="80" w:type="dxa"/>
            </w:tcMar>
          </w:tcPr>
          <w:p w14:paraId="4B42D44F">
            <w:pPr>
              <w:jc w:val="center"/>
            </w:pPr>
            <w:r>
              <w:rPr>
                <w:rFonts w:ascii="Calibri" w:hAnsi="Calibri"/>
                <w:b/>
                <w:color w:val="0D9488"/>
                <w:sz w:val="17"/>
              </w:rPr>
              <w:t>✔ YES</w:t>
            </w:r>
            <w:r>
              <w:rPr>
                <w:rFonts w:ascii="Calibri" w:hAnsi="Calibri"/>
                <w:b/>
                <w:color w:val="0D9488"/>
                <w:sz w:val="17"/>
              </w:rPr>
              <w:br w:type="textWrapping"/>
            </w:r>
            <w:r>
              <w:rPr>
                <w:rFonts w:ascii="Calibri" w:hAnsi="Calibri"/>
                <w:b/>
                <w:color w:val="0D9488"/>
                <w:sz w:val="17"/>
              </w:rPr>
              <w:t>0-5 acnegenic rating + scalp stripping</w:t>
            </w:r>
          </w:p>
        </w:tc>
        <w:tc>
          <w:tcPr>
            <w:tcW w:w="1519" w:type="dxa"/>
            <w:shd w:val="clear" w:color="auto" w:fill="FFFFFF"/>
            <w:tcMar>
              <w:top w:w="100" w:type="dxa"/>
              <w:left w:w="80" w:type="dxa"/>
              <w:bottom w:w="100" w:type="dxa"/>
              <w:right w:w="80" w:type="dxa"/>
            </w:tcMar>
          </w:tcPr>
          <w:p w14:paraId="6F2E5305">
            <w:pPr>
              <w:jc w:val="center"/>
            </w:pPr>
            <w:r>
              <w:rPr>
                <w:rFonts w:ascii="Calibri" w:hAnsi="Calibri"/>
                <w:color w:val="E11D48"/>
                <w:sz w:val="17"/>
              </w:rPr>
              <w:t>✘ NO</w:t>
            </w:r>
            <w:r>
              <w:rPr>
                <w:rFonts w:ascii="Calibri" w:hAnsi="Calibri"/>
                <w:color w:val="E11D48"/>
                <w:sz w:val="17"/>
              </w:rPr>
              <w:br w:type="textWrapping"/>
            </w:r>
            <w:r>
              <w:rPr>
                <w:rFonts w:ascii="Calibri" w:hAnsi="Calibri"/>
                <w:color w:val="E11D48"/>
                <w:sz w:val="17"/>
              </w:rPr>
              <w:t>Generic chemical safety only</w:t>
            </w:r>
          </w:p>
        </w:tc>
        <w:tc>
          <w:tcPr>
            <w:tcW w:w="1499" w:type="dxa"/>
            <w:shd w:val="clear" w:color="auto" w:fill="FFFFFF"/>
            <w:tcMar>
              <w:top w:w="100" w:type="dxa"/>
              <w:left w:w="80" w:type="dxa"/>
              <w:bottom w:w="100" w:type="dxa"/>
              <w:right w:w="80" w:type="dxa"/>
            </w:tcMar>
          </w:tcPr>
          <w:p w14:paraId="6F8A5042">
            <w:pPr>
              <w:jc w:val="center"/>
            </w:pPr>
            <w:r>
              <w:rPr>
                <w:rFonts w:ascii="Calibri" w:hAnsi="Calibri"/>
                <w:color w:val="D97706"/>
                <w:sz w:val="17"/>
              </w:rPr>
              <w:t>▲ Partial</w:t>
            </w:r>
            <w:r>
              <w:rPr>
                <w:rFonts w:ascii="Calibri" w:hAnsi="Calibri"/>
                <w:color w:val="D97706"/>
                <w:sz w:val="17"/>
              </w:rPr>
              <w:br w:type="textWrapping"/>
            </w:r>
            <w:r>
              <w:rPr>
                <w:rFonts w:ascii="Calibri" w:hAnsi="Calibri"/>
                <w:color w:val="D97706"/>
                <w:sz w:val="17"/>
              </w:rPr>
              <w:t>Clinical questionnaire only</w:t>
            </w:r>
          </w:p>
        </w:tc>
        <w:tc>
          <w:tcPr>
            <w:tcW w:w="1519" w:type="dxa"/>
            <w:shd w:val="clear" w:color="auto" w:fill="FFFFFF"/>
            <w:tcMar>
              <w:top w:w="100" w:type="dxa"/>
              <w:left w:w="80" w:type="dxa"/>
              <w:bottom w:w="100" w:type="dxa"/>
              <w:right w:w="80" w:type="dxa"/>
            </w:tcMar>
          </w:tcPr>
          <w:p w14:paraId="3FE2C3B1">
            <w:pPr>
              <w:jc w:val="center"/>
            </w:pPr>
            <w:r>
              <w:rPr>
                <w:rFonts w:ascii="Calibri" w:hAnsi="Calibri"/>
                <w:color w:val="E11D48"/>
                <w:sz w:val="17"/>
              </w:rPr>
              <w:t>✘ NO</w:t>
            </w:r>
          </w:p>
        </w:tc>
        <w:tc>
          <w:tcPr>
            <w:tcW w:w="1468" w:type="dxa"/>
            <w:shd w:val="clear" w:color="auto" w:fill="FFFFFF"/>
            <w:tcMar>
              <w:top w:w="100" w:type="dxa"/>
              <w:left w:w="80" w:type="dxa"/>
              <w:bottom w:w="100" w:type="dxa"/>
              <w:right w:w="80" w:type="dxa"/>
            </w:tcMar>
          </w:tcPr>
          <w:p w14:paraId="1BBE8713">
            <w:pPr>
              <w:jc w:val="center"/>
            </w:pPr>
            <w:r>
              <w:rPr>
                <w:rFonts w:ascii="Calibri" w:hAnsi="Calibri"/>
                <w:color w:val="E11D48"/>
                <w:sz w:val="17"/>
              </w:rPr>
              <w:t>✘ NO</w:t>
            </w:r>
          </w:p>
        </w:tc>
      </w:tr>
      <w:tr w14:paraId="022B39A1">
        <w:tblPrEx>
          <w:tblCellMar>
            <w:top w:w="0" w:type="dxa"/>
            <w:left w:w="108" w:type="dxa"/>
            <w:bottom w:w="0" w:type="dxa"/>
            <w:right w:w="108" w:type="dxa"/>
          </w:tblCellMar>
        </w:tblPrEx>
        <w:trPr>
          <w:jc w:val="center"/>
        </w:trPr>
        <w:tc>
          <w:tcPr>
            <w:tcW w:w="2320" w:type="dxa"/>
            <w:shd w:val="clear" w:color="auto" w:fill="F8FAFC"/>
            <w:tcMar>
              <w:top w:w="100" w:type="dxa"/>
              <w:left w:w="80" w:type="dxa"/>
              <w:bottom w:w="100" w:type="dxa"/>
              <w:right w:w="80" w:type="dxa"/>
            </w:tcMar>
          </w:tcPr>
          <w:p w14:paraId="53ED257C">
            <w:pPr>
              <w:jc w:val="left"/>
            </w:pPr>
            <w:r>
              <w:rPr>
                <w:rFonts w:ascii="Calibri" w:hAnsi="Calibri"/>
                <w:color w:val="1E293B"/>
                <w:sz w:val="17"/>
              </w:rPr>
              <w:t>Microbiome &amp; Ultra-Processed Screening</w:t>
            </w:r>
            <w:r>
              <w:rPr>
                <w:rFonts w:ascii="Calibri" w:hAnsi="Calibri"/>
                <w:color w:val="1E293B"/>
                <w:sz w:val="17"/>
              </w:rPr>
              <w:br w:type="textWrapping"/>
            </w:r>
            <w:r>
              <w:rPr>
                <w:rFonts w:ascii="Calibri" w:hAnsi="Calibri"/>
                <w:color w:val="1E293B"/>
                <w:sz w:val="17"/>
              </w:rPr>
              <w:t>(Food Additives &amp; Emulsifiers)</w:t>
            </w:r>
          </w:p>
        </w:tc>
        <w:tc>
          <w:tcPr>
            <w:tcW w:w="1955" w:type="dxa"/>
            <w:shd w:val="clear" w:color="auto" w:fill="F0FDFA"/>
            <w:tcMar>
              <w:top w:w="100" w:type="dxa"/>
              <w:left w:w="80" w:type="dxa"/>
              <w:bottom w:w="100" w:type="dxa"/>
              <w:right w:w="80" w:type="dxa"/>
            </w:tcMar>
          </w:tcPr>
          <w:p w14:paraId="22F5317D">
            <w:pPr>
              <w:jc w:val="center"/>
            </w:pPr>
            <w:r>
              <w:rPr>
                <w:rFonts w:ascii="Calibri" w:hAnsi="Calibri"/>
                <w:b/>
                <w:color w:val="0D9488"/>
                <w:sz w:val="17"/>
              </w:rPr>
              <w:t>✔ YES</w:t>
            </w:r>
            <w:r>
              <w:rPr>
                <w:rFonts w:ascii="Calibri" w:hAnsi="Calibri"/>
                <w:b/>
                <w:color w:val="0D9488"/>
                <w:sz w:val="17"/>
              </w:rPr>
              <w:br w:type="textWrapping"/>
            </w:r>
            <w:r>
              <w:rPr>
                <w:rFonts w:ascii="Calibri" w:hAnsi="Calibri"/>
                <w:b/>
                <w:color w:val="0D9488"/>
                <w:sz w:val="17"/>
              </w:rPr>
              <w:t>Gut barrier, seed oil &amp; dye detection</w:t>
            </w:r>
          </w:p>
        </w:tc>
        <w:tc>
          <w:tcPr>
            <w:tcW w:w="1519" w:type="dxa"/>
            <w:shd w:val="clear" w:color="auto" w:fill="F8FAFC"/>
            <w:tcMar>
              <w:top w:w="100" w:type="dxa"/>
              <w:left w:w="80" w:type="dxa"/>
              <w:bottom w:w="100" w:type="dxa"/>
              <w:right w:w="80" w:type="dxa"/>
            </w:tcMar>
          </w:tcPr>
          <w:p w14:paraId="5A21931F">
            <w:pPr>
              <w:jc w:val="center"/>
            </w:pPr>
            <w:r>
              <w:rPr>
                <w:rFonts w:ascii="Calibri" w:hAnsi="Calibri"/>
                <w:color w:val="D97706"/>
                <w:sz w:val="17"/>
              </w:rPr>
              <w:t>▲ Basic</w:t>
            </w:r>
            <w:r>
              <w:rPr>
                <w:rFonts w:ascii="Calibri" w:hAnsi="Calibri"/>
                <w:color w:val="D97706"/>
                <w:sz w:val="17"/>
              </w:rPr>
              <w:br w:type="textWrapping"/>
            </w:r>
            <w:r>
              <w:rPr>
                <w:rFonts w:ascii="Calibri" w:hAnsi="Calibri"/>
                <w:color w:val="D97706"/>
                <w:sz w:val="17"/>
              </w:rPr>
              <w:t>Nutritional score based</w:t>
            </w:r>
          </w:p>
        </w:tc>
        <w:tc>
          <w:tcPr>
            <w:tcW w:w="1499" w:type="dxa"/>
            <w:shd w:val="clear" w:color="auto" w:fill="F8FAFC"/>
            <w:tcMar>
              <w:top w:w="100" w:type="dxa"/>
              <w:left w:w="80" w:type="dxa"/>
              <w:bottom w:w="100" w:type="dxa"/>
              <w:right w:w="80" w:type="dxa"/>
            </w:tcMar>
          </w:tcPr>
          <w:p w14:paraId="7927BE72">
            <w:pPr>
              <w:jc w:val="center"/>
            </w:pPr>
            <w:r>
              <w:rPr>
                <w:rFonts w:ascii="Calibri" w:hAnsi="Calibri"/>
                <w:color w:val="E11D48"/>
                <w:sz w:val="17"/>
              </w:rPr>
              <w:t>✘ NO</w:t>
            </w:r>
          </w:p>
        </w:tc>
        <w:tc>
          <w:tcPr>
            <w:tcW w:w="1519" w:type="dxa"/>
            <w:shd w:val="clear" w:color="auto" w:fill="F8FAFC"/>
            <w:tcMar>
              <w:top w:w="100" w:type="dxa"/>
              <w:left w:w="80" w:type="dxa"/>
              <w:bottom w:w="100" w:type="dxa"/>
              <w:right w:w="80" w:type="dxa"/>
            </w:tcMar>
          </w:tcPr>
          <w:p w14:paraId="28359A98">
            <w:pPr>
              <w:jc w:val="center"/>
            </w:pPr>
            <w:r>
              <w:rPr>
                <w:rFonts w:ascii="Calibri" w:hAnsi="Calibri"/>
                <w:color w:val="E11D48"/>
                <w:sz w:val="17"/>
              </w:rPr>
              <w:t>✘ NO</w:t>
            </w:r>
          </w:p>
        </w:tc>
        <w:tc>
          <w:tcPr>
            <w:tcW w:w="1468" w:type="dxa"/>
            <w:shd w:val="clear" w:color="auto" w:fill="F8FAFC"/>
            <w:tcMar>
              <w:top w:w="100" w:type="dxa"/>
              <w:left w:w="80" w:type="dxa"/>
              <w:bottom w:w="100" w:type="dxa"/>
              <w:right w:w="80" w:type="dxa"/>
            </w:tcMar>
          </w:tcPr>
          <w:p w14:paraId="0A6DE10C">
            <w:pPr>
              <w:jc w:val="center"/>
            </w:pPr>
            <w:r>
              <w:rPr>
                <w:rFonts w:ascii="Calibri" w:hAnsi="Calibri"/>
                <w:color w:val="E11D48"/>
                <w:sz w:val="17"/>
              </w:rPr>
              <w:t>✘ NO</w:t>
            </w:r>
          </w:p>
        </w:tc>
      </w:tr>
      <w:tr w14:paraId="7F9B41F8">
        <w:tblPrEx>
          <w:tblCellMar>
            <w:top w:w="0" w:type="dxa"/>
            <w:left w:w="108" w:type="dxa"/>
            <w:bottom w:w="0" w:type="dxa"/>
            <w:right w:w="108" w:type="dxa"/>
          </w:tblCellMar>
        </w:tblPrEx>
        <w:trPr>
          <w:jc w:val="center"/>
        </w:trPr>
        <w:tc>
          <w:tcPr>
            <w:tcW w:w="2320" w:type="dxa"/>
            <w:shd w:val="clear" w:color="auto" w:fill="FFFFFF"/>
            <w:tcMar>
              <w:top w:w="100" w:type="dxa"/>
              <w:left w:w="80" w:type="dxa"/>
              <w:bottom w:w="100" w:type="dxa"/>
              <w:right w:w="80" w:type="dxa"/>
            </w:tcMar>
          </w:tcPr>
          <w:p w14:paraId="7C2FB8FC">
            <w:pPr>
              <w:jc w:val="left"/>
            </w:pPr>
            <w:r>
              <w:rPr>
                <w:rFonts w:ascii="Calibri" w:hAnsi="Calibri"/>
                <w:color w:val="1E293B"/>
                <w:sz w:val="17"/>
              </w:rPr>
              <w:t>Offline Fallback &amp; Zero Crash Resilience</w:t>
            </w:r>
            <w:r>
              <w:rPr>
                <w:rFonts w:ascii="Calibri" w:hAnsi="Calibri"/>
                <w:color w:val="1E293B"/>
                <w:sz w:val="17"/>
              </w:rPr>
              <w:br w:type="textWrapping"/>
            </w:r>
            <w:r>
              <w:rPr>
                <w:rFonts w:ascii="Calibri" w:hAnsi="Calibri"/>
                <w:color w:val="1E293B"/>
                <w:sz w:val="17"/>
              </w:rPr>
              <w:t>(Demo &amp; Low-Connectivity Ready)</w:t>
            </w:r>
          </w:p>
        </w:tc>
        <w:tc>
          <w:tcPr>
            <w:tcW w:w="1955" w:type="dxa"/>
            <w:shd w:val="clear" w:color="auto" w:fill="E6FFFA"/>
            <w:tcMar>
              <w:top w:w="100" w:type="dxa"/>
              <w:left w:w="80" w:type="dxa"/>
              <w:bottom w:w="100" w:type="dxa"/>
              <w:right w:w="80" w:type="dxa"/>
            </w:tcMar>
          </w:tcPr>
          <w:p w14:paraId="1603354A">
            <w:pPr>
              <w:jc w:val="center"/>
            </w:pPr>
            <w:r>
              <w:rPr>
                <w:rFonts w:ascii="Calibri" w:hAnsi="Calibri"/>
                <w:b/>
                <w:color w:val="0D9488"/>
                <w:sz w:val="17"/>
              </w:rPr>
              <w:t>✔ YES</w:t>
            </w:r>
            <w:r>
              <w:rPr>
                <w:rFonts w:ascii="Calibri" w:hAnsi="Calibri"/>
                <w:b/>
                <w:color w:val="0D9488"/>
                <w:sz w:val="17"/>
              </w:rPr>
              <w:br w:type="textWrapping"/>
            </w:r>
            <w:r>
              <w:rPr>
                <w:rFonts w:ascii="Calibri" w:hAnsi="Calibri"/>
                <w:b/>
                <w:color w:val="0D9488"/>
                <w:sz w:val="17"/>
              </w:rPr>
              <w:t>Client-side heuristic engine</w:t>
            </w:r>
          </w:p>
        </w:tc>
        <w:tc>
          <w:tcPr>
            <w:tcW w:w="1519" w:type="dxa"/>
            <w:shd w:val="clear" w:color="auto" w:fill="FFFFFF"/>
            <w:tcMar>
              <w:top w:w="100" w:type="dxa"/>
              <w:left w:w="80" w:type="dxa"/>
              <w:bottom w:w="100" w:type="dxa"/>
              <w:right w:w="80" w:type="dxa"/>
            </w:tcMar>
          </w:tcPr>
          <w:p w14:paraId="510842F7">
            <w:pPr>
              <w:jc w:val="center"/>
            </w:pPr>
            <w:r>
              <w:rPr>
                <w:rFonts w:ascii="Calibri" w:hAnsi="Calibri"/>
                <w:color w:val="E11D48"/>
                <w:sz w:val="17"/>
              </w:rPr>
              <w:t>✘ NO</w:t>
            </w:r>
            <w:r>
              <w:rPr>
                <w:rFonts w:ascii="Calibri" w:hAnsi="Calibri"/>
                <w:color w:val="E11D48"/>
                <w:sz w:val="17"/>
              </w:rPr>
              <w:br w:type="textWrapping"/>
            </w:r>
            <w:r>
              <w:rPr>
                <w:rFonts w:ascii="Calibri" w:hAnsi="Calibri"/>
                <w:color w:val="E11D48"/>
                <w:sz w:val="17"/>
              </w:rPr>
              <w:t>Requires active internet</w:t>
            </w:r>
          </w:p>
        </w:tc>
        <w:tc>
          <w:tcPr>
            <w:tcW w:w="1499" w:type="dxa"/>
            <w:shd w:val="clear" w:color="auto" w:fill="FFFFFF"/>
            <w:tcMar>
              <w:top w:w="100" w:type="dxa"/>
              <w:left w:w="80" w:type="dxa"/>
              <w:bottom w:w="100" w:type="dxa"/>
              <w:right w:w="80" w:type="dxa"/>
            </w:tcMar>
          </w:tcPr>
          <w:p w14:paraId="6E15DCC9">
            <w:pPr>
              <w:jc w:val="center"/>
            </w:pPr>
            <w:r>
              <w:rPr>
                <w:rFonts w:ascii="Calibri" w:hAnsi="Calibri"/>
                <w:color w:val="E11D48"/>
                <w:sz w:val="17"/>
              </w:rPr>
              <w:t>✘ NO</w:t>
            </w:r>
            <w:r>
              <w:rPr>
                <w:rFonts w:ascii="Calibri" w:hAnsi="Calibri"/>
                <w:color w:val="E11D48"/>
                <w:sz w:val="17"/>
              </w:rPr>
              <w:br w:type="textWrapping"/>
            </w:r>
            <w:r>
              <w:rPr>
                <w:rFonts w:ascii="Calibri" w:hAnsi="Calibri"/>
                <w:color w:val="E11D48"/>
                <w:sz w:val="17"/>
              </w:rPr>
              <w:t>Server mandatory</w:t>
            </w:r>
          </w:p>
        </w:tc>
        <w:tc>
          <w:tcPr>
            <w:tcW w:w="1519" w:type="dxa"/>
            <w:shd w:val="clear" w:color="auto" w:fill="FFFFFF"/>
            <w:tcMar>
              <w:top w:w="100" w:type="dxa"/>
              <w:left w:w="80" w:type="dxa"/>
              <w:bottom w:w="100" w:type="dxa"/>
              <w:right w:w="80" w:type="dxa"/>
            </w:tcMar>
          </w:tcPr>
          <w:p w14:paraId="32838A72">
            <w:pPr>
              <w:jc w:val="center"/>
            </w:pPr>
            <w:r>
              <w:rPr>
                <w:rFonts w:ascii="Calibri" w:hAnsi="Calibri"/>
                <w:color w:val="E11D48"/>
                <w:sz w:val="17"/>
              </w:rPr>
              <w:t>✘ NO</w:t>
            </w:r>
            <w:r>
              <w:rPr>
                <w:rFonts w:ascii="Calibri" w:hAnsi="Calibri"/>
                <w:color w:val="E11D48"/>
                <w:sz w:val="17"/>
              </w:rPr>
              <w:br w:type="textWrapping"/>
            </w:r>
            <w:r>
              <w:rPr>
                <w:rFonts w:ascii="Calibri" w:hAnsi="Calibri"/>
                <w:color w:val="E11D48"/>
                <w:sz w:val="17"/>
              </w:rPr>
              <w:t>E-commerce requires server</w:t>
            </w:r>
          </w:p>
        </w:tc>
        <w:tc>
          <w:tcPr>
            <w:tcW w:w="1468" w:type="dxa"/>
            <w:shd w:val="clear" w:color="auto" w:fill="FFFFFF"/>
            <w:tcMar>
              <w:top w:w="100" w:type="dxa"/>
              <w:left w:w="80" w:type="dxa"/>
              <w:bottom w:w="100" w:type="dxa"/>
              <w:right w:w="80" w:type="dxa"/>
            </w:tcMar>
          </w:tcPr>
          <w:p w14:paraId="4EF2DE3C">
            <w:pPr>
              <w:jc w:val="center"/>
            </w:pPr>
            <w:r>
              <w:rPr>
                <w:rFonts w:ascii="Calibri" w:hAnsi="Calibri"/>
                <w:color w:val="E11D48"/>
                <w:sz w:val="17"/>
              </w:rPr>
              <w:t>✘ NO</w:t>
            </w:r>
            <w:r>
              <w:rPr>
                <w:rFonts w:ascii="Calibri" w:hAnsi="Calibri"/>
                <w:color w:val="E11D48"/>
                <w:sz w:val="17"/>
              </w:rPr>
              <w:br w:type="textWrapping"/>
            </w:r>
            <w:r>
              <w:rPr>
                <w:rFonts w:ascii="Calibri" w:hAnsi="Calibri"/>
                <w:color w:val="E11D48"/>
                <w:sz w:val="17"/>
              </w:rPr>
              <w:t>Server mandatory</w:t>
            </w:r>
          </w:p>
        </w:tc>
      </w:tr>
      <w:tr w14:paraId="4DF5DE6F">
        <w:tblPrEx>
          <w:tblCellMar>
            <w:top w:w="0" w:type="dxa"/>
            <w:left w:w="108" w:type="dxa"/>
            <w:bottom w:w="0" w:type="dxa"/>
            <w:right w:w="108" w:type="dxa"/>
          </w:tblCellMar>
        </w:tblPrEx>
        <w:trPr>
          <w:jc w:val="center"/>
        </w:trPr>
        <w:tc>
          <w:tcPr>
            <w:tcW w:w="2320" w:type="dxa"/>
            <w:shd w:val="clear" w:color="auto" w:fill="F8FAFC"/>
            <w:tcMar>
              <w:top w:w="100" w:type="dxa"/>
              <w:left w:w="80" w:type="dxa"/>
              <w:bottom w:w="100" w:type="dxa"/>
              <w:right w:w="80" w:type="dxa"/>
            </w:tcMar>
          </w:tcPr>
          <w:p w14:paraId="3E87003C">
            <w:pPr>
              <w:jc w:val="left"/>
            </w:pPr>
            <w:r>
              <w:rPr>
                <w:rFonts w:ascii="Calibri" w:hAnsi="Calibri"/>
                <w:color w:val="1E293B"/>
                <w:sz w:val="17"/>
              </w:rPr>
              <w:t>Unbiased Business Model</w:t>
            </w:r>
            <w:r>
              <w:rPr>
                <w:rFonts w:ascii="Calibri" w:hAnsi="Calibri"/>
                <w:color w:val="1E293B"/>
                <w:sz w:val="17"/>
              </w:rPr>
              <w:br w:type="textWrapping"/>
            </w:r>
            <w:r>
              <w:rPr>
                <w:rFonts w:ascii="Calibri" w:hAnsi="Calibri"/>
                <w:color w:val="1E293B"/>
                <w:sz w:val="17"/>
              </w:rPr>
              <w:t>(Zero White-Label Product Pushing)</w:t>
            </w:r>
          </w:p>
        </w:tc>
        <w:tc>
          <w:tcPr>
            <w:tcW w:w="1955" w:type="dxa"/>
            <w:shd w:val="clear" w:color="auto" w:fill="F0FDFA"/>
            <w:tcMar>
              <w:top w:w="100" w:type="dxa"/>
              <w:left w:w="80" w:type="dxa"/>
              <w:bottom w:w="100" w:type="dxa"/>
              <w:right w:w="80" w:type="dxa"/>
            </w:tcMar>
          </w:tcPr>
          <w:p w14:paraId="23945031">
            <w:pPr>
              <w:jc w:val="center"/>
            </w:pPr>
            <w:r>
              <w:rPr>
                <w:rFonts w:ascii="Calibri" w:hAnsi="Calibri"/>
                <w:b/>
                <w:color w:val="0D9488"/>
                <w:sz w:val="17"/>
              </w:rPr>
              <w:t>✔ 100% UNBIASED</w:t>
            </w:r>
            <w:r>
              <w:rPr>
                <w:rFonts w:ascii="Calibri" w:hAnsi="Calibri"/>
                <w:b/>
                <w:color w:val="0D9488"/>
                <w:sz w:val="17"/>
              </w:rPr>
              <w:br w:type="textWrapping"/>
            </w:r>
            <w:r>
              <w:rPr>
                <w:rFonts w:ascii="Calibri" w:hAnsi="Calibri"/>
                <w:b/>
                <w:color w:val="0D9488"/>
                <w:sz w:val="17"/>
              </w:rPr>
              <w:t>No private labels, citizen-first</w:t>
            </w:r>
          </w:p>
        </w:tc>
        <w:tc>
          <w:tcPr>
            <w:tcW w:w="1519" w:type="dxa"/>
            <w:shd w:val="clear" w:color="auto" w:fill="F8FAFC"/>
            <w:tcMar>
              <w:top w:w="100" w:type="dxa"/>
              <w:left w:w="80" w:type="dxa"/>
              <w:bottom w:w="100" w:type="dxa"/>
              <w:right w:w="80" w:type="dxa"/>
            </w:tcMar>
          </w:tcPr>
          <w:p w14:paraId="4808006B">
            <w:pPr>
              <w:jc w:val="center"/>
            </w:pPr>
            <w:r>
              <w:rPr>
                <w:rFonts w:ascii="Calibri" w:hAnsi="Calibri"/>
                <w:color w:val="D97706"/>
                <w:sz w:val="17"/>
              </w:rPr>
              <w:t>▲ Affiliate Links</w:t>
            </w:r>
            <w:r>
              <w:rPr>
                <w:rFonts w:ascii="Calibri" w:hAnsi="Calibri"/>
                <w:color w:val="D97706"/>
                <w:sz w:val="17"/>
              </w:rPr>
              <w:br w:type="textWrapping"/>
            </w:r>
            <w:r>
              <w:rPr>
                <w:rFonts w:ascii="Calibri" w:hAnsi="Calibri"/>
                <w:color w:val="D97706"/>
                <w:sz w:val="17"/>
              </w:rPr>
              <w:t>Cosmetic affiliate partnerships</w:t>
            </w:r>
          </w:p>
        </w:tc>
        <w:tc>
          <w:tcPr>
            <w:tcW w:w="1499" w:type="dxa"/>
            <w:shd w:val="clear" w:color="auto" w:fill="F8FAFC"/>
            <w:tcMar>
              <w:top w:w="100" w:type="dxa"/>
              <w:left w:w="80" w:type="dxa"/>
              <w:bottom w:w="100" w:type="dxa"/>
              <w:right w:w="80" w:type="dxa"/>
            </w:tcMar>
          </w:tcPr>
          <w:p w14:paraId="3053F921">
            <w:pPr>
              <w:jc w:val="center"/>
            </w:pPr>
            <w:r>
              <w:rPr>
                <w:rFonts w:ascii="Calibri" w:hAnsi="Calibri"/>
                <w:color w:val="E11D48"/>
                <w:sz w:val="17"/>
              </w:rPr>
              <w:t>✘ HEAVILY BIASED</w:t>
            </w:r>
            <w:r>
              <w:rPr>
                <w:rFonts w:ascii="Calibri" w:hAnsi="Calibri"/>
                <w:color w:val="E11D48"/>
                <w:sz w:val="17"/>
              </w:rPr>
              <w:br w:type="textWrapping"/>
            </w:r>
            <w:r>
              <w:rPr>
                <w:rFonts w:ascii="Calibri" w:hAnsi="Calibri"/>
                <w:color w:val="E11D48"/>
                <w:sz w:val="17"/>
              </w:rPr>
              <w:t>100% revenue from own branded kits</w:t>
            </w:r>
          </w:p>
        </w:tc>
        <w:tc>
          <w:tcPr>
            <w:tcW w:w="1519" w:type="dxa"/>
            <w:shd w:val="clear" w:color="auto" w:fill="F8FAFC"/>
            <w:tcMar>
              <w:top w:w="100" w:type="dxa"/>
              <w:left w:w="80" w:type="dxa"/>
              <w:bottom w:w="100" w:type="dxa"/>
              <w:right w:w="80" w:type="dxa"/>
            </w:tcMar>
          </w:tcPr>
          <w:p w14:paraId="7DB6577E">
            <w:pPr>
              <w:jc w:val="center"/>
            </w:pPr>
            <w:r>
              <w:rPr>
                <w:rFonts w:ascii="Calibri" w:hAnsi="Calibri"/>
                <w:color w:val="E11D48"/>
                <w:sz w:val="17"/>
              </w:rPr>
              <w:t>✘ BIASED</w:t>
            </w:r>
            <w:r>
              <w:rPr>
                <w:rFonts w:ascii="Calibri" w:hAnsi="Calibri"/>
                <w:color w:val="E11D48"/>
                <w:sz w:val="17"/>
              </w:rPr>
              <w:br w:type="textWrapping"/>
            </w:r>
            <w:r>
              <w:rPr>
                <w:rFonts w:ascii="Calibri" w:hAnsi="Calibri"/>
                <w:color w:val="E11D48"/>
                <w:sz w:val="17"/>
              </w:rPr>
              <w:t>Sponsored pharmaceutical placement</w:t>
            </w:r>
          </w:p>
        </w:tc>
        <w:tc>
          <w:tcPr>
            <w:tcW w:w="1468" w:type="dxa"/>
            <w:shd w:val="clear" w:color="auto" w:fill="F8FAFC"/>
            <w:tcMar>
              <w:top w:w="100" w:type="dxa"/>
              <w:left w:w="80" w:type="dxa"/>
              <w:bottom w:w="100" w:type="dxa"/>
              <w:right w:w="80" w:type="dxa"/>
            </w:tcMar>
          </w:tcPr>
          <w:p w14:paraId="478ABCE4">
            <w:pPr>
              <w:jc w:val="center"/>
            </w:pPr>
            <w:r>
              <w:rPr>
                <w:rFonts w:ascii="Calibri" w:hAnsi="Calibri"/>
                <w:color w:val="D97706"/>
                <w:sz w:val="17"/>
              </w:rPr>
              <w:t>▲ BIASED</w:t>
            </w:r>
            <w:r>
              <w:rPr>
                <w:rFonts w:ascii="Calibri" w:hAnsi="Calibri"/>
                <w:color w:val="D97706"/>
                <w:sz w:val="17"/>
              </w:rPr>
              <w:br w:type="textWrapping"/>
            </w:r>
            <w:r>
              <w:rPr>
                <w:rFonts w:ascii="Calibri" w:hAnsi="Calibri"/>
                <w:color w:val="D97706"/>
                <w:sz w:val="17"/>
              </w:rPr>
              <w:t>Promotes high-margin generic partners</w:t>
            </w:r>
          </w:p>
        </w:tc>
      </w:tr>
      <w:tr w14:paraId="7FF135BA">
        <w:tblPrEx>
          <w:tblCellMar>
            <w:top w:w="0" w:type="dxa"/>
            <w:left w:w="108" w:type="dxa"/>
            <w:bottom w:w="0" w:type="dxa"/>
            <w:right w:w="108" w:type="dxa"/>
          </w:tblCellMar>
        </w:tblPrEx>
        <w:trPr>
          <w:jc w:val="center"/>
        </w:trPr>
        <w:tc>
          <w:tcPr>
            <w:tcW w:w="2320" w:type="dxa"/>
            <w:shd w:val="clear" w:color="auto" w:fill="FFFFFF"/>
            <w:tcMar>
              <w:top w:w="100" w:type="dxa"/>
              <w:left w:w="80" w:type="dxa"/>
              <w:bottom w:w="100" w:type="dxa"/>
              <w:right w:w="80" w:type="dxa"/>
            </w:tcMar>
          </w:tcPr>
          <w:p w14:paraId="5E78873A">
            <w:pPr>
              <w:jc w:val="left"/>
            </w:pPr>
            <w:r>
              <w:rPr>
                <w:rFonts w:ascii="Calibri" w:hAnsi="Calibri"/>
                <w:color w:val="1E293B"/>
                <w:sz w:val="17"/>
              </w:rPr>
              <w:t>Multi-Platform Availability</w:t>
            </w:r>
            <w:r>
              <w:rPr>
                <w:rFonts w:ascii="Calibri" w:hAnsi="Calibri"/>
                <w:color w:val="1E293B"/>
                <w:sz w:val="17"/>
              </w:rPr>
              <w:br w:type="textWrapping"/>
            </w:r>
            <w:r>
              <w:rPr>
                <w:rFonts w:ascii="Calibri" w:hAnsi="Calibri"/>
                <w:color w:val="1E293B"/>
                <w:sz w:val="17"/>
              </w:rPr>
              <w:t>(Mobile App + Desktop Web Portal)</w:t>
            </w:r>
          </w:p>
        </w:tc>
        <w:tc>
          <w:tcPr>
            <w:tcW w:w="1955" w:type="dxa"/>
            <w:shd w:val="clear" w:color="auto" w:fill="E6FFFA"/>
            <w:tcMar>
              <w:top w:w="100" w:type="dxa"/>
              <w:left w:w="80" w:type="dxa"/>
              <w:bottom w:w="100" w:type="dxa"/>
              <w:right w:w="80" w:type="dxa"/>
            </w:tcMar>
          </w:tcPr>
          <w:p w14:paraId="1B1802B8">
            <w:pPr>
              <w:jc w:val="center"/>
            </w:pPr>
            <w:r>
              <w:rPr>
                <w:rFonts w:ascii="Calibri" w:hAnsi="Calibri"/>
                <w:b/>
                <w:color w:val="0D9488"/>
                <w:sz w:val="17"/>
              </w:rPr>
              <w:t>✔ YES (Flutter + Web)</w:t>
            </w:r>
            <w:r>
              <w:rPr>
                <w:rFonts w:ascii="Calibri" w:hAnsi="Calibri"/>
                <w:b/>
                <w:color w:val="0D9488"/>
                <w:sz w:val="17"/>
              </w:rPr>
              <w:br w:type="textWrapping"/>
            </w:r>
            <w:r>
              <w:rPr>
                <w:rFonts w:ascii="Calibri" w:hAnsi="Calibri"/>
                <w:b/>
                <w:color w:val="0D9488"/>
                <w:sz w:val="17"/>
              </w:rPr>
              <w:t>Responsive PPT-ready widescreen layout</w:t>
            </w:r>
          </w:p>
        </w:tc>
        <w:tc>
          <w:tcPr>
            <w:tcW w:w="1519" w:type="dxa"/>
            <w:shd w:val="clear" w:color="auto" w:fill="FFFFFF"/>
            <w:tcMar>
              <w:top w:w="100" w:type="dxa"/>
              <w:left w:w="80" w:type="dxa"/>
              <w:bottom w:w="100" w:type="dxa"/>
              <w:right w:w="80" w:type="dxa"/>
            </w:tcMar>
          </w:tcPr>
          <w:p w14:paraId="44CBB29D">
            <w:pPr>
              <w:jc w:val="center"/>
            </w:pPr>
            <w:r>
              <w:rPr>
                <w:rFonts w:ascii="Calibri" w:hAnsi="Calibri"/>
                <w:color w:val="D97706"/>
                <w:sz w:val="17"/>
              </w:rPr>
              <w:t>▲ App Only</w:t>
            </w:r>
            <w:r>
              <w:rPr>
                <w:rFonts w:ascii="Calibri" w:hAnsi="Calibri"/>
                <w:color w:val="D97706"/>
                <w:sz w:val="17"/>
              </w:rPr>
              <w:br w:type="textWrapping"/>
            </w:r>
            <w:r>
              <w:rPr>
                <w:rFonts w:ascii="Calibri" w:hAnsi="Calibri"/>
                <w:color w:val="D97706"/>
                <w:sz w:val="17"/>
              </w:rPr>
              <w:t>No full web scanning suite</w:t>
            </w:r>
          </w:p>
        </w:tc>
        <w:tc>
          <w:tcPr>
            <w:tcW w:w="1499" w:type="dxa"/>
            <w:shd w:val="clear" w:color="auto" w:fill="FFFFFF"/>
            <w:tcMar>
              <w:top w:w="100" w:type="dxa"/>
              <w:left w:w="80" w:type="dxa"/>
              <w:bottom w:w="100" w:type="dxa"/>
              <w:right w:w="80" w:type="dxa"/>
            </w:tcMar>
          </w:tcPr>
          <w:p w14:paraId="405E947D">
            <w:pPr>
              <w:jc w:val="center"/>
            </w:pPr>
            <w:r>
              <w:rPr>
                <w:rFonts w:ascii="Calibri" w:hAnsi="Calibri"/>
                <w:color w:val="D97706"/>
                <w:sz w:val="17"/>
              </w:rPr>
              <w:t>▲ App Only</w:t>
            </w:r>
            <w:r>
              <w:rPr>
                <w:rFonts w:ascii="Calibri" w:hAnsi="Calibri"/>
                <w:color w:val="D97706"/>
                <w:sz w:val="17"/>
              </w:rPr>
              <w:br w:type="textWrapping"/>
            </w:r>
            <w:r>
              <w:rPr>
                <w:rFonts w:ascii="Calibri" w:hAnsi="Calibri"/>
                <w:color w:val="D97706"/>
                <w:sz w:val="17"/>
              </w:rPr>
              <w:t>Mobile app exclusive</w:t>
            </w:r>
          </w:p>
        </w:tc>
        <w:tc>
          <w:tcPr>
            <w:tcW w:w="1519" w:type="dxa"/>
            <w:shd w:val="clear" w:color="auto" w:fill="FFFFFF"/>
            <w:tcMar>
              <w:top w:w="100" w:type="dxa"/>
              <w:left w:w="80" w:type="dxa"/>
              <w:bottom w:w="100" w:type="dxa"/>
              <w:right w:w="80" w:type="dxa"/>
            </w:tcMar>
          </w:tcPr>
          <w:p w14:paraId="601051A3">
            <w:pPr>
              <w:jc w:val="center"/>
            </w:pPr>
            <w:r>
              <w:rPr>
                <w:rFonts w:ascii="Calibri" w:hAnsi="Calibri"/>
                <w:b/>
                <w:color w:val="0D9488"/>
                <w:sz w:val="17"/>
              </w:rPr>
              <w:t>✔ App &amp; Web</w:t>
            </w:r>
            <w:r>
              <w:rPr>
                <w:rFonts w:ascii="Calibri" w:hAnsi="Calibri"/>
                <w:b/>
                <w:color w:val="0D9488"/>
                <w:sz w:val="17"/>
              </w:rPr>
              <w:br w:type="textWrapping"/>
            </w:r>
            <w:r>
              <w:rPr>
                <w:rFonts w:ascii="Calibri" w:hAnsi="Calibri"/>
                <w:b/>
                <w:color w:val="0D9488"/>
                <w:sz w:val="17"/>
              </w:rPr>
              <w:t>E-commerce store</w:t>
            </w:r>
          </w:p>
        </w:tc>
        <w:tc>
          <w:tcPr>
            <w:tcW w:w="1468" w:type="dxa"/>
            <w:shd w:val="clear" w:color="auto" w:fill="FFFFFF"/>
            <w:tcMar>
              <w:top w:w="100" w:type="dxa"/>
              <w:left w:w="80" w:type="dxa"/>
              <w:bottom w:w="100" w:type="dxa"/>
              <w:right w:w="80" w:type="dxa"/>
            </w:tcMar>
          </w:tcPr>
          <w:p w14:paraId="2C94D734">
            <w:pPr>
              <w:jc w:val="center"/>
            </w:pPr>
            <w:r>
              <w:rPr>
                <w:rFonts w:ascii="Calibri" w:hAnsi="Calibri"/>
                <w:b/>
                <w:color w:val="0D9488"/>
                <w:sz w:val="17"/>
              </w:rPr>
              <w:t>✔ App &amp; Web</w:t>
            </w:r>
            <w:r>
              <w:rPr>
                <w:rFonts w:ascii="Calibri" w:hAnsi="Calibri"/>
                <w:b/>
                <w:color w:val="0D9488"/>
                <w:sz w:val="17"/>
              </w:rPr>
              <w:br w:type="textWrapping"/>
            </w:r>
            <w:r>
              <w:rPr>
                <w:rFonts w:ascii="Calibri" w:hAnsi="Calibri"/>
                <w:b/>
                <w:color w:val="0D9488"/>
                <w:sz w:val="17"/>
              </w:rPr>
              <w:t>E-commerce store</w:t>
            </w:r>
          </w:p>
        </w:tc>
      </w:tr>
      <w:bookmarkEnd w:id="0"/>
    </w:tbl>
    <w:p w14:paraId="52991DF3">
      <w:pPr>
        <w:spacing w:after="280"/>
      </w:pPr>
    </w:p>
    <w:p w14:paraId="03D60232">
      <w:pPr>
        <w:pStyle w:val="2"/>
        <w:spacing w:before="280" w:after="120"/>
      </w:pPr>
      <w:r>
        <w:rPr>
          <w:rFonts w:ascii="Calibri" w:hAnsi="Calibri"/>
          <w:b/>
          <w:color w:val="0F172A"/>
          <w:sz w:val="36"/>
        </w:rPr>
        <w:t>2. Detailed Gap Analysis: What Competitors Lack</w:t>
      </w:r>
    </w:p>
    <w:p w14:paraId="28120170">
      <w:pPr>
        <w:pStyle w:val="3"/>
        <w:spacing w:before="280" w:after="120"/>
      </w:pPr>
      <w:r>
        <w:rPr>
          <w:rFonts w:ascii="Calibri" w:hAnsi="Calibri"/>
          <w:b/>
          <w:color w:val="0D9488"/>
          <w:sz w:val="28"/>
        </w:rPr>
        <w:t>A. International Ingredient Scanners (Yuka, Think Dirty, INCI Beauty)</w:t>
      </w:r>
    </w:p>
    <w:p w14:paraId="02D8F97D">
      <w:r>
        <w:t>While apps like Yuka have popularized consumer barcode scanning in Western Europe and North America, they fail profoundly in the Indian healthcare context:</w:t>
      </w:r>
      <w:r>
        <w:br w:type="textWrapping"/>
      </w:r>
      <w:r>
        <w:t>1. Complete Absence of Medicine &amp; Pharmaceutical Databases: Yuka is strictly restricted to packaged food and retail cosmetics. When an Indian citizen is prescribed a topical gel (like Supatret or Clindac-A), Yuka is entirely useless; it has zero knowledge of pharmaceutical salts, NLEM medicines, or government generic formulations.</w:t>
      </w:r>
      <w:r>
        <w:br w:type="textWrapping"/>
      </w:r>
      <w:r>
        <w:t>2. Disconnected Indian FMCG Database: Over 75% of local Indian cosmetic and packaged food barcodes fail to scan on Yuka due to reliance on European product databases (Open Food Facts EU / French repositories).</w:t>
      </w:r>
      <w:r>
        <w:br w:type="textWrapping"/>
      </w:r>
      <w:r>
        <w:t>3. Zero Economic Price Transparency: Yuka provides zero pricing information, zero discount tracking, and zero generic substitution recommendations.</w:t>
      </w:r>
      <w:r>
        <w:br w:type="textWrapping"/>
      </w:r>
      <w:r>
        <w:t>4. Superficial Ingredient Penalization: Yuka frequently penalizes safe, clinically essential preservatives (like Phenoxyethanol) using non-peer-reviewed hazard metrics, confusing consumers between clinical active therapy and toxic ingredients.</w:t>
      </w:r>
    </w:p>
    <w:p w14:paraId="4E0E8770">
      <w:pPr>
        <w:pStyle w:val="3"/>
        <w:spacing w:before="280" w:after="120"/>
      </w:pPr>
      <w:r>
        <w:rPr>
          <w:rFonts w:ascii="Calibri" w:hAnsi="Calibri"/>
          <w:b/>
          <w:color w:val="0D9488"/>
          <w:sz w:val="28"/>
        </w:rPr>
        <w:t>B. Tele-Dermatology &amp; Skin Quiz Apps (CureSkin, Skin Bliss)</w:t>
      </w:r>
    </w:p>
    <w:p w14:paraId="499B71D1">
      <w:r>
        <w:t>CureSkin represents the standard Indian venture-backed dermatology model, but possesses severe systemic flaws that alienate average citizens:</w:t>
      </w:r>
      <w:r>
        <w:br w:type="textWrapping"/>
      </w:r>
      <w:r>
        <w:t>1. Aggressive Walled-Garden Product Monetization: CureSkin does not offer unbiased treatment. Instead, its algorithm is engineered to sell high-margin, proprietary white-label skincare kits costing ₹1,200 to ₹2,500 every single month. Users cannot use the app without being funneled into buying their in-house products.</w:t>
      </w:r>
      <w:r>
        <w:br w:type="textWrapping"/>
      </w:r>
      <w:r>
        <w:t>2. Concealment of Jan Aushadhi Generic Alternatives: CureSkin's business model relies on product sales margins. Therefore, it has a direct financial incentive to NEVER tell a patient that an identical ₹40 government Jan Aushadhi generic exists.</w:t>
      </w:r>
      <w:r>
        <w:br w:type="textWrapping"/>
      </w:r>
      <w:r>
        <w:t>3. Lack of Transparent Ingredient Label Auditing: Users cannot paste or scan arbitrary ingredient labels from other brands to check if they are being ripped off or exposed to comedogenic chemicals.</w:t>
      </w:r>
      <w:r>
        <w:br w:type="textWrapping"/>
      </w:r>
      <w:r>
        <w:t>4. High Consultation Friction: Requires mandatory multi-step photo uploads and doctor consultation queues before dispensing basic routine guidance.</w:t>
      </w:r>
    </w:p>
    <w:p w14:paraId="2BD8A8A2">
      <w:pPr>
        <w:pStyle w:val="3"/>
        <w:spacing w:before="280" w:after="120"/>
      </w:pPr>
      <w:r>
        <w:rPr>
          <w:rFonts w:ascii="Calibri" w:hAnsi="Calibri"/>
          <w:b/>
          <w:color w:val="0D9488"/>
          <w:sz w:val="28"/>
        </w:rPr>
        <w:t>C. Commercial E-Pharmacies (Tata 1mg, PharmEasy, Netmeds, Apollo)</w:t>
      </w:r>
    </w:p>
    <w:p w14:paraId="66BB7CCB">
      <w:r>
        <w:t>E-pharmacies dominate online drug ordering in India, but their corporate incentives conflict directly with patient savings:</w:t>
      </w:r>
      <w:r>
        <w:br w:type="textWrapping"/>
      </w:r>
      <w:r>
        <w:t>1. Algorithmic Bias for Expensive Branded Drugs: E-pharmacy platforms earn percentage margins on total cart value. Recommending a ₹35 Jan Aushadhi generic instead of a ₹380 multinational branded formulation reduces their commission by 90%. Consequently, their search algorithms actively bury or omit government generic equivalents.</w:t>
      </w:r>
      <w:r>
        <w:br w:type="textWrapping"/>
      </w:r>
      <w:r>
        <w:t>2. Zero Preventive Toxicity Scanning: These platforms operate purely as storefronts. They do not evaluate whether a facial cream contains pore-clogging comedogenic esters, toxic fragrances, or endocrine disruptors.</w:t>
      </w:r>
      <w:r>
        <w:br w:type="textWrapping"/>
      </w:r>
      <w:r>
        <w:t>3. Fragmented Price Comparison: A consumer shopping on Tata 1mg has no way of knowing whether Truemeds or PharmEasy offers the same medicine at 25% lower cost without manually switching between multiple separate apps.</w:t>
      </w:r>
    </w:p>
    <w:p w14:paraId="0AB8DE63">
      <w:pPr>
        <w:pStyle w:val="3"/>
        <w:spacing w:before="280" w:after="120"/>
      </w:pPr>
      <w:r>
        <w:rPr>
          <w:rFonts w:ascii="Calibri" w:hAnsi="Calibri"/>
          <w:b/>
          <w:color w:val="0D9488"/>
          <w:sz w:val="28"/>
        </w:rPr>
        <w:t>D. Commercial Generic Substitution Apps (Truemeds)</w:t>
      </w:r>
    </w:p>
    <w:p w14:paraId="7624F5D2">
      <w:r>
        <w:t>Truemeds has done commendable work promoting generic drugs in India, but remains critically limited in scope:</w:t>
      </w:r>
      <w:r>
        <w:br w:type="textWrapping"/>
      </w:r>
      <w:r>
        <w:t>1. Private Generic Brands Over Government PMBJP: Truemeds primarily pushes private third-party generic pharmaceutical brands (e.g. Abbott, Intas, Cipla generics) that still sell at a 40-50% markup compared to true Government PMBJP Jan Aushadhi prices.</w:t>
      </w:r>
      <w:r>
        <w:br w:type="textWrapping"/>
      </w:r>
      <w:r>
        <w:t>2. Exclusion of Jan Aushadhi Kendras: Truemeds operates via its own courier fulfillment network and does not guide users to their local PMBJP Jan Aushadhi store for instant same-day physical pickup.</w:t>
      </w:r>
      <w:r>
        <w:br w:type="textWrapping"/>
      </w:r>
      <w:r>
        <w:t>3. Total Lack of Cosmetic &amp; Lifestyle Intelligence: Truemeds possesses zero toxicity analysis, zero comedogenic scoring, zero dietary microbiome tracking, and zero scalp-care safety tools.</w:t>
      </w:r>
    </w:p>
    <w:p w14:paraId="139C74DD">
      <w:pPr>
        <w:spacing w:after="200"/>
      </w:pPr>
    </w:p>
    <w:p w14:paraId="438B3509">
      <w:pPr>
        <w:pStyle w:val="2"/>
        <w:spacing w:before="280" w:after="120"/>
      </w:pPr>
      <w:r>
        <w:rPr>
          <w:rFonts w:ascii="Calibri" w:hAnsi="Calibri"/>
          <w:b/>
          <w:color w:val="0F172A"/>
          <w:sz w:val="36"/>
        </w:rPr>
        <w:t>3. FaceIT's Unfair Competitive Edges (Strategic Moats)</w:t>
      </w:r>
    </w:p>
    <w:tbl>
      <w:tblPr>
        <w:tblStyle w:val="12"/>
        <w:tblW w:w="0" w:type="auto"/>
        <w:jc w:val="center"/>
        <w:tblLayout w:type="autofit"/>
        <w:tblCellMar>
          <w:top w:w="0" w:type="dxa"/>
          <w:left w:w="108" w:type="dxa"/>
          <w:bottom w:w="0" w:type="dxa"/>
          <w:right w:w="108" w:type="dxa"/>
        </w:tblCellMar>
      </w:tblPr>
      <w:tblGrid>
        <w:gridCol w:w="10080"/>
      </w:tblGrid>
      <w:tr w14:paraId="4078EF24">
        <w:tblPrEx>
          <w:tblCellMar>
            <w:top w:w="0" w:type="dxa"/>
            <w:left w:w="108" w:type="dxa"/>
            <w:bottom w:w="0" w:type="dxa"/>
            <w:right w:w="108" w:type="dxa"/>
          </w:tblCellMar>
        </w:tblPrEx>
        <w:trPr>
          <w:jc w:val="center"/>
        </w:trPr>
        <w:tc>
          <w:tcPr>
            <w:tcW w:w="10080" w:type="dxa"/>
            <w:tcBorders>
              <w:top w:val="nil"/>
              <w:left w:val="single" w:color="0D9488" w:sz="24" w:space="0"/>
              <w:bottom w:val="nil"/>
              <w:right w:val="nil"/>
            </w:tcBorders>
            <w:shd w:val="clear" w:color="auto" w:fill="F0FDFA"/>
            <w:tcMar>
              <w:top w:w="160" w:type="dxa"/>
              <w:left w:w="240" w:type="dxa"/>
              <w:bottom w:w="160" w:type="dxa"/>
              <w:right w:w="200" w:type="dxa"/>
            </w:tcMar>
          </w:tcPr>
          <w:p w14:paraId="48A1826D">
            <w:pPr>
              <w:spacing w:after="60"/>
            </w:pPr>
            <w:r>
              <w:rPr>
                <w:rFonts w:ascii="Calibri" w:hAnsi="Calibri"/>
                <w:b/>
                <w:color w:val="0D9488"/>
                <w:sz w:val="22"/>
              </w:rPr>
              <w:t>★ Moat 1: The Jan Aushadhi (PMBJP) Public Health Synergy</w:t>
            </w:r>
            <w:r>
              <w:rPr>
                <w:rFonts w:ascii="Calibri" w:hAnsi="Calibri"/>
                <w:b/>
                <w:color w:val="0D9488"/>
                <w:sz w:val="22"/>
              </w:rPr>
              <w:br w:type="textWrapping"/>
            </w:r>
            <w:r>
              <w:rPr>
                <w:rFonts w:ascii="Calibri" w:hAnsi="Calibri"/>
                <w:color w:val="334155"/>
                <w:sz w:val="20"/>
              </w:rPr>
              <w:t>FaceIT is the FIRST and ONLY platform to natively integrate the Government of India's Pradhan Mantri Bhartiya Janaushadhi Pariyojana (PMBJP) directly into everyday dermatology and lifestyle care. By translating complex branded prescriptions (e.g., Supatret 0.04% Gel @ ₹380) into their verified bio-equivalent Jan Aushadhi formulation (PMBJP-03412 @ ₹45), FaceIT delivers unprecedented ~88% direct pocket savings. Furthermore, our integrated Kendra Locator guides users to the nearest physical government pharmacy for immediate collection.</w:t>
            </w:r>
          </w:p>
        </w:tc>
      </w:tr>
    </w:tbl>
    <w:p w14:paraId="7F2A199A">
      <w:pPr>
        <w:spacing w:after="120"/>
      </w:pPr>
    </w:p>
    <w:tbl>
      <w:tblPr>
        <w:tblStyle w:val="12"/>
        <w:tblW w:w="0" w:type="auto"/>
        <w:jc w:val="center"/>
        <w:tblLayout w:type="autofit"/>
        <w:tblCellMar>
          <w:top w:w="0" w:type="dxa"/>
          <w:left w:w="108" w:type="dxa"/>
          <w:bottom w:w="0" w:type="dxa"/>
          <w:right w:w="108" w:type="dxa"/>
        </w:tblCellMar>
      </w:tblPr>
      <w:tblGrid>
        <w:gridCol w:w="10080"/>
      </w:tblGrid>
      <w:tr w14:paraId="52B68C00">
        <w:tblPrEx>
          <w:tblCellMar>
            <w:top w:w="0" w:type="dxa"/>
            <w:left w:w="108" w:type="dxa"/>
            <w:bottom w:w="0" w:type="dxa"/>
            <w:right w:w="108" w:type="dxa"/>
          </w:tblCellMar>
        </w:tblPrEx>
        <w:trPr>
          <w:jc w:val="center"/>
        </w:trPr>
        <w:tc>
          <w:tcPr>
            <w:tcW w:w="10080" w:type="dxa"/>
            <w:tcBorders>
              <w:top w:val="nil"/>
              <w:left w:val="single" w:color="0D9488" w:sz="24" w:space="0"/>
              <w:bottom w:val="nil"/>
              <w:right w:val="nil"/>
            </w:tcBorders>
            <w:shd w:val="clear" w:color="auto" w:fill="F0FDFA"/>
            <w:tcMar>
              <w:top w:w="160" w:type="dxa"/>
              <w:left w:w="240" w:type="dxa"/>
              <w:bottom w:w="160" w:type="dxa"/>
              <w:right w:w="200" w:type="dxa"/>
            </w:tcMar>
          </w:tcPr>
          <w:p w14:paraId="41CF2C10">
            <w:pPr>
              <w:spacing w:after="60"/>
            </w:pPr>
            <w:r>
              <w:rPr>
                <w:rFonts w:ascii="Calibri" w:hAnsi="Calibri"/>
                <w:b/>
                <w:color w:val="0D9488"/>
                <w:sz w:val="22"/>
              </w:rPr>
              <w:t>★ Moat 2: The Multi-Domain Triad Scanner (Skin + Diet + Scalp)</w:t>
            </w:r>
            <w:r>
              <w:rPr>
                <w:rFonts w:ascii="Calibri" w:hAnsi="Calibri"/>
                <w:b/>
                <w:color w:val="0D9488"/>
                <w:sz w:val="22"/>
              </w:rPr>
              <w:br w:type="textWrapping"/>
            </w:r>
            <w:r>
              <w:rPr>
                <w:rFonts w:ascii="Calibri" w:hAnsi="Calibri"/>
                <w:color w:val="334155"/>
                <w:sz w:val="20"/>
              </w:rPr>
              <w:t>Dermatological health does not exist in a vacuum; 70% of chronic adult acne, eczema, and hair loss stems from a toxic combination of topical irritants, gut-disrupting inflammatory diets (palm oil, high-fructose corn syrup, synthetic dyes), and scalp-stripping sulfates. Competitors analyze only one silo. FaceIT is the first unified engine that empowers citizens to audit their Skin Care, Food &amp; Beverage, and Hair Care products in a single interface.</w:t>
            </w:r>
          </w:p>
        </w:tc>
      </w:tr>
    </w:tbl>
    <w:p w14:paraId="4F1D500D">
      <w:pPr>
        <w:spacing w:after="120"/>
      </w:pPr>
    </w:p>
    <w:tbl>
      <w:tblPr>
        <w:tblStyle w:val="12"/>
        <w:tblW w:w="0" w:type="auto"/>
        <w:jc w:val="center"/>
        <w:tblLayout w:type="autofit"/>
        <w:tblCellMar>
          <w:top w:w="0" w:type="dxa"/>
          <w:left w:w="108" w:type="dxa"/>
          <w:bottom w:w="0" w:type="dxa"/>
          <w:right w:w="108" w:type="dxa"/>
        </w:tblCellMar>
      </w:tblPr>
      <w:tblGrid>
        <w:gridCol w:w="10080"/>
      </w:tblGrid>
      <w:tr w14:paraId="48C9CC94">
        <w:tblPrEx>
          <w:tblCellMar>
            <w:top w:w="0" w:type="dxa"/>
            <w:left w:w="108" w:type="dxa"/>
            <w:bottom w:w="0" w:type="dxa"/>
            <w:right w:w="108" w:type="dxa"/>
          </w:tblCellMar>
        </w:tblPrEx>
        <w:trPr>
          <w:jc w:val="center"/>
        </w:trPr>
        <w:tc>
          <w:tcPr>
            <w:tcW w:w="10080" w:type="dxa"/>
            <w:tcBorders>
              <w:top w:val="nil"/>
              <w:left w:val="single" w:color="0D9488" w:sz="24" w:space="0"/>
              <w:bottom w:val="nil"/>
              <w:right w:val="nil"/>
            </w:tcBorders>
            <w:shd w:val="clear" w:color="auto" w:fill="F0FDFA"/>
            <w:tcMar>
              <w:top w:w="160" w:type="dxa"/>
              <w:left w:w="240" w:type="dxa"/>
              <w:bottom w:w="160" w:type="dxa"/>
              <w:right w:w="200" w:type="dxa"/>
            </w:tcMar>
          </w:tcPr>
          <w:p w14:paraId="551A605A">
            <w:pPr>
              <w:spacing w:after="60"/>
            </w:pPr>
            <w:r>
              <w:rPr>
                <w:rFonts w:ascii="Calibri" w:hAnsi="Calibri"/>
                <w:b/>
                <w:color w:val="0D9488"/>
                <w:sz w:val="22"/>
              </w:rPr>
              <w:t>★ Moat 3: 100% Unbiased Clinical Objectivity (Zero Product Pushing)</w:t>
            </w:r>
            <w:r>
              <w:rPr>
                <w:rFonts w:ascii="Calibri" w:hAnsi="Calibri"/>
                <w:b/>
                <w:color w:val="0D9488"/>
                <w:sz w:val="22"/>
              </w:rPr>
              <w:br w:type="textWrapping"/>
            </w:r>
            <w:r>
              <w:rPr>
                <w:rFonts w:ascii="Calibri" w:hAnsi="Calibri"/>
                <w:color w:val="334155"/>
                <w:sz w:val="20"/>
              </w:rPr>
              <w:t>Unlike CureSkin, Nykaa, or e-pharmacies, FaceIT sells NO white-label skincare products, carries NO sponsored brand inventory, and takes NO kickbacks for steering patients toward high-margin formulations. Our recommendations are strictly governed by dermatological science (comedogenic indices 0-5, epidermal barrier lipid compatibility) and government pharmacopeia standards (IP / WHO-GMP).</w:t>
            </w:r>
          </w:p>
        </w:tc>
      </w:tr>
    </w:tbl>
    <w:p w14:paraId="3A36865D">
      <w:pPr>
        <w:spacing w:after="120"/>
      </w:pPr>
    </w:p>
    <w:tbl>
      <w:tblPr>
        <w:tblStyle w:val="12"/>
        <w:tblW w:w="0" w:type="auto"/>
        <w:jc w:val="center"/>
        <w:tblLayout w:type="autofit"/>
        <w:tblCellMar>
          <w:top w:w="0" w:type="dxa"/>
          <w:left w:w="108" w:type="dxa"/>
          <w:bottom w:w="0" w:type="dxa"/>
          <w:right w:w="108" w:type="dxa"/>
        </w:tblCellMar>
      </w:tblPr>
      <w:tblGrid>
        <w:gridCol w:w="10080"/>
      </w:tblGrid>
      <w:tr w14:paraId="54C1DBFC">
        <w:tblPrEx>
          <w:tblCellMar>
            <w:top w:w="0" w:type="dxa"/>
            <w:left w:w="108" w:type="dxa"/>
            <w:bottom w:w="0" w:type="dxa"/>
            <w:right w:w="108" w:type="dxa"/>
          </w:tblCellMar>
        </w:tblPrEx>
        <w:trPr>
          <w:jc w:val="center"/>
        </w:trPr>
        <w:tc>
          <w:tcPr>
            <w:tcW w:w="10080" w:type="dxa"/>
            <w:tcBorders>
              <w:top w:val="nil"/>
              <w:left w:val="single" w:color="0D9488" w:sz="24" w:space="0"/>
              <w:bottom w:val="nil"/>
              <w:right w:val="nil"/>
            </w:tcBorders>
            <w:shd w:val="clear" w:color="auto" w:fill="F0FDFA"/>
            <w:tcMar>
              <w:top w:w="160" w:type="dxa"/>
              <w:left w:w="240" w:type="dxa"/>
              <w:bottom w:w="160" w:type="dxa"/>
              <w:right w:w="200" w:type="dxa"/>
            </w:tcMar>
          </w:tcPr>
          <w:p w14:paraId="2489F947">
            <w:pPr>
              <w:spacing w:after="60"/>
            </w:pPr>
            <w:r>
              <w:rPr>
                <w:rFonts w:ascii="Calibri" w:hAnsi="Calibri"/>
                <w:b/>
                <w:color w:val="0D9488"/>
                <w:sz w:val="22"/>
              </w:rPr>
              <w:t>★ Moat 4: Dual-Channel Real-Time Price Arbitrage Engine</w:t>
            </w:r>
            <w:r>
              <w:rPr>
                <w:rFonts w:ascii="Calibri" w:hAnsi="Calibri"/>
                <w:b/>
                <w:color w:val="0D9488"/>
                <w:sz w:val="22"/>
              </w:rPr>
              <w:br w:type="textWrapping"/>
            </w:r>
            <w:r>
              <w:rPr>
                <w:rFonts w:ascii="Calibri" w:hAnsi="Calibri"/>
                <w:color w:val="334155"/>
                <w:sz w:val="20"/>
              </w:rPr>
              <w:t>When a patient cannot visit a Jan Aushadhi Kendra, FaceIT provides a transparent multi-pharmacy price comparison across Truemeds, PharmEasy, Tata 1mg, Netmeds, and Apollo 24/7. It automatically spots the lowest online rate, delivery timeframe, and active coupon discounts, democratizing healthcare access across urban and rural demographics alike.</w:t>
            </w:r>
          </w:p>
        </w:tc>
      </w:tr>
    </w:tbl>
    <w:p w14:paraId="180565AF">
      <w:pPr>
        <w:spacing w:after="120"/>
      </w:pPr>
    </w:p>
    <w:tbl>
      <w:tblPr>
        <w:tblStyle w:val="12"/>
        <w:tblW w:w="0" w:type="auto"/>
        <w:jc w:val="center"/>
        <w:tblLayout w:type="autofit"/>
        <w:tblCellMar>
          <w:top w:w="0" w:type="dxa"/>
          <w:left w:w="108" w:type="dxa"/>
          <w:bottom w:w="0" w:type="dxa"/>
          <w:right w:w="108" w:type="dxa"/>
        </w:tblCellMar>
      </w:tblPr>
      <w:tblGrid>
        <w:gridCol w:w="10080"/>
      </w:tblGrid>
      <w:tr w14:paraId="7234B576">
        <w:tblPrEx>
          <w:tblCellMar>
            <w:top w:w="0" w:type="dxa"/>
            <w:left w:w="108" w:type="dxa"/>
            <w:bottom w:w="0" w:type="dxa"/>
            <w:right w:w="108" w:type="dxa"/>
          </w:tblCellMar>
        </w:tblPrEx>
        <w:trPr>
          <w:jc w:val="center"/>
        </w:trPr>
        <w:tc>
          <w:tcPr>
            <w:tcW w:w="10080" w:type="dxa"/>
            <w:tcBorders>
              <w:top w:val="nil"/>
              <w:left w:val="single" w:color="0D9488" w:sz="24" w:space="0"/>
              <w:bottom w:val="nil"/>
              <w:right w:val="nil"/>
            </w:tcBorders>
            <w:shd w:val="clear" w:color="auto" w:fill="F0FDFA"/>
            <w:tcMar>
              <w:top w:w="160" w:type="dxa"/>
              <w:left w:w="240" w:type="dxa"/>
              <w:bottom w:w="160" w:type="dxa"/>
              <w:right w:w="200" w:type="dxa"/>
            </w:tcMar>
          </w:tcPr>
          <w:p w14:paraId="2790FC7A">
            <w:pPr>
              <w:spacing w:after="60"/>
            </w:pPr>
            <w:r>
              <w:rPr>
                <w:rFonts w:ascii="Calibri" w:hAnsi="Calibri"/>
                <w:b/>
                <w:color w:val="0D9488"/>
                <w:sz w:val="22"/>
              </w:rPr>
              <w:t>★ Moat 5: Hybrid Edge AI Architecture with Resilient Offline Engine</w:t>
            </w:r>
            <w:r>
              <w:rPr>
                <w:rFonts w:ascii="Calibri" w:hAnsi="Calibri"/>
                <w:b/>
                <w:color w:val="0D9488"/>
                <w:sz w:val="22"/>
              </w:rPr>
              <w:br w:type="textWrapping"/>
            </w:r>
            <w:r>
              <w:rPr>
                <w:rFonts w:ascii="Calibri" w:hAnsi="Calibri"/>
                <w:color w:val="334155"/>
                <w:sz w:val="20"/>
              </w:rPr>
              <w:t>In high-stakes hackathons, medical expos, and rural Tier-3 areas with spotty internet connectivity, traditional AI apps crash or stall indefinitely. FaceIT features an intelligent hybrid client-side heuristics engine that instantly evaluates ingredient toxicity and matches popular dermatology formulations even during total backend or internet dropouts.</w:t>
            </w:r>
          </w:p>
        </w:tc>
      </w:tr>
    </w:tbl>
    <w:p w14:paraId="1F914212">
      <w:pPr>
        <w:spacing w:after="120"/>
      </w:pPr>
    </w:p>
    <w:tbl>
      <w:tblPr>
        <w:tblStyle w:val="12"/>
        <w:tblW w:w="0" w:type="auto"/>
        <w:jc w:val="center"/>
        <w:tblLayout w:type="autofit"/>
        <w:tblCellMar>
          <w:top w:w="0" w:type="dxa"/>
          <w:left w:w="108" w:type="dxa"/>
          <w:bottom w:w="0" w:type="dxa"/>
          <w:right w:w="108" w:type="dxa"/>
        </w:tblCellMar>
      </w:tblPr>
      <w:tblGrid>
        <w:gridCol w:w="10080"/>
      </w:tblGrid>
      <w:tr w14:paraId="086F6633">
        <w:tblPrEx>
          <w:tblCellMar>
            <w:top w:w="0" w:type="dxa"/>
            <w:left w:w="108" w:type="dxa"/>
            <w:bottom w:w="0" w:type="dxa"/>
            <w:right w:w="108" w:type="dxa"/>
          </w:tblCellMar>
        </w:tblPrEx>
        <w:trPr>
          <w:jc w:val="center"/>
        </w:trPr>
        <w:tc>
          <w:tcPr>
            <w:tcW w:w="10080" w:type="dxa"/>
            <w:tcBorders>
              <w:top w:val="nil"/>
              <w:left w:val="single" w:color="0D9488" w:sz="24" w:space="0"/>
              <w:bottom w:val="nil"/>
              <w:right w:val="nil"/>
            </w:tcBorders>
            <w:shd w:val="clear" w:color="auto" w:fill="F0FDFA"/>
            <w:tcMar>
              <w:top w:w="160" w:type="dxa"/>
              <w:left w:w="240" w:type="dxa"/>
              <w:bottom w:w="160" w:type="dxa"/>
              <w:right w:w="200" w:type="dxa"/>
            </w:tcMar>
          </w:tcPr>
          <w:p w14:paraId="4445B3A6">
            <w:pPr>
              <w:spacing w:after="60"/>
            </w:pPr>
            <w:r>
              <w:rPr>
                <w:rFonts w:ascii="Calibri" w:hAnsi="Calibri"/>
                <w:b/>
                <w:color w:val="0D9488"/>
                <w:sz w:val="22"/>
              </w:rPr>
              <w:t>★ Moat 6: Omnichannel Presence (Mobile App + Desktop Web Portal)</w:t>
            </w:r>
            <w:r>
              <w:rPr>
                <w:rFonts w:ascii="Calibri" w:hAnsi="Calibri"/>
                <w:b/>
                <w:color w:val="0D9488"/>
                <w:sz w:val="22"/>
              </w:rPr>
              <w:br w:type="textWrapping"/>
            </w:r>
            <w:r>
              <w:rPr>
                <w:rFonts w:ascii="Calibri" w:hAnsi="Calibri"/>
                <w:color w:val="334155"/>
                <w:sz w:val="20"/>
              </w:rPr>
              <w:t>FaceIT is not confined to a smartphone screen. We provide a synchronized mobile application for personal pocket scanning alongside a high-resolution, widescreen web portal designed specifically for desktop monitors, doctor clinic consultations, and presentation projection boards.</w:t>
            </w:r>
          </w:p>
        </w:tc>
      </w:tr>
    </w:tbl>
    <w:p w14:paraId="7BC2C902">
      <w:pPr>
        <w:spacing w:after="120"/>
      </w:pPr>
    </w:p>
    <w:p w14:paraId="5B75F7D6">
      <w:pPr>
        <w:pStyle w:val="2"/>
        <w:spacing w:before="280" w:after="120"/>
      </w:pPr>
      <w:r>
        <w:rPr>
          <w:rFonts w:ascii="Calibri" w:hAnsi="Calibri"/>
          <w:b/>
          <w:color w:val="0F172A"/>
          <w:sz w:val="36"/>
        </w:rPr>
        <w:t>4. Strategic Positioning &amp; Impact Scoreboard</w:t>
      </w:r>
    </w:p>
    <w:p w14:paraId="57816D96">
      <w:r>
        <w:t>A quantitative benchmark scoring each platform on a 1–10 scale across five fundamental pillars of modern consumer health technology:</w:t>
      </w:r>
    </w:p>
    <w:tbl>
      <w:tblPr>
        <w:tblStyle w:val="12"/>
        <w:tblW w:w="0" w:type="auto"/>
        <w:jc w:val="center"/>
        <w:tblLayout w:type="autofit"/>
        <w:tblCellMar>
          <w:top w:w="0" w:type="dxa"/>
          <w:left w:w="108" w:type="dxa"/>
          <w:bottom w:w="0" w:type="dxa"/>
          <w:right w:w="108" w:type="dxa"/>
        </w:tblCellMar>
      </w:tblPr>
      <w:tblGrid>
        <w:gridCol w:w="1680"/>
        <w:gridCol w:w="1680"/>
        <w:gridCol w:w="1680"/>
        <w:gridCol w:w="1680"/>
        <w:gridCol w:w="1680"/>
        <w:gridCol w:w="1680"/>
      </w:tblGrid>
      <w:tr w14:paraId="42AADC35">
        <w:tblPrEx>
          <w:tblCellMar>
            <w:top w:w="0" w:type="dxa"/>
            <w:left w:w="108" w:type="dxa"/>
            <w:bottom w:w="0" w:type="dxa"/>
            <w:right w:w="108" w:type="dxa"/>
          </w:tblCellMar>
        </w:tblPrEx>
        <w:trPr>
          <w:jc w:val="center"/>
        </w:trPr>
        <w:tc>
          <w:tcPr>
            <w:tcW w:w="1680" w:type="dxa"/>
            <w:shd w:val="clear" w:color="auto" w:fill="0F172A"/>
            <w:tcMar>
              <w:top w:w="100" w:type="dxa"/>
              <w:left w:w="80" w:type="dxa"/>
              <w:bottom w:w="100" w:type="dxa"/>
              <w:right w:w="80" w:type="dxa"/>
            </w:tcMar>
          </w:tcPr>
          <w:p w14:paraId="2B17C22E">
            <w:pPr>
              <w:jc w:val="center"/>
            </w:pPr>
            <w:r>
              <w:rPr>
                <w:rFonts w:ascii="Calibri" w:hAnsi="Calibri"/>
                <w:b/>
                <w:color w:val="FFFFFF"/>
                <w:sz w:val="18"/>
              </w:rPr>
              <w:t>Platform</w:t>
            </w:r>
          </w:p>
        </w:tc>
        <w:tc>
          <w:tcPr>
            <w:tcW w:w="1680" w:type="dxa"/>
            <w:shd w:val="clear" w:color="auto" w:fill="0F172A"/>
            <w:tcMar>
              <w:top w:w="100" w:type="dxa"/>
              <w:left w:w="80" w:type="dxa"/>
              <w:bottom w:w="100" w:type="dxa"/>
              <w:right w:w="80" w:type="dxa"/>
            </w:tcMar>
          </w:tcPr>
          <w:p w14:paraId="1C940183">
            <w:pPr>
              <w:jc w:val="center"/>
            </w:pPr>
            <w:r>
              <w:rPr>
                <w:rFonts w:ascii="Calibri" w:hAnsi="Calibri"/>
                <w:b/>
                <w:color w:val="FFFFFF"/>
                <w:sz w:val="18"/>
              </w:rPr>
              <w:t>Affordability / Savings</w:t>
            </w:r>
          </w:p>
        </w:tc>
        <w:tc>
          <w:tcPr>
            <w:tcW w:w="1680" w:type="dxa"/>
            <w:shd w:val="clear" w:color="auto" w:fill="0F172A"/>
            <w:tcMar>
              <w:top w:w="100" w:type="dxa"/>
              <w:left w:w="80" w:type="dxa"/>
              <w:bottom w:w="100" w:type="dxa"/>
              <w:right w:w="80" w:type="dxa"/>
            </w:tcMar>
          </w:tcPr>
          <w:p w14:paraId="7620BD69">
            <w:pPr>
              <w:jc w:val="center"/>
            </w:pPr>
            <w:r>
              <w:rPr>
                <w:rFonts w:ascii="Calibri" w:hAnsi="Calibri"/>
                <w:b/>
                <w:color w:val="FFFFFF"/>
                <w:sz w:val="18"/>
              </w:rPr>
              <w:t>Ingredient Intelligence</w:t>
            </w:r>
          </w:p>
        </w:tc>
        <w:tc>
          <w:tcPr>
            <w:tcW w:w="1680" w:type="dxa"/>
            <w:shd w:val="clear" w:color="auto" w:fill="0F172A"/>
            <w:tcMar>
              <w:top w:w="100" w:type="dxa"/>
              <w:left w:w="80" w:type="dxa"/>
              <w:bottom w:w="100" w:type="dxa"/>
              <w:right w:w="80" w:type="dxa"/>
            </w:tcMar>
          </w:tcPr>
          <w:p w14:paraId="1D5B35F2">
            <w:pPr>
              <w:jc w:val="center"/>
            </w:pPr>
            <w:r>
              <w:rPr>
                <w:rFonts w:ascii="Calibri" w:hAnsi="Calibri"/>
                <w:b/>
                <w:color w:val="FFFFFF"/>
                <w:sz w:val="18"/>
              </w:rPr>
              <w:t>Pharma / Generic Depth</w:t>
            </w:r>
          </w:p>
        </w:tc>
        <w:tc>
          <w:tcPr>
            <w:tcW w:w="1680" w:type="dxa"/>
            <w:shd w:val="clear" w:color="auto" w:fill="0F172A"/>
            <w:tcMar>
              <w:top w:w="100" w:type="dxa"/>
              <w:left w:w="80" w:type="dxa"/>
              <w:bottom w:w="100" w:type="dxa"/>
              <w:right w:w="80" w:type="dxa"/>
            </w:tcMar>
          </w:tcPr>
          <w:p w14:paraId="1CD7CEB7">
            <w:pPr>
              <w:jc w:val="center"/>
            </w:pPr>
            <w:r>
              <w:rPr>
                <w:rFonts w:ascii="Calibri" w:hAnsi="Calibri"/>
                <w:b/>
                <w:color w:val="FFFFFF"/>
                <w:sz w:val="18"/>
              </w:rPr>
              <w:t>User Trust &amp; Objectivity</w:t>
            </w:r>
          </w:p>
        </w:tc>
        <w:tc>
          <w:tcPr>
            <w:tcW w:w="1680" w:type="dxa"/>
            <w:shd w:val="clear" w:color="auto" w:fill="0F172A"/>
            <w:tcMar>
              <w:top w:w="100" w:type="dxa"/>
              <w:left w:w="80" w:type="dxa"/>
              <w:bottom w:w="100" w:type="dxa"/>
              <w:right w:w="80" w:type="dxa"/>
            </w:tcMar>
          </w:tcPr>
          <w:p w14:paraId="0E4B1ADE">
            <w:pPr>
              <w:jc w:val="center"/>
            </w:pPr>
            <w:r>
              <w:rPr>
                <w:rFonts w:ascii="Calibri" w:hAnsi="Calibri"/>
                <w:b/>
                <w:color w:val="FFFFFF"/>
                <w:sz w:val="18"/>
              </w:rPr>
              <w:t>Overall Score</w:t>
            </w:r>
          </w:p>
        </w:tc>
      </w:tr>
      <w:tr w14:paraId="29C60545">
        <w:tblPrEx>
          <w:tblCellMar>
            <w:top w:w="0" w:type="dxa"/>
            <w:left w:w="108" w:type="dxa"/>
            <w:bottom w:w="0" w:type="dxa"/>
            <w:right w:w="108" w:type="dxa"/>
          </w:tblCellMar>
        </w:tblPrEx>
        <w:trPr>
          <w:jc w:val="center"/>
        </w:trPr>
        <w:tc>
          <w:tcPr>
            <w:tcW w:w="1680" w:type="dxa"/>
            <w:shd w:val="clear" w:color="auto" w:fill="F0FDFA"/>
            <w:tcMar>
              <w:top w:w="80" w:type="dxa"/>
              <w:left w:w="80" w:type="dxa"/>
              <w:bottom w:w="80" w:type="dxa"/>
              <w:right w:w="80" w:type="dxa"/>
            </w:tcMar>
          </w:tcPr>
          <w:p w14:paraId="604CD733">
            <w:pPr>
              <w:jc w:val="left"/>
            </w:pPr>
            <w:r>
              <w:rPr>
                <w:rFonts w:ascii="Calibri" w:hAnsi="Calibri"/>
                <w:b/>
                <w:color w:val="0F172A"/>
                <w:sz w:val="17"/>
              </w:rPr>
              <w:t>FaceIT (Our Solution)</w:t>
            </w:r>
          </w:p>
        </w:tc>
        <w:tc>
          <w:tcPr>
            <w:tcW w:w="1680" w:type="dxa"/>
            <w:shd w:val="clear" w:color="auto" w:fill="F0FDFA"/>
            <w:tcMar>
              <w:top w:w="80" w:type="dxa"/>
              <w:left w:w="80" w:type="dxa"/>
              <w:bottom w:w="80" w:type="dxa"/>
              <w:right w:w="80" w:type="dxa"/>
            </w:tcMar>
          </w:tcPr>
          <w:p w14:paraId="2B62C1C6">
            <w:pPr>
              <w:jc w:val="center"/>
            </w:pPr>
            <w:r>
              <w:rPr>
                <w:rFonts w:ascii="Calibri" w:hAnsi="Calibri"/>
                <w:b/>
                <w:color w:val="0D9488"/>
                <w:sz w:val="17"/>
              </w:rPr>
              <w:t>9.8 / 10</w:t>
            </w:r>
          </w:p>
        </w:tc>
        <w:tc>
          <w:tcPr>
            <w:tcW w:w="1680" w:type="dxa"/>
            <w:shd w:val="clear" w:color="auto" w:fill="F0FDFA"/>
            <w:tcMar>
              <w:top w:w="80" w:type="dxa"/>
              <w:left w:w="80" w:type="dxa"/>
              <w:bottom w:w="80" w:type="dxa"/>
              <w:right w:w="80" w:type="dxa"/>
            </w:tcMar>
          </w:tcPr>
          <w:p w14:paraId="6073D983">
            <w:pPr>
              <w:jc w:val="center"/>
            </w:pPr>
            <w:r>
              <w:rPr>
                <w:rFonts w:ascii="Calibri" w:hAnsi="Calibri"/>
                <w:b/>
                <w:color w:val="0D9488"/>
                <w:sz w:val="17"/>
              </w:rPr>
              <w:t>9.6 / 10</w:t>
            </w:r>
          </w:p>
        </w:tc>
        <w:tc>
          <w:tcPr>
            <w:tcW w:w="1680" w:type="dxa"/>
            <w:shd w:val="clear" w:color="auto" w:fill="F0FDFA"/>
            <w:tcMar>
              <w:top w:w="80" w:type="dxa"/>
              <w:left w:w="80" w:type="dxa"/>
              <w:bottom w:w="80" w:type="dxa"/>
              <w:right w:w="80" w:type="dxa"/>
            </w:tcMar>
          </w:tcPr>
          <w:p w14:paraId="7192B5D2">
            <w:pPr>
              <w:jc w:val="center"/>
            </w:pPr>
            <w:r>
              <w:rPr>
                <w:rFonts w:ascii="Calibri" w:hAnsi="Calibri"/>
                <w:b/>
                <w:color w:val="0D9488"/>
                <w:sz w:val="17"/>
              </w:rPr>
              <w:t>9.5 / 10</w:t>
            </w:r>
          </w:p>
        </w:tc>
        <w:tc>
          <w:tcPr>
            <w:tcW w:w="1680" w:type="dxa"/>
            <w:shd w:val="clear" w:color="auto" w:fill="F0FDFA"/>
            <w:tcMar>
              <w:top w:w="80" w:type="dxa"/>
              <w:left w:w="80" w:type="dxa"/>
              <w:bottom w:w="80" w:type="dxa"/>
              <w:right w:w="80" w:type="dxa"/>
            </w:tcMar>
          </w:tcPr>
          <w:p w14:paraId="5B145D7C">
            <w:pPr>
              <w:jc w:val="center"/>
            </w:pPr>
            <w:r>
              <w:rPr>
                <w:rFonts w:ascii="Calibri" w:hAnsi="Calibri"/>
                <w:b/>
                <w:color w:val="0D9488"/>
                <w:sz w:val="17"/>
              </w:rPr>
              <w:t>9.9 / 10</w:t>
            </w:r>
          </w:p>
        </w:tc>
        <w:tc>
          <w:tcPr>
            <w:tcW w:w="1680" w:type="dxa"/>
            <w:shd w:val="clear" w:color="auto" w:fill="F0FDFA"/>
            <w:tcMar>
              <w:top w:w="80" w:type="dxa"/>
              <w:left w:w="80" w:type="dxa"/>
              <w:bottom w:w="80" w:type="dxa"/>
              <w:right w:w="80" w:type="dxa"/>
            </w:tcMar>
          </w:tcPr>
          <w:p w14:paraId="2A2ADB23">
            <w:pPr>
              <w:jc w:val="center"/>
            </w:pPr>
            <w:r>
              <w:rPr>
                <w:rFonts w:ascii="Calibri" w:hAnsi="Calibri"/>
                <w:b/>
                <w:color w:val="0D9488"/>
                <w:sz w:val="17"/>
              </w:rPr>
              <w:t>9.7 / 10 (Leader)</w:t>
            </w:r>
          </w:p>
        </w:tc>
      </w:tr>
      <w:tr w14:paraId="2E0F1E2D">
        <w:tblPrEx>
          <w:tblCellMar>
            <w:top w:w="0" w:type="dxa"/>
            <w:left w:w="108" w:type="dxa"/>
            <w:bottom w:w="0" w:type="dxa"/>
            <w:right w:w="108" w:type="dxa"/>
          </w:tblCellMar>
        </w:tblPrEx>
        <w:trPr>
          <w:jc w:val="center"/>
        </w:trPr>
        <w:tc>
          <w:tcPr>
            <w:tcW w:w="1680" w:type="dxa"/>
            <w:shd w:val="clear" w:color="auto" w:fill="F8FAFC"/>
            <w:tcMar>
              <w:top w:w="80" w:type="dxa"/>
              <w:left w:w="80" w:type="dxa"/>
              <w:bottom w:w="80" w:type="dxa"/>
              <w:right w:w="80" w:type="dxa"/>
            </w:tcMar>
          </w:tcPr>
          <w:p w14:paraId="6EAE248A">
            <w:pPr>
              <w:jc w:val="left"/>
            </w:pPr>
            <w:r>
              <w:rPr>
                <w:rFonts w:ascii="Calibri" w:hAnsi="Calibri"/>
                <w:color w:val="334155"/>
                <w:sz w:val="17"/>
              </w:rPr>
              <w:t>Yuka</w:t>
            </w:r>
          </w:p>
        </w:tc>
        <w:tc>
          <w:tcPr>
            <w:tcW w:w="1680" w:type="dxa"/>
            <w:shd w:val="clear" w:color="auto" w:fill="F8FAFC"/>
            <w:tcMar>
              <w:top w:w="80" w:type="dxa"/>
              <w:left w:w="80" w:type="dxa"/>
              <w:bottom w:w="80" w:type="dxa"/>
              <w:right w:w="80" w:type="dxa"/>
            </w:tcMar>
          </w:tcPr>
          <w:p w14:paraId="6E34199D">
            <w:pPr>
              <w:jc w:val="center"/>
            </w:pPr>
            <w:r>
              <w:rPr>
                <w:rFonts w:ascii="Calibri" w:hAnsi="Calibri"/>
                <w:color w:val="334155"/>
                <w:sz w:val="17"/>
              </w:rPr>
              <w:t>5.0 / 10</w:t>
            </w:r>
          </w:p>
        </w:tc>
        <w:tc>
          <w:tcPr>
            <w:tcW w:w="1680" w:type="dxa"/>
            <w:shd w:val="clear" w:color="auto" w:fill="F8FAFC"/>
            <w:tcMar>
              <w:top w:w="80" w:type="dxa"/>
              <w:left w:w="80" w:type="dxa"/>
              <w:bottom w:w="80" w:type="dxa"/>
              <w:right w:w="80" w:type="dxa"/>
            </w:tcMar>
          </w:tcPr>
          <w:p w14:paraId="557AA1DD">
            <w:pPr>
              <w:jc w:val="center"/>
            </w:pPr>
            <w:r>
              <w:rPr>
                <w:rFonts w:ascii="Calibri" w:hAnsi="Calibri"/>
                <w:color w:val="334155"/>
                <w:sz w:val="17"/>
              </w:rPr>
              <w:t>8.2 / 10</w:t>
            </w:r>
          </w:p>
        </w:tc>
        <w:tc>
          <w:tcPr>
            <w:tcW w:w="1680" w:type="dxa"/>
            <w:shd w:val="clear" w:color="auto" w:fill="F8FAFC"/>
            <w:tcMar>
              <w:top w:w="80" w:type="dxa"/>
              <w:left w:w="80" w:type="dxa"/>
              <w:bottom w:w="80" w:type="dxa"/>
              <w:right w:w="80" w:type="dxa"/>
            </w:tcMar>
          </w:tcPr>
          <w:p w14:paraId="13BBE7C4">
            <w:pPr>
              <w:jc w:val="center"/>
            </w:pPr>
            <w:r>
              <w:rPr>
                <w:rFonts w:ascii="Calibri" w:hAnsi="Calibri"/>
                <w:color w:val="334155"/>
                <w:sz w:val="17"/>
              </w:rPr>
              <w:t>1.0 / 10</w:t>
            </w:r>
          </w:p>
        </w:tc>
        <w:tc>
          <w:tcPr>
            <w:tcW w:w="1680" w:type="dxa"/>
            <w:shd w:val="clear" w:color="auto" w:fill="F8FAFC"/>
            <w:tcMar>
              <w:top w:w="80" w:type="dxa"/>
              <w:left w:w="80" w:type="dxa"/>
              <w:bottom w:w="80" w:type="dxa"/>
              <w:right w:w="80" w:type="dxa"/>
            </w:tcMar>
          </w:tcPr>
          <w:p w14:paraId="31F31BD6">
            <w:pPr>
              <w:jc w:val="center"/>
            </w:pPr>
            <w:r>
              <w:rPr>
                <w:rFonts w:ascii="Calibri" w:hAnsi="Calibri"/>
                <w:color w:val="334155"/>
                <w:sz w:val="17"/>
              </w:rPr>
              <w:t>7.5 / 10</w:t>
            </w:r>
          </w:p>
        </w:tc>
        <w:tc>
          <w:tcPr>
            <w:tcW w:w="1680" w:type="dxa"/>
            <w:shd w:val="clear" w:color="auto" w:fill="F8FAFC"/>
            <w:tcMar>
              <w:top w:w="80" w:type="dxa"/>
              <w:left w:w="80" w:type="dxa"/>
              <w:bottom w:w="80" w:type="dxa"/>
              <w:right w:w="80" w:type="dxa"/>
            </w:tcMar>
          </w:tcPr>
          <w:p w14:paraId="3DF079AC">
            <w:pPr>
              <w:jc w:val="center"/>
            </w:pPr>
            <w:r>
              <w:rPr>
                <w:rFonts w:ascii="Calibri" w:hAnsi="Calibri"/>
                <w:color w:val="334155"/>
                <w:sz w:val="17"/>
              </w:rPr>
              <w:t>5.4 / 10</w:t>
            </w:r>
          </w:p>
        </w:tc>
      </w:tr>
      <w:tr w14:paraId="052CD0D1">
        <w:tblPrEx>
          <w:tblCellMar>
            <w:top w:w="0" w:type="dxa"/>
            <w:left w:w="108" w:type="dxa"/>
            <w:bottom w:w="0" w:type="dxa"/>
            <w:right w:w="108" w:type="dxa"/>
          </w:tblCellMar>
        </w:tblPrEx>
        <w:trPr>
          <w:jc w:val="center"/>
        </w:trPr>
        <w:tc>
          <w:tcPr>
            <w:tcW w:w="1680" w:type="dxa"/>
            <w:shd w:val="clear" w:color="auto" w:fill="FFFFFF"/>
            <w:tcMar>
              <w:top w:w="80" w:type="dxa"/>
              <w:left w:w="80" w:type="dxa"/>
              <w:bottom w:w="80" w:type="dxa"/>
              <w:right w:w="80" w:type="dxa"/>
            </w:tcMar>
          </w:tcPr>
          <w:p w14:paraId="288F623F">
            <w:pPr>
              <w:jc w:val="left"/>
            </w:pPr>
            <w:r>
              <w:rPr>
                <w:rFonts w:ascii="Calibri" w:hAnsi="Calibri"/>
                <w:color w:val="334155"/>
                <w:sz w:val="17"/>
              </w:rPr>
              <w:t>CureSkin</w:t>
            </w:r>
          </w:p>
        </w:tc>
        <w:tc>
          <w:tcPr>
            <w:tcW w:w="1680" w:type="dxa"/>
            <w:shd w:val="clear" w:color="auto" w:fill="FFFFFF"/>
            <w:tcMar>
              <w:top w:w="80" w:type="dxa"/>
              <w:left w:w="80" w:type="dxa"/>
              <w:bottom w:w="80" w:type="dxa"/>
              <w:right w:w="80" w:type="dxa"/>
            </w:tcMar>
          </w:tcPr>
          <w:p w14:paraId="7B8ECBA2">
            <w:pPr>
              <w:jc w:val="center"/>
            </w:pPr>
            <w:r>
              <w:rPr>
                <w:rFonts w:ascii="Calibri" w:hAnsi="Calibri"/>
                <w:color w:val="334155"/>
                <w:sz w:val="17"/>
              </w:rPr>
              <w:t>2.5 / 10</w:t>
            </w:r>
          </w:p>
        </w:tc>
        <w:tc>
          <w:tcPr>
            <w:tcW w:w="1680" w:type="dxa"/>
            <w:shd w:val="clear" w:color="auto" w:fill="FFFFFF"/>
            <w:tcMar>
              <w:top w:w="80" w:type="dxa"/>
              <w:left w:w="80" w:type="dxa"/>
              <w:bottom w:w="80" w:type="dxa"/>
              <w:right w:w="80" w:type="dxa"/>
            </w:tcMar>
          </w:tcPr>
          <w:p w14:paraId="1E619597">
            <w:pPr>
              <w:jc w:val="center"/>
            </w:pPr>
            <w:r>
              <w:rPr>
                <w:rFonts w:ascii="Calibri" w:hAnsi="Calibri"/>
                <w:color w:val="334155"/>
                <w:sz w:val="17"/>
              </w:rPr>
              <w:t>4.0 / 10</w:t>
            </w:r>
          </w:p>
        </w:tc>
        <w:tc>
          <w:tcPr>
            <w:tcW w:w="1680" w:type="dxa"/>
            <w:shd w:val="clear" w:color="auto" w:fill="FFFFFF"/>
            <w:tcMar>
              <w:top w:w="80" w:type="dxa"/>
              <w:left w:w="80" w:type="dxa"/>
              <w:bottom w:w="80" w:type="dxa"/>
              <w:right w:w="80" w:type="dxa"/>
            </w:tcMar>
          </w:tcPr>
          <w:p w14:paraId="76772C5D">
            <w:pPr>
              <w:jc w:val="center"/>
            </w:pPr>
            <w:r>
              <w:rPr>
                <w:rFonts w:ascii="Calibri" w:hAnsi="Calibri"/>
                <w:color w:val="334155"/>
                <w:sz w:val="17"/>
              </w:rPr>
              <w:t>3.0 / 10</w:t>
            </w:r>
          </w:p>
        </w:tc>
        <w:tc>
          <w:tcPr>
            <w:tcW w:w="1680" w:type="dxa"/>
            <w:shd w:val="clear" w:color="auto" w:fill="FFFFFF"/>
            <w:tcMar>
              <w:top w:w="80" w:type="dxa"/>
              <w:left w:w="80" w:type="dxa"/>
              <w:bottom w:w="80" w:type="dxa"/>
              <w:right w:w="80" w:type="dxa"/>
            </w:tcMar>
          </w:tcPr>
          <w:p w14:paraId="75EB5113">
            <w:pPr>
              <w:jc w:val="center"/>
            </w:pPr>
            <w:r>
              <w:rPr>
                <w:rFonts w:ascii="Calibri" w:hAnsi="Calibri"/>
                <w:color w:val="334155"/>
                <w:sz w:val="17"/>
              </w:rPr>
              <w:t>3.5 / 10</w:t>
            </w:r>
          </w:p>
        </w:tc>
        <w:tc>
          <w:tcPr>
            <w:tcW w:w="1680" w:type="dxa"/>
            <w:shd w:val="clear" w:color="auto" w:fill="FFFFFF"/>
            <w:tcMar>
              <w:top w:w="80" w:type="dxa"/>
              <w:left w:w="80" w:type="dxa"/>
              <w:bottom w:w="80" w:type="dxa"/>
              <w:right w:w="80" w:type="dxa"/>
            </w:tcMar>
          </w:tcPr>
          <w:p w14:paraId="127ED4DC">
            <w:pPr>
              <w:jc w:val="center"/>
            </w:pPr>
            <w:r>
              <w:rPr>
                <w:rFonts w:ascii="Calibri" w:hAnsi="Calibri"/>
                <w:color w:val="334155"/>
                <w:sz w:val="17"/>
              </w:rPr>
              <w:t>3.3 / 10</w:t>
            </w:r>
          </w:p>
        </w:tc>
      </w:tr>
      <w:tr w14:paraId="76EE2BE2">
        <w:tblPrEx>
          <w:tblCellMar>
            <w:top w:w="0" w:type="dxa"/>
            <w:left w:w="108" w:type="dxa"/>
            <w:bottom w:w="0" w:type="dxa"/>
            <w:right w:w="108" w:type="dxa"/>
          </w:tblCellMar>
        </w:tblPrEx>
        <w:trPr>
          <w:jc w:val="center"/>
        </w:trPr>
        <w:tc>
          <w:tcPr>
            <w:tcW w:w="1680" w:type="dxa"/>
            <w:shd w:val="clear" w:color="auto" w:fill="F8FAFC"/>
            <w:tcMar>
              <w:top w:w="80" w:type="dxa"/>
              <w:left w:w="80" w:type="dxa"/>
              <w:bottom w:w="80" w:type="dxa"/>
              <w:right w:w="80" w:type="dxa"/>
            </w:tcMar>
          </w:tcPr>
          <w:p w14:paraId="6FC21F30">
            <w:pPr>
              <w:jc w:val="left"/>
            </w:pPr>
            <w:r>
              <w:rPr>
                <w:rFonts w:ascii="Calibri" w:hAnsi="Calibri"/>
                <w:color w:val="334155"/>
                <w:sz w:val="17"/>
              </w:rPr>
              <w:t>Tata 1mg / PharmEasy</w:t>
            </w:r>
          </w:p>
        </w:tc>
        <w:tc>
          <w:tcPr>
            <w:tcW w:w="1680" w:type="dxa"/>
            <w:shd w:val="clear" w:color="auto" w:fill="F8FAFC"/>
            <w:tcMar>
              <w:top w:w="80" w:type="dxa"/>
              <w:left w:w="80" w:type="dxa"/>
              <w:bottom w:w="80" w:type="dxa"/>
              <w:right w:w="80" w:type="dxa"/>
            </w:tcMar>
          </w:tcPr>
          <w:p w14:paraId="68203456">
            <w:pPr>
              <w:jc w:val="center"/>
            </w:pPr>
            <w:r>
              <w:rPr>
                <w:rFonts w:ascii="Calibri" w:hAnsi="Calibri"/>
                <w:color w:val="334155"/>
                <w:sz w:val="17"/>
              </w:rPr>
              <w:t>5.5 / 10</w:t>
            </w:r>
          </w:p>
        </w:tc>
        <w:tc>
          <w:tcPr>
            <w:tcW w:w="1680" w:type="dxa"/>
            <w:shd w:val="clear" w:color="auto" w:fill="F8FAFC"/>
            <w:tcMar>
              <w:top w:w="80" w:type="dxa"/>
              <w:left w:w="80" w:type="dxa"/>
              <w:bottom w:w="80" w:type="dxa"/>
              <w:right w:w="80" w:type="dxa"/>
            </w:tcMar>
          </w:tcPr>
          <w:p w14:paraId="5B955C9E">
            <w:pPr>
              <w:jc w:val="center"/>
            </w:pPr>
            <w:r>
              <w:rPr>
                <w:rFonts w:ascii="Calibri" w:hAnsi="Calibri"/>
                <w:color w:val="334155"/>
                <w:sz w:val="17"/>
              </w:rPr>
              <w:t>2.0 / 10</w:t>
            </w:r>
          </w:p>
        </w:tc>
        <w:tc>
          <w:tcPr>
            <w:tcW w:w="1680" w:type="dxa"/>
            <w:shd w:val="clear" w:color="auto" w:fill="F8FAFC"/>
            <w:tcMar>
              <w:top w:w="80" w:type="dxa"/>
              <w:left w:w="80" w:type="dxa"/>
              <w:bottom w:w="80" w:type="dxa"/>
              <w:right w:w="80" w:type="dxa"/>
            </w:tcMar>
          </w:tcPr>
          <w:p w14:paraId="0287DDC6">
            <w:pPr>
              <w:jc w:val="center"/>
            </w:pPr>
            <w:r>
              <w:rPr>
                <w:rFonts w:ascii="Calibri" w:hAnsi="Calibri"/>
                <w:color w:val="334155"/>
                <w:sz w:val="17"/>
              </w:rPr>
              <w:t>7.5 / 10</w:t>
            </w:r>
          </w:p>
        </w:tc>
        <w:tc>
          <w:tcPr>
            <w:tcW w:w="1680" w:type="dxa"/>
            <w:shd w:val="clear" w:color="auto" w:fill="F8FAFC"/>
            <w:tcMar>
              <w:top w:w="80" w:type="dxa"/>
              <w:left w:w="80" w:type="dxa"/>
              <w:bottom w:w="80" w:type="dxa"/>
              <w:right w:w="80" w:type="dxa"/>
            </w:tcMar>
          </w:tcPr>
          <w:p w14:paraId="4750B281">
            <w:pPr>
              <w:jc w:val="center"/>
            </w:pPr>
            <w:r>
              <w:rPr>
                <w:rFonts w:ascii="Calibri" w:hAnsi="Calibri"/>
                <w:color w:val="334155"/>
                <w:sz w:val="17"/>
              </w:rPr>
              <w:t>5.0 / 10</w:t>
            </w:r>
          </w:p>
        </w:tc>
        <w:tc>
          <w:tcPr>
            <w:tcW w:w="1680" w:type="dxa"/>
            <w:shd w:val="clear" w:color="auto" w:fill="F8FAFC"/>
            <w:tcMar>
              <w:top w:w="80" w:type="dxa"/>
              <w:left w:w="80" w:type="dxa"/>
              <w:bottom w:w="80" w:type="dxa"/>
              <w:right w:w="80" w:type="dxa"/>
            </w:tcMar>
          </w:tcPr>
          <w:p w14:paraId="56CF383D">
            <w:pPr>
              <w:jc w:val="center"/>
            </w:pPr>
            <w:r>
              <w:rPr>
                <w:rFonts w:ascii="Calibri" w:hAnsi="Calibri"/>
                <w:color w:val="334155"/>
                <w:sz w:val="17"/>
              </w:rPr>
              <w:t>5.0 / 10</w:t>
            </w:r>
          </w:p>
        </w:tc>
      </w:tr>
      <w:tr w14:paraId="53F65142">
        <w:tblPrEx>
          <w:tblCellMar>
            <w:top w:w="0" w:type="dxa"/>
            <w:left w:w="108" w:type="dxa"/>
            <w:bottom w:w="0" w:type="dxa"/>
            <w:right w:w="108" w:type="dxa"/>
          </w:tblCellMar>
        </w:tblPrEx>
        <w:trPr>
          <w:jc w:val="center"/>
        </w:trPr>
        <w:tc>
          <w:tcPr>
            <w:tcW w:w="1680" w:type="dxa"/>
            <w:shd w:val="clear" w:color="auto" w:fill="FFFFFF"/>
            <w:tcMar>
              <w:top w:w="80" w:type="dxa"/>
              <w:left w:w="80" w:type="dxa"/>
              <w:bottom w:w="80" w:type="dxa"/>
              <w:right w:w="80" w:type="dxa"/>
            </w:tcMar>
          </w:tcPr>
          <w:p w14:paraId="5ADA3657">
            <w:pPr>
              <w:jc w:val="left"/>
            </w:pPr>
            <w:r>
              <w:rPr>
                <w:rFonts w:ascii="Calibri" w:hAnsi="Calibri"/>
                <w:color w:val="334155"/>
                <w:sz w:val="17"/>
              </w:rPr>
              <w:t>Truemeds</w:t>
            </w:r>
          </w:p>
        </w:tc>
        <w:tc>
          <w:tcPr>
            <w:tcW w:w="1680" w:type="dxa"/>
            <w:shd w:val="clear" w:color="auto" w:fill="FFFFFF"/>
            <w:tcMar>
              <w:top w:w="80" w:type="dxa"/>
              <w:left w:w="80" w:type="dxa"/>
              <w:bottom w:w="80" w:type="dxa"/>
              <w:right w:w="80" w:type="dxa"/>
            </w:tcMar>
          </w:tcPr>
          <w:p w14:paraId="72FC65CC">
            <w:pPr>
              <w:jc w:val="center"/>
            </w:pPr>
            <w:r>
              <w:rPr>
                <w:rFonts w:ascii="Calibri" w:hAnsi="Calibri"/>
                <w:color w:val="334155"/>
                <w:sz w:val="17"/>
              </w:rPr>
              <w:t>7.8 / 10</w:t>
            </w:r>
          </w:p>
        </w:tc>
        <w:tc>
          <w:tcPr>
            <w:tcW w:w="1680" w:type="dxa"/>
            <w:shd w:val="clear" w:color="auto" w:fill="FFFFFF"/>
            <w:tcMar>
              <w:top w:w="80" w:type="dxa"/>
              <w:left w:w="80" w:type="dxa"/>
              <w:bottom w:w="80" w:type="dxa"/>
              <w:right w:w="80" w:type="dxa"/>
            </w:tcMar>
          </w:tcPr>
          <w:p w14:paraId="74A15E8D">
            <w:pPr>
              <w:jc w:val="center"/>
            </w:pPr>
            <w:r>
              <w:rPr>
                <w:rFonts w:ascii="Calibri" w:hAnsi="Calibri"/>
                <w:color w:val="334155"/>
                <w:sz w:val="17"/>
              </w:rPr>
              <w:t>1.5 / 10</w:t>
            </w:r>
          </w:p>
        </w:tc>
        <w:tc>
          <w:tcPr>
            <w:tcW w:w="1680" w:type="dxa"/>
            <w:shd w:val="clear" w:color="auto" w:fill="FFFFFF"/>
            <w:tcMar>
              <w:top w:w="80" w:type="dxa"/>
              <w:left w:w="80" w:type="dxa"/>
              <w:bottom w:w="80" w:type="dxa"/>
              <w:right w:w="80" w:type="dxa"/>
            </w:tcMar>
          </w:tcPr>
          <w:p w14:paraId="358340B0">
            <w:pPr>
              <w:jc w:val="center"/>
            </w:pPr>
            <w:r>
              <w:rPr>
                <w:rFonts w:ascii="Calibri" w:hAnsi="Calibri"/>
                <w:color w:val="334155"/>
                <w:sz w:val="17"/>
              </w:rPr>
              <w:t>8.0 / 10</w:t>
            </w:r>
          </w:p>
        </w:tc>
        <w:tc>
          <w:tcPr>
            <w:tcW w:w="1680" w:type="dxa"/>
            <w:shd w:val="clear" w:color="auto" w:fill="FFFFFF"/>
            <w:tcMar>
              <w:top w:w="80" w:type="dxa"/>
              <w:left w:w="80" w:type="dxa"/>
              <w:bottom w:w="80" w:type="dxa"/>
              <w:right w:w="80" w:type="dxa"/>
            </w:tcMar>
          </w:tcPr>
          <w:p w14:paraId="65DB37BB">
            <w:pPr>
              <w:jc w:val="center"/>
            </w:pPr>
            <w:r>
              <w:rPr>
                <w:rFonts w:ascii="Calibri" w:hAnsi="Calibri"/>
                <w:color w:val="334155"/>
                <w:sz w:val="17"/>
              </w:rPr>
              <w:t>6.5 / 10</w:t>
            </w:r>
          </w:p>
        </w:tc>
        <w:tc>
          <w:tcPr>
            <w:tcW w:w="1680" w:type="dxa"/>
            <w:shd w:val="clear" w:color="auto" w:fill="FFFFFF"/>
            <w:tcMar>
              <w:top w:w="80" w:type="dxa"/>
              <w:left w:w="80" w:type="dxa"/>
              <w:bottom w:w="80" w:type="dxa"/>
              <w:right w:w="80" w:type="dxa"/>
            </w:tcMar>
          </w:tcPr>
          <w:p w14:paraId="3991DF9C">
            <w:pPr>
              <w:jc w:val="center"/>
            </w:pPr>
            <w:r>
              <w:rPr>
                <w:rFonts w:ascii="Calibri" w:hAnsi="Calibri"/>
                <w:color w:val="334155"/>
                <w:sz w:val="17"/>
              </w:rPr>
              <w:t>6.0 / 10</w:t>
            </w:r>
          </w:p>
        </w:tc>
      </w:tr>
    </w:tbl>
    <w:p w14:paraId="12BF7CE0">
      <w:pPr>
        <w:spacing w:after="280"/>
      </w:pPr>
    </w:p>
    <w:p w14:paraId="7899CEE9">
      <w:pPr>
        <w:pStyle w:val="2"/>
        <w:spacing w:before="280" w:after="120"/>
      </w:pPr>
      <w:r>
        <w:rPr>
          <w:rFonts w:ascii="Calibri" w:hAnsi="Calibri"/>
          <w:b/>
          <w:color w:val="0F172A"/>
          <w:sz w:val="36"/>
        </w:rPr>
        <w:t>5. SIH Presentation Pitch Script (How to Defend Your Edge)</w:t>
      </w:r>
    </w:p>
    <w:tbl>
      <w:tblPr>
        <w:tblStyle w:val="12"/>
        <w:tblW w:w="0" w:type="auto"/>
        <w:jc w:val="center"/>
        <w:tblLayout w:type="autofit"/>
        <w:tblCellMar>
          <w:top w:w="0" w:type="dxa"/>
          <w:left w:w="108" w:type="dxa"/>
          <w:bottom w:w="0" w:type="dxa"/>
          <w:right w:w="108" w:type="dxa"/>
        </w:tblCellMar>
      </w:tblPr>
      <w:tblGrid>
        <w:gridCol w:w="10080"/>
      </w:tblGrid>
      <w:tr w14:paraId="6D0C9151">
        <w:tblPrEx>
          <w:tblCellMar>
            <w:top w:w="0" w:type="dxa"/>
            <w:left w:w="108" w:type="dxa"/>
            <w:bottom w:w="0" w:type="dxa"/>
            <w:right w:w="108" w:type="dxa"/>
          </w:tblCellMar>
        </w:tblPrEx>
        <w:trPr>
          <w:jc w:val="center"/>
        </w:trPr>
        <w:tc>
          <w:tcPr>
            <w:tcW w:w="10080" w:type="dxa"/>
            <w:tcBorders>
              <w:top w:val="nil"/>
              <w:left w:val="single" w:color="1E293B" w:sz="24" w:space="0"/>
              <w:bottom w:val="nil"/>
              <w:right w:val="nil"/>
            </w:tcBorders>
            <w:shd w:val="clear" w:color="auto" w:fill="F8FAFC"/>
            <w:tcMar>
              <w:top w:w="160" w:type="dxa"/>
              <w:left w:w="240" w:type="dxa"/>
              <w:bottom w:w="160" w:type="dxa"/>
              <w:right w:w="200" w:type="dxa"/>
            </w:tcMar>
          </w:tcPr>
          <w:p w14:paraId="4E617F5B">
            <w:pPr>
              <w:spacing w:after="60"/>
            </w:pPr>
            <w:r>
              <w:rPr>
                <w:rFonts w:ascii="Calibri" w:hAnsi="Calibri"/>
                <w:b/>
                <w:color w:val="0D9488"/>
                <w:sz w:val="22"/>
              </w:rPr>
              <w:t>★ The 60-Second Winning Pitch Hook</w:t>
            </w:r>
            <w:r>
              <w:rPr>
                <w:rFonts w:ascii="Calibri" w:hAnsi="Calibri"/>
                <w:b/>
                <w:color w:val="0D9488"/>
                <w:sz w:val="22"/>
              </w:rPr>
              <w:br w:type="textWrapping"/>
            </w:r>
            <w:r>
              <w:rPr>
                <w:rFonts w:ascii="Calibri" w:hAnsi="Calibri"/>
                <w:color w:val="334155"/>
                <w:sz w:val="20"/>
              </w:rPr>
              <w:t>"Respected jury members, existing healthcare and ingredient apps force Indian citizens into a predatory trilemma:</w:t>
            </w:r>
            <w:r>
              <w:rPr>
                <w:rFonts w:ascii="Calibri" w:hAnsi="Calibri"/>
                <w:color w:val="334155"/>
                <w:sz w:val="20"/>
              </w:rPr>
              <w:br w:type="textWrapping"/>
            </w:r>
            <w:r>
              <w:rPr>
                <w:rFonts w:ascii="Calibri" w:hAnsi="Calibri"/>
                <w:color w:val="334155"/>
                <w:sz w:val="20"/>
              </w:rPr>
              <w:br w:type="textWrapping"/>
            </w:r>
            <w:r>
              <w:rPr>
                <w:rFonts w:ascii="Calibri" w:hAnsi="Calibri"/>
                <w:color w:val="334155"/>
                <w:sz w:val="20"/>
              </w:rPr>
              <w:t>1. If you use Western ingredient apps like Yuka, they only scan foreign shampoos and packaged snacks—they have zero knowledge of Indian prescription medicines.</w:t>
            </w:r>
            <w:r>
              <w:rPr>
                <w:rFonts w:ascii="Calibri" w:hAnsi="Calibri"/>
                <w:color w:val="334155"/>
                <w:sz w:val="20"/>
              </w:rPr>
              <w:br w:type="textWrapping"/>
            </w:r>
            <w:r>
              <w:rPr>
                <w:rFonts w:ascii="Calibri" w:hAnsi="Calibri"/>
                <w:color w:val="334155"/>
                <w:sz w:val="20"/>
              </w:rPr>
              <w:t>2. If you use Indian tele-dermatology apps like CureSkin, they trap you into buying their own proprietary ₹2,000 skincare bundles.</w:t>
            </w:r>
            <w:r>
              <w:rPr>
                <w:rFonts w:ascii="Calibri" w:hAnsi="Calibri"/>
                <w:color w:val="334155"/>
                <w:sz w:val="20"/>
              </w:rPr>
              <w:br w:type="textWrapping"/>
            </w:r>
            <w:r>
              <w:rPr>
                <w:rFonts w:ascii="Calibri" w:hAnsi="Calibri"/>
                <w:color w:val="334155"/>
                <w:sz w:val="20"/>
              </w:rPr>
              <w:t>3. And if you order from commercial e-pharmacies, their search engines bury generic alternatives because they make 10x higher commissions selling expensive branded drugs.</w:t>
            </w:r>
            <w:r>
              <w:rPr>
                <w:rFonts w:ascii="Calibri" w:hAnsi="Calibri"/>
                <w:color w:val="334155"/>
                <w:sz w:val="20"/>
              </w:rPr>
              <w:br w:type="textWrapping"/>
            </w:r>
            <w:r>
              <w:rPr>
                <w:rFonts w:ascii="Calibri" w:hAnsi="Calibri"/>
                <w:color w:val="334155"/>
                <w:sz w:val="20"/>
              </w:rPr>
              <w:br w:type="textWrapping"/>
            </w:r>
            <w:r>
              <w:rPr>
                <w:rFonts w:ascii="Calibri" w:hAnsi="Calibri"/>
                <w:color w:val="334155"/>
                <w:sz w:val="20"/>
              </w:rPr>
              <w:t>FaceIT fundamentally changes this equation. We are 100% unbiased and citizen-first. Our Toxicity Scanner evaluates the full lifestyle triad—Skin, Diet, and Scalp care—in one place. And when a doctor prescribes a ₹380 medicine, our Med Scanner instantly pairs it with the Government of India's Jan Aushadhi bio-equivalent for just ₹45, delivering 88% pocket savings and mapping the patient to the nearest physical Kendra.</w:t>
            </w:r>
            <w:r>
              <w:rPr>
                <w:rFonts w:ascii="Calibri" w:hAnsi="Calibri"/>
                <w:color w:val="334155"/>
                <w:sz w:val="20"/>
              </w:rPr>
              <w:br w:type="textWrapping"/>
            </w:r>
            <w:r>
              <w:rPr>
                <w:rFonts w:ascii="Calibri" w:hAnsi="Calibri"/>
                <w:color w:val="334155"/>
                <w:sz w:val="20"/>
              </w:rPr>
              <w:br w:type="textWrapping"/>
            </w:r>
            <w:r>
              <w:rPr>
                <w:rFonts w:ascii="Calibri" w:hAnsi="Calibri"/>
                <w:color w:val="334155"/>
                <w:sz w:val="20"/>
              </w:rPr>
              <w:t>We do not sell products. We empower citizens with transparency, save them thousands of rupees annually, and deliver a seamless experience on both mobile and widescreen desktop."</w:t>
            </w:r>
          </w:p>
        </w:tc>
      </w:tr>
    </w:tbl>
    <w:p w14:paraId="62C9842E">
      <w:pPr>
        <w:spacing w:after="120"/>
      </w:pPr>
    </w:p>
    <w:sectPr>
      <w:pgSz w:w="12240" w:h="15840"/>
      <w:pgMar w:top="1080" w:right="1080" w:bottom="1080"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B8A7E6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1866</Words>
  <Characters>10795</Characters>
  <Lines>0</Lines>
  <Paragraphs>0</Paragraphs>
  <TotalTime>12</TotalTime>
  <ScaleCrop>false</ScaleCrop>
  <LinksUpToDate>false</LinksUpToDate>
  <CharactersWithSpaces>12427</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Sahil Raut</cp:lastModifiedBy>
  <dcterms:modified xsi:type="dcterms:W3CDTF">2026-09-22T11:00:07Z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eyJoZGlkIjoiMzE5NDBkYzJlMTY1NWVmMjZiMzc1Njc1MjU4ZDE3OTkiLCJ1c2VySWQiOiI1NjcxMjEyMjAwMzEifQ==</vt:lpwstr>
  </property>
  <property fmtid="{D5CDD505-2E9C-101B-9397-08002B2CF9AE}" pid="3" name="KSOProductBuildVer">
    <vt:lpwstr>1033-12.1.0.28485</vt:lpwstr>
  </property>
  <property fmtid="{D5CDD505-2E9C-101B-9397-08002B2CF9AE}" pid="4" name="ICV">
    <vt:lpwstr>269BCF432244410FAA5AE28C823B2BEC_12</vt:lpwstr>
  </property>
</Properties>
</file>