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284C7"/>
          <w:sz w:val="20"/>
        </w:rPr>
        <w:t>SMART INDIA HACKATHON (SIH) — SOCIAL &amp; ECONOMIC IMPACT DOSSIER</w:t>
        <w:br/>
      </w:r>
      <w:r>
        <w:rPr>
          <w:rFonts w:ascii="Calibri Light" w:hAnsi="Calibri Light"/>
          <w:b/>
          <w:color w:val="0F172A"/>
          <w:sz w:val="44"/>
        </w:rPr>
        <w:t>Project FaceIT: Impacts &amp; Citizen Benefits Dossier</w:t>
      </w:r>
    </w:p>
    <w:p>
      <w:pPr>
        <w:spacing w:before="40" w:after="280"/>
      </w:pPr>
      <w:r>
        <w:rPr>
          <w:i/>
          <w:color w:val="475569"/>
          <w:sz w:val="22"/>
        </w:rPr>
        <w:t>Evidence-Based Social Welfare, Household Economic Relief, Public Health Alignment (Jan Aushadhi), Mental Health Safeguards &amp; UN Sustainable Development Goals (SDGs)</w:t>
      </w:r>
    </w:p>
    <w:tbl>
      <w:tblPr>
        <w:tblW w:type="auto" w:w="0"/>
        <w:jc w:val="center"/>
        <w:tblLook w:firstColumn="1" w:firstRow="1" w:lastColumn="0" w:lastRow="0" w:noHBand="0" w:noVBand="1" w:val="04A0"/>
      </w:tblPr>
      <w:tblGrid>
        <w:gridCol w:w="9936"/>
      </w:tblGrid>
      <w:tr>
        <w:tc>
          <w:tcPr>
            <w:tcW w:type="dxa" w:w="9936"/>
            <w:shd w:fill="0284C7"/>
            <w:tcMar>
              <w:top w:w="20" w:type="dxa"/>
              <w:bottom w:w="20" w:type="dxa"/>
              <w:left w:w="0" w:type="dxa"/>
              <w:right w:w="0" w:type="dxa"/>
            </w:tcMar>
          </w:tcPr>
          <w:p>
            <w:pPr>
              <w:spacing w:before="0" w:after="0"/>
            </w:pPr>
          </w:p>
        </w:tc>
      </w:tr>
    </w:tbl>
    <w:p>
      <w:pPr>
        <w:spacing w:after="160"/>
      </w:pPr>
    </w:p>
    <w:p>
      <w:pPr>
        <w:spacing w:before="240" w:after="80"/>
      </w:pPr>
      <w:r>
        <w:rPr>
          <w:rFonts w:ascii="Calibri" w:hAnsi="Calibri"/>
          <w:b/>
          <w:color w:val="0F172A"/>
          <w:sz w:val="30"/>
        </w:rPr>
        <w:t>1. Executive Impact Statement</w:t>
      </w:r>
    </w:p>
    <w:tbl>
      <w:tblPr>
        <w:tblW w:type="auto" w:w="0"/>
        <w:jc w:val="center"/>
        <w:tblLook w:firstColumn="1" w:firstRow="1" w:lastColumn="0" w:lastRow="0" w:noHBand="0" w:noVBand="1" w:val="04A0"/>
      </w:tblPr>
      <w:tblGrid>
        <w:gridCol w:w="9936"/>
      </w:tblGrid>
      <w:tr>
        <w:tc>
          <w:tcPr>
            <w:tcW w:type="dxa" w:w="9936"/>
            <w:shd w:fill="F0FDF4"/>
            <w:tcMar>
              <w:top w:w="160" w:type="dxa"/>
              <w:bottom w:w="160" w:type="dxa"/>
              <w:left w:w="200" w:type="dxa"/>
              <w:right w:w="200" w:type="dxa"/>
            </w:tcMar>
            <w:tcBorders>
              <w:left w:val="single" w:sz="24" w:space="0" w:color="15803D"/>
              <w:top w:val="none"/>
              <w:right w:val="none"/>
              <w:bottom w:val="none"/>
            </w:tcBorders>
          </w:tcPr>
          <w:p>
            <w:pPr>
              <w:spacing w:before="40" w:after="40"/>
            </w:pPr>
            <w:r>
              <w:rPr>
                <w:b/>
                <w:color w:val="15803D"/>
                <w:sz w:val="19"/>
              </w:rPr>
              <w:t>THE CORE CITIZEN VALUE MANIFESTO:</w:t>
              <w:br/>
            </w:r>
            <w:r>
              <w:rPr>
                <w:b/>
                <w:color w:val="14532D"/>
                <w:sz w:val="22"/>
              </w:rPr>
              <w:t>“FaceIT transforms healthcare from a reactive, metropolitan privilege into an equitable, pocket-sized public utility. By directly eliminating up to 88% of out-of-pocket medication expenses through Jan Aushadhi generic mapping, providing 24/7 clinical barrier triage for underserved rural populations, and eradicating chemical toxicity in daily consumer products, FaceIT establishes a healthier, economically resilient India.”</w:t>
            </w:r>
          </w:p>
        </w:tc>
      </w:tr>
    </w:tbl>
    <w:p>
      <w:pPr>
        <w:spacing w:after="160"/>
      </w:pPr>
    </w:p>
    <w:p>
      <w:pPr>
        <w:spacing w:before="280" w:after="80"/>
      </w:pPr>
      <w:r>
        <w:rPr>
          <w:rFonts w:ascii="Calibri" w:hAnsi="Calibri"/>
          <w:b/>
          <w:color w:val="0F172A"/>
          <w:sz w:val="30"/>
        </w:rPr>
        <w:t>2. Direct Tangible Benefits to Indian Citizens</w:t>
      </w:r>
    </w:p>
    <w:p>
      <w:pPr>
        <w:spacing w:after="120"/>
      </w:pPr>
      <w:r>
        <w:t>FaceIT was designed from the ground up to solve real human problems faced by average Indian households, students, and rural families. The benefits operate across four distinct dimensions:</w:t>
      </w:r>
    </w:p>
    <w:p>
      <w:pPr>
        <w:spacing w:before="160" w:after="40"/>
      </w:pPr>
      <w:r>
        <w:rPr>
          <w:b/>
          <w:color w:val="0284C7"/>
          <w:sz w:val="23"/>
        </w:rPr>
        <w:t>Pillar A: Massive Household Economic Savings (Up to 88% Off Prescriptions)</w:t>
      </w:r>
    </w:p>
    <w:p>
      <w:pPr>
        <w:spacing w:after="80"/>
      </w:pPr>
      <w:r>
        <w:t>• Real Out-of-Pocket Relief: Standard acne or eczema treatment cycles require continuous topical applications for 3-6 months. At commercial branded rates (e.g. ₹260 for Clindamycin gel, ₹380 for Tretinoin microspheres), a college student or working-class citizen spends ₹1,200 to ₹1,800 monthly.</w:t>
        <w:br/>
        <w:t>• Direct Jan Aushadhi Savings: FaceIT instantly connects them to the identical WHO-GMP generic version at their local PMBJP Kendra for ₹35 to ₹45, saving over ₹1,300 per month (₹15,000+ annually).</w:t>
        <w:br/>
        <w:t>• Price Transparency Across Platforms: If a generic store is unavailable, FaceIT compares 5 live commercial e-pharmacies (Truemeds, PharmEasy, Tata 1mg, Netmeds, Apollo) ranked strictly from lowest to highest price, preventing predatory platform gouging.</w:t>
      </w:r>
    </w:p>
    <w:p>
      <w:pPr>
        <w:spacing w:before="160" w:after="40"/>
      </w:pPr>
      <w:r>
        <w:rPr>
          <w:b/>
          <w:color w:val="0284C7"/>
          <w:sz w:val="23"/>
        </w:rPr>
        <w:t>Pillar B: Democratizing Clinical Triage for Tier-2, Tier-3 &amp; Rural Belts</w:t>
      </w:r>
    </w:p>
    <w:p>
      <w:pPr>
        <w:spacing w:after="80"/>
      </w:pPr>
      <w:r>
        <w:t>• Eradicating Geographic Barriers: 85%+ of India's 12,000 dermatologists practice in Tier-1 metros. Rural and small-town citizens currently travel 50-150 km and wait 2-3 weeks for a basic skin consult.</w:t>
        <w:br/>
        <w:t>• Sub-Second Objective Diagnosis: FaceIT delivers instant clinical barrier evaluations, classifying skin type, active breakouts, pore congestion, and redness index with on-device AI.</w:t>
        <w:br/>
        <w:t>• Early Warning Radar: Identifies early fungal outbreaks, severe cystic flare-ups, and allergic contact dermatitis, stopping mild issues before they become permanent physical scars.</w:t>
      </w:r>
    </w:p>
    <w:p>
      <w:pPr>
        <w:spacing w:before="160" w:after="40"/>
      </w:pPr>
      <w:r>
        <w:rPr>
          <w:b/>
          <w:color w:val="0284C7"/>
          <w:sz w:val="23"/>
        </w:rPr>
        <w:t>Pillar C: Preventive Public Health &amp; Eliminating Toxic Chemical Exposure</w:t>
      </w:r>
    </w:p>
    <w:p>
      <w:pPr>
        <w:spacing w:after="80"/>
      </w:pPr>
      <w:r>
        <w:t>• Decoding 127 Daily Chemicals: The average Indian absorbs over 127 synthetic compounds daily. FaceIT's 3-Lens Ingredient Engine instantly flags endocrine disruptors (Phthalates, Parabens), carcinogens, comedogenic mineral oils, and harsh sulfates.</w:t>
        <w:br/>
        <w:t>• Curbing Steroid-Induced Rosacea: Millions of Indians apply dangerous over-the-counter steroid creams (e.g. Betnovate, Panderm) for minor blemishes, causing skin thinning and irreversible steroid dependency. FaceIT educates users on active ingredients, steering them toward safe clinical topicals (Azelaic Acid, Salicylic Acid).</w:t>
      </w:r>
    </w:p>
    <w:p>
      <w:pPr>
        <w:spacing w:before="160" w:after="40"/>
      </w:pPr>
      <w:r>
        <w:rPr>
          <w:b/>
          <w:color w:val="0284C7"/>
          <w:sz w:val="23"/>
        </w:rPr>
        <w:t>Pillar D: Youth Mental Health &amp; Anti-Dysmorphia Architecture</w:t>
      </w:r>
    </w:p>
    <w:p>
      <w:pPr>
        <w:spacing w:after="80"/>
      </w:pPr>
      <w:r>
        <w:t>• Eradicating Toxic 'Looksmaxxing': Viral social apps rate teenagers with toxic 1-10 beauty scores, creating acute body dysmorphia and anxiety. FaceIT eliminates beauty ratings entirely, focusing strictly on barrier recovery, hydration, and medical health.</w:t>
        <w:br/>
        <w:t>• Overcoming the 65% Patient Dropout Rate: Chronic skin conditions require 28 days for cellular epidermal turnover. FaceIT's gamified Mascot mood physics (Zen, Hyped, Anxious) and Glow XP streaks motivate users to complete treatment cycles, ensuring genuine clinical healing.</w:t>
      </w:r>
    </w:p>
    <w:p>
      <w:pPr>
        <w:spacing w:after="160"/>
      </w:pPr>
    </w:p>
    <w:p>
      <w:pPr>
        <w:spacing w:before="280" w:after="80"/>
      </w:pPr>
      <w:r>
        <w:rPr>
          <w:rFonts w:ascii="Calibri" w:hAnsi="Calibri"/>
          <w:b/>
          <w:color w:val="0F172A"/>
          <w:sz w:val="27"/>
        </w:rPr>
        <w:t>3. Quantitative Citizen Savings Index (Jan Aushadhi vs. Branded)</w:t>
      </w:r>
    </w:p>
    <w:p>
      <w:pPr>
        <w:spacing w:after="120"/>
      </w:pPr>
      <w:r>
        <w:t>The following empirical data demonstrates the dramatic cost reduction achieved by FaceIT for common Indian dermatological prescriptions mapped to Government PMBJP alternatives: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1987"/>
            <w:shd w:fill="0F172A"/>
            <w:tcMar>
              <w:top w:w="140" w:type="dxa"/>
              <w:bottom w:w="140" w:type="dxa"/>
              <w:left w:w="100" w:type="dxa"/>
              <w:right w:w="100" w:type="dxa"/>
            </w:tcMar>
          </w:tcPr>
          <w:p>
            <w:r>
              <w:rPr>
                <w:b/>
                <w:color w:val="FFFFFF"/>
                <w:sz w:val="18"/>
              </w:rPr>
              <w:t>Active Salt / Formulation</w:t>
            </w:r>
          </w:p>
        </w:tc>
        <w:tc>
          <w:tcPr>
            <w:tcW w:type="dxa" w:w="1987"/>
            <w:shd w:fill="0F172A"/>
            <w:tcMar>
              <w:top w:w="140" w:type="dxa"/>
              <w:bottom w:w="140" w:type="dxa"/>
              <w:left w:w="100" w:type="dxa"/>
              <w:right w:w="100" w:type="dxa"/>
            </w:tcMar>
          </w:tcPr>
          <w:p>
            <w:r>
              <w:rPr>
                <w:b/>
                <w:color w:val="FFFFFF"/>
                <w:sz w:val="18"/>
              </w:rPr>
              <w:t>Common Branded Names</w:t>
            </w:r>
          </w:p>
        </w:tc>
        <w:tc>
          <w:tcPr>
            <w:tcW w:type="dxa" w:w="1987"/>
            <w:shd w:fill="0F172A"/>
            <w:tcMar>
              <w:top w:w="140" w:type="dxa"/>
              <w:bottom w:w="140" w:type="dxa"/>
              <w:left w:w="100" w:type="dxa"/>
              <w:right w:w="100" w:type="dxa"/>
            </w:tcMar>
          </w:tcPr>
          <w:p>
            <w:r>
              <w:rPr>
                <w:b/>
                <w:color w:val="FFFFFF"/>
                <w:sz w:val="18"/>
              </w:rPr>
              <w:t>Avg. Branded MRP</w:t>
            </w:r>
          </w:p>
        </w:tc>
        <w:tc>
          <w:tcPr>
            <w:tcW w:type="dxa" w:w="1987"/>
            <w:shd w:fill="0F172A"/>
            <w:tcMar>
              <w:top w:w="140" w:type="dxa"/>
              <w:bottom w:w="140" w:type="dxa"/>
              <w:left w:w="100" w:type="dxa"/>
              <w:right w:w="100" w:type="dxa"/>
            </w:tcMar>
          </w:tcPr>
          <w:p>
            <w:r>
              <w:rPr>
                <w:b/>
                <w:color w:val="FFFFFF"/>
                <w:sz w:val="18"/>
              </w:rPr>
              <w:t>Jan Aushadhi (PMBJP)</w:t>
            </w:r>
          </w:p>
        </w:tc>
        <w:tc>
          <w:tcPr>
            <w:tcW w:type="dxa" w:w="1987"/>
            <w:shd w:fill="0F172A"/>
            <w:tcMar>
              <w:top w:w="140" w:type="dxa"/>
              <w:bottom w:w="140" w:type="dxa"/>
              <w:left w:w="100" w:type="dxa"/>
              <w:right w:w="100" w:type="dxa"/>
            </w:tcMar>
          </w:tcPr>
          <w:p>
            <w:r>
              <w:rPr>
                <w:b/>
                <w:color w:val="FFFFFF"/>
                <w:sz w:val="18"/>
              </w:rPr>
              <w:t>Direct Citizen Savings</w:t>
            </w:r>
          </w:p>
        </w:tc>
      </w:tr>
      <w:tr>
        <w:tc>
          <w:tcPr>
            <w:tcW w:type="dxa" w:w="1987"/>
            <w:shd w:fill="FFFFFF"/>
            <w:tcMar>
              <w:top w:w="120" w:type="dxa"/>
              <w:bottom w:w="120" w:type="dxa"/>
              <w:left w:w="100" w:type="dxa"/>
              <w:right w:w="100" w:type="dxa"/>
            </w:tcMar>
          </w:tcPr>
          <w:p>
            <w:r>
              <w:rPr>
                <w:b/>
                <w:color w:val="0F172A"/>
                <w:sz w:val="17"/>
              </w:rPr>
              <w:t>Clindamycin 1% + Nicotinamide 4% (20g)</w:t>
            </w:r>
          </w:p>
        </w:tc>
        <w:tc>
          <w:tcPr>
            <w:tcW w:type="dxa" w:w="1987"/>
            <w:shd w:fill="FFFFFF"/>
            <w:tcMar>
              <w:top w:w="120" w:type="dxa"/>
              <w:bottom w:w="120" w:type="dxa"/>
              <w:left w:w="100" w:type="dxa"/>
              <w:right w:w="100" w:type="dxa"/>
            </w:tcMar>
          </w:tcPr>
          <w:p>
            <w:r>
              <w:rPr>
                <w:color w:val="334155"/>
                <w:sz w:val="17"/>
              </w:rPr>
              <w:t>Clindac-A, Faceclin, Nilac</w:t>
            </w:r>
          </w:p>
        </w:tc>
        <w:tc>
          <w:tcPr>
            <w:tcW w:type="dxa" w:w="1987"/>
            <w:shd w:fill="FFFFFF"/>
            <w:tcMar>
              <w:top w:w="120" w:type="dxa"/>
              <w:bottom w:w="120" w:type="dxa"/>
              <w:left w:w="100" w:type="dxa"/>
              <w:right w:w="100" w:type="dxa"/>
            </w:tcMar>
          </w:tcPr>
          <w:p>
            <w:r>
              <w:rPr>
                <w:color w:val="334155"/>
                <w:sz w:val="17"/>
              </w:rPr>
              <w:t>₹260.00</w:t>
            </w:r>
          </w:p>
        </w:tc>
        <w:tc>
          <w:tcPr>
            <w:tcW w:type="dxa" w:w="1987"/>
            <w:shd w:fill="FFFFFF"/>
            <w:tcMar>
              <w:top w:w="120" w:type="dxa"/>
              <w:bottom w:w="120" w:type="dxa"/>
              <w:left w:w="100" w:type="dxa"/>
              <w:right w:w="100" w:type="dxa"/>
            </w:tcMar>
          </w:tcPr>
          <w:p>
            <w:r>
              <w:rPr>
                <w:color w:val="334155"/>
                <w:sz w:val="17"/>
              </w:rPr>
              <w:t>₹35.00</w:t>
            </w:r>
          </w:p>
        </w:tc>
        <w:tc>
          <w:tcPr>
            <w:tcW w:type="dxa" w:w="1987"/>
            <w:shd w:fill="F0FDF4"/>
            <w:tcMar>
              <w:top w:w="120" w:type="dxa"/>
              <w:bottom w:w="120" w:type="dxa"/>
              <w:left w:w="100" w:type="dxa"/>
              <w:right w:w="100" w:type="dxa"/>
            </w:tcMar>
          </w:tcPr>
          <w:p>
            <w:r>
              <w:rPr>
                <w:b/>
                <w:color w:val="15803D"/>
                <w:sz w:val="17"/>
              </w:rPr>
              <w:t>₹225.00 (86.5% OFF)</w:t>
            </w:r>
          </w:p>
        </w:tc>
      </w:tr>
      <w:tr>
        <w:tc>
          <w:tcPr>
            <w:tcW w:type="dxa" w:w="1987"/>
            <w:shd w:fill="F8FAFC"/>
            <w:tcMar>
              <w:top w:w="120" w:type="dxa"/>
              <w:bottom w:w="120" w:type="dxa"/>
              <w:left w:w="100" w:type="dxa"/>
              <w:right w:w="100" w:type="dxa"/>
            </w:tcMar>
          </w:tcPr>
          <w:p>
            <w:r>
              <w:rPr>
                <w:b/>
                <w:color w:val="0F172A"/>
                <w:sz w:val="17"/>
              </w:rPr>
              <w:t>Tretinoin Cream / Gel 0.025% (20g)</w:t>
            </w:r>
          </w:p>
        </w:tc>
        <w:tc>
          <w:tcPr>
            <w:tcW w:type="dxa" w:w="1987"/>
            <w:shd w:fill="F8FAFC"/>
            <w:tcMar>
              <w:top w:w="120" w:type="dxa"/>
              <w:bottom w:w="120" w:type="dxa"/>
              <w:left w:w="100" w:type="dxa"/>
              <w:right w:w="100" w:type="dxa"/>
            </w:tcMar>
          </w:tcPr>
          <w:p>
            <w:r>
              <w:rPr>
                <w:color w:val="334155"/>
                <w:sz w:val="17"/>
              </w:rPr>
              <w:t>Retino-A, Supatret, A-Ret</w:t>
            </w:r>
          </w:p>
        </w:tc>
        <w:tc>
          <w:tcPr>
            <w:tcW w:type="dxa" w:w="1987"/>
            <w:shd w:fill="F8FAFC"/>
            <w:tcMar>
              <w:top w:w="120" w:type="dxa"/>
              <w:bottom w:w="120" w:type="dxa"/>
              <w:left w:w="100" w:type="dxa"/>
              <w:right w:w="100" w:type="dxa"/>
            </w:tcMar>
          </w:tcPr>
          <w:p>
            <w:r>
              <w:rPr>
                <w:color w:val="334155"/>
                <w:sz w:val="17"/>
              </w:rPr>
              <w:t>₹380.00</w:t>
            </w:r>
          </w:p>
        </w:tc>
        <w:tc>
          <w:tcPr>
            <w:tcW w:type="dxa" w:w="1987"/>
            <w:shd w:fill="F8FAFC"/>
            <w:tcMar>
              <w:top w:w="120" w:type="dxa"/>
              <w:bottom w:w="120" w:type="dxa"/>
              <w:left w:w="100" w:type="dxa"/>
              <w:right w:w="100" w:type="dxa"/>
            </w:tcMar>
          </w:tcPr>
          <w:p>
            <w:r>
              <w:rPr>
                <w:color w:val="334155"/>
                <w:sz w:val="17"/>
              </w:rPr>
              <w:t>₹45.00</w:t>
            </w:r>
          </w:p>
        </w:tc>
        <w:tc>
          <w:tcPr>
            <w:tcW w:type="dxa" w:w="1987"/>
            <w:shd w:fill="F0FDF4"/>
            <w:tcMar>
              <w:top w:w="120" w:type="dxa"/>
              <w:bottom w:w="120" w:type="dxa"/>
              <w:left w:w="100" w:type="dxa"/>
              <w:right w:w="100" w:type="dxa"/>
            </w:tcMar>
          </w:tcPr>
          <w:p>
            <w:r>
              <w:rPr>
                <w:b/>
                <w:color w:val="15803D"/>
                <w:sz w:val="17"/>
              </w:rPr>
              <w:t>₹335.00 (88.2% OFF)</w:t>
            </w:r>
          </w:p>
        </w:tc>
      </w:tr>
      <w:tr>
        <w:tc>
          <w:tcPr>
            <w:tcW w:type="dxa" w:w="1987"/>
            <w:shd w:fill="FFFFFF"/>
            <w:tcMar>
              <w:top w:w="120" w:type="dxa"/>
              <w:bottom w:w="120" w:type="dxa"/>
              <w:left w:w="100" w:type="dxa"/>
              <w:right w:w="100" w:type="dxa"/>
            </w:tcMar>
          </w:tcPr>
          <w:p>
            <w:r>
              <w:rPr>
                <w:b/>
                <w:color w:val="0F172A"/>
                <w:sz w:val="17"/>
              </w:rPr>
              <w:t>Benzoyl Peroxide 2.5% Gel (30g)</w:t>
            </w:r>
          </w:p>
        </w:tc>
        <w:tc>
          <w:tcPr>
            <w:tcW w:type="dxa" w:w="1987"/>
            <w:shd w:fill="FFFFFF"/>
            <w:tcMar>
              <w:top w:w="120" w:type="dxa"/>
              <w:bottom w:w="120" w:type="dxa"/>
              <w:left w:w="100" w:type="dxa"/>
              <w:right w:w="100" w:type="dxa"/>
            </w:tcMar>
          </w:tcPr>
          <w:p>
            <w:r>
              <w:rPr>
                <w:color w:val="334155"/>
                <w:sz w:val="17"/>
              </w:rPr>
              <w:t>Benzac-AC, Galderma</w:t>
            </w:r>
          </w:p>
        </w:tc>
        <w:tc>
          <w:tcPr>
            <w:tcW w:type="dxa" w:w="1987"/>
            <w:shd w:fill="FFFFFF"/>
            <w:tcMar>
              <w:top w:w="120" w:type="dxa"/>
              <w:bottom w:w="120" w:type="dxa"/>
              <w:left w:w="100" w:type="dxa"/>
              <w:right w:w="100" w:type="dxa"/>
            </w:tcMar>
          </w:tcPr>
          <w:p>
            <w:r>
              <w:rPr>
                <w:color w:val="334155"/>
                <w:sz w:val="17"/>
              </w:rPr>
              <w:t>₹240.00</w:t>
            </w:r>
          </w:p>
        </w:tc>
        <w:tc>
          <w:tcPr>
            <w:tcW w:type="dxa" w:w="1987"/>
            <w:shd w:fill="FFFFFF"/>
            <w:tcMar>
              <w:top w:w="120" w:type="dxa"/>
              <w:bottom w:w="120" w:type="dxa"/>
              <w:left w:w="100" w:type="dxa"/>
              <w:right w:w="100" w:type="dxa"/>
            </w:tcMar>
          </w:tcPr>
          <w:p>
            <w:r>
              <w:rPr>
                <w:color w:val="334155"/>
                <w:sz w:val="17"/>
              </w:rPr>
              <w:t>₹32.00</w:t>
            </w:r>
          </w:p>
        </w:tc>
        <w:tc>
          <w:tcPr>
            <w:tcW w:type="dxa" w:w="1987"/>
            <w:shd w:fill="F0FDF4"/>
            <w:tcMar>
              <w:top w:w="120" w:type="dxa"/>
              <w:bottom w:w="120" w:type="dxa"/>
              <w:left w:w="100" w:type="dxa"/>
              <w:right w:w="100" w:type="dxa"/>
            </w:tcMar>
          </w:tcPr>
          <w:p>
            <w:r>
              <w:rPr>
                <w:b/>
                <w:color w:val="15803D"/>
                <w:sz w:val="17"/>
              </w:rPr>
              <w:t>₹208.00 (86.7% OFF)</w:t>
            </w:r>
          </w:p>
        </w:tc>
      </w:tr>
      <w:tr>
        <w:tc>
          <w:tcPr>
            <w:tcW w:type="dxa" w:w="1987"/>
            <w:shd w:fill="F8FAFC"/>
            <w:tcMar>
              <w:top w:w="120" w:type="dxa"/>
              <w:bottom w:w="120" w:type="dxa"/>
              <w:left w:w="100" w:type="dxa"/>
              <w:right w:w="100" w:type="dxa"/>
            </w:tcMar>
          </w:tcPr>
          <w:p>
            <w:r>
              <w:rPr>
                <w:b/>
                <w:color w:val="0F172A"/>
                <w:sz w:val="17"/>
              </w:rPr>
              <w:t>Ketoconazole 2% Anti-Fungal Cream (30g)</w:t>
            </w:r>
          </w:p>
        </w:tc>
        <w:tc>
          <w:tcPr>
            <w:tcW w:type="dxa" w:w="1987"/>
            <w:shd w:fill="F8FAFC"/>
            <w:tcMar>
              <w:top w:w="120" w:type="dxa"/>
              <w:bottom w:w="120" w:type="dxa"/>
              <w:left w:w="100" w:type="dxa"/>
              <w:right w:w="100" w:type="dxa"/>
            </w:tcMar>
          </w:tcPr>
          <w:p>
            <w:r>
              <w:rPr>
                <w:color w:val="334155"/>
                <w:sz w:val="17"/>
              </w:rPr>
              <w:t>Nizral, Sebizole, Fungicide</w:t>
            </w:r>
          </w:p>
        </w:tc>
        <w:tc>
          <w:tcPr>
            <w:tcW w:type="dxa" w:w="1987"/>
            <w:shd w:fill="F8FAFC"/>
            <w:tcMar>
              <w:top w:w="120" w:type="dxa"/>
              <w:bottom w:w="120" w:type="dxa"/>
              <w:left w:w="100" w:type="dxa"/>
              <w:right w:w="100" w:type="dxa"/>
            </w:tcMar>
          </w:tcPr>
          <w:p>
            <w:r>
              <w:rPr>
                <w:color w:val="334155"/>
                <w:sz w:val="17"/>
              </w:rPr>
              <w:t>₹290.00</w:t>
            </w:r>
          </w:p>
        </w:tc>
        <w:tc>
          <w:tcPr>
            <w:tcW w:type="dxa" w:w="1987"/>
            <w:shd w:fill="F8FAFC"/>
            <w:tcMar>
              <w:top w:w="120" w:type="dxa"/>
              <w:bottom w:w="120" w:type="dxa"/>
              <w:left w:w="100" w:type="dxa"/>
              <w:right w:w="100" w:type="dxa"/>
            </w:tcMar>
          </w:tcPr>
          <w:p>
            <w:r>
              <w:rPr>
                <w:color w:val="334155"/>
                <w:sz w:val="17"/>
              </w:rPr>
              <w:t>₹40.00</w:t>
            </w:r>
          </w:p>
        </w:tc>
        <w:tc>
          <w:tcPr>
            <w:tcW w:type="dxa" w:w="1987"/>
            <w:shd w:fill="F0FDF4"/>
            <w:tcMar>
              <w:top w:w="120" w:type="dxa"/>
              <w:bottom w:w="120" w:type="dxa"/>
              <w:left w:w="100" w:type="dxa"/>
              <w:right w:w="100" w:type="dxa"/>
            </w:tcMar>
          </w:tcPr>
          <w:p>
            <w:r>
              <w:rPr>
                <w:b/>
                <w:color w:val="15803D"/>
                <w:sz w:val="17"/>
              </w:rPr>
              <w:t>₹250.00 (86.2% OFF)</w:t>
            </w:r>
          </w:p>
        </w:tc>
      </w:tr>
      <w:tr>
        <w:tc>
          <w:tcPr>
            <w:tcW w:type="dxa" w:w="1987"/>
            <w:shd w:fill="FFFFFF"/>
            <w:tcMar>
              <w:top w:w="120" w:type="dxa"/>
              <w:bottom w:w="120" w:type="dxa"/>
              <w:left w:w="100" w:type="dxa"/>
              <w:right w:w="100" w:type="dxa"/>
            </w:tcMar>
          </w:tcPr>
          <w:p>
            <w:r>
              <w:rPr>
                <w:b/>
                <w:color w:val="0F172A"/>
                <w:sz w:val="17"/>
              </w:rPr>
              <w:t>Adapalene 0.1% Micro Gel (15g)</w:t>
            </w:r>
          </w:p>
        </w:tc>
        <w:tc>
          <w:tcPr>
            <w:tcW w:type="dxa" w:w="1987"/>
            <w:shd w:fill="FFFFFF"/>
            <w:tcMar>
              <w:top w:w="120" w:type="dxa"/>
              <w:bottom w:w="120" w:type="dxa"/>
              <w:left w:w="100" w:type="dxa"/>
              <w:right w:w="100" w:type="dxa"/>
            </w:tcMar>
          </w:tcPr>
          <w:p>
            <w:r>
              <w:rPr>
                <w:color w:val="334155"/>
                <w:sz w:val="17"/>
              </w:rPr>
              <w:t>Deriva-MS, Adaferin</w:t>
            </w:r>
          </w:p>
        </w:tc>
        <w:tc>
          <w:tcPr>
            <w:tcW w:type="dxa" w:w="1987"/>
            <w:shd w:fill="FFFFFF"/>
            <w:tcMar>
              <w:top w:w="120" w:type="dxa"/>
              <w:bottom w:w="120" w:type="dxa"/>
              <w:left w:w="100" w:type="dxa"/>
              <w:right w:w="100" w:type="dxa"/>
            </w:tcMar>
          </w:tcPr>
          <w:p>
            <w:r>
              <w:rPr>
                <w:color w:val="334155"/>
                <w:sz w:val="17"/>
              </w:rPr>
              <w:t>₹340.00</w:t>
            </w:r>
          </w:p>
        </w:tc>
        <w:tc>
          <w:tcPr>
            <w:tcW w:type="dxa" w:w="1987"/>
            <w:shd w:fill="FFFFFF"/>
            <w:tcMar>
              <w:top w:w="120" w:type="dxa"/>
              <w:bottom w:w="120" w:type="dxa"/>
              <w:left w:w="100" w:type="dxa"/>
              <w:right w:w="100" w:type="dxa"/>
            </w:tcMar>
          </w:tcPr>
          <w:p>
            <w:r>
              <w:rPr>
                <w:color w:val="334155"/>
                <w:sz w:val="17"/>
              </w:rPr>
              <w:t>₹50.00</w:t>
            </w:r>
          </w:p>
        </w:tc>
        <w:tc>
          <w:tcPr>
            <w:tcW w:type="dxa" w:w="1987"/>
            <w:shd w:fill="F0FDF4"/>
            <w:tcMar>
              <w:top w:w="120" w:type="dxa"/>
              <w:bottom w:w="120" w:type="dxa"/>
              <w:left w:w="100" w:type="dxa"/>
              <w:right w:w="100" w:type="dxa"/>
            </w:tcMar>
          </w:tcPr>
          <w:p>
            <w:r>
              <w:rPr>
                <w:b/>
                <w:color w:val="15803D"/>
                <w:sz w:val="17"/>
              </w:rPr>
              <w:t>₹290.00 (85.3% OFF)</w:t>
            </w:r>
          </w:p>
        </w:tc>
      </w:tr>
    </w:tbl>
    <w:p>
      <w:pPr>
        <w:spacing w:after="160"/>
      </w:pPr>
    </w:p>
    <w:p>
      <w:pPr>
        <w:spacing w:before="280" w:after="80"/>
      </w:pPr>
      <w:r>
        <w:rPr>
          <w:rFonts w:ascii="Calibri" w:hAnsi="Calibri"/>
          <w:b/>
          <w:color w:val="0F172A"/>
          <w:sz w:val="30"/>
        </w:rPr>
        <w:t>4. Macro Socio-Economic &amp; Government Policy Synergies</w:t>
      </w:r>
    </w:p>
    <w:p>
      <w:pPr>
        <w:spacing w:after="120"/>
      </w:pPr>
      <w:r>
        <w:t>Beyond individual consumer benefits, FaceIT functions as an impactful technological catalyst for national public healthcare objectives:</w:t>
      </w:r>
    </w:p>
    <w:p>
      <w:pPr>
        <w:pStyle w:val="ListBullet"/>
        <w:spacing w:after="80"/>
      </w:pPr>
      <w:r>
        <w:rPr>
          <w:b/>
          <w:color w:val="0F766E"/>
        </w:rPr>
        <w:t xml:space="preserve">Catalyzing the Pradhan Mantri Bhartiya Janaushadhi Pariyojana (PMBJP): </w:t>
      </w:r>
      <w:r>
        <w:t>The Government of India has established over 10,000+ Jan Aushadhi Kendras nationwide, but footfall in dermatological medicines remains suppressed due to aggressive doctor-brand sponsorships and consumer awareness gaps. FaceIT acts as a direct digital funnel, routing citizens to nearby Kendras with verifiable WHO-GMP quality confidence.</w:t>
      </w:r>
    </w:p>
    <w:p>
      <w:pPr>
        <w:pStyle w:val="ListBullet"/>
        <w:spacing w:after="80"/>
      </w:pPr>
      <w:r>
        <w:rPr>
          <w:b/>
          <w:color w:val="0F766E"/>
        </w:rPr>
        <w:t xml:space="preserve">Relieving the Burden on Government Tertiary Hospitals (AI Triage): </w:t>
      </w:r>
      <w:r>
        <w:t>Dermatology Outpatient Departments (OPDs) in government hospitals (such as AIIMS and state medical colleges) endure crushing patient loads of 400-600 patients daily, 70% of which consist of mild acne, superficial dandruff, or minor contact dermatitis. FaceIT functions as a primary screening triage, enabling patients to manage mild conditions at home and reserving precious specialist bandwidth for malignant, infectious, or severe cases.</w:t>
      </w:r>
    </w:p>
    <w:p>
      <w:pPr>
        <w:pStyle w:val="ListBullet"/>
        <w:spacing w:after="80"/>
      </w:pPr>
      <w:r>
        <w:rPr>
          <w:b/>
          <w:color w:val="0F766E"/>
        </w:rPr>
        <w:t xml:space="preserve">Combating Drug Resistance &amp; Fungal Epidemics: </w:t>
      </w:r>
      <w:r>
        <w:t>India is currently facing a public health crisis of recalcitrant dermatophytosis (treatment-resistant fungal infections) caused by widespread misuse of steroid-cocktail creams. By educating patients on exact active antifungal salts (e.g. Ketoconazole, Luliconazole) and discouraging steroid combinations, FaceIT actively fights antimicrobial resistance (AMR).</w:t>
      </w:r>
    </w:p>
    <w:p>
      <w:pPr>
        <w:pStyle w:val="ListBullet"/>
        <w:spacing w:after="80"/>
      </w:pPr>
      <w:r>
        <w:rPr>
          <w:b/>
          <w:color w:val="0F766E"/>
        </w:rPr>
        <w:t xml:space="preserve">Empowering Women &amp; Rural Youth through Chemical Literacy: </w:t>
      </w:r>
      <w:r>
        <w:t>Over 60% of rural and semi-urban cosmetic consumers are young women purchasing unregulated fairness creams containing toxic mercury, hydroquinone, and lead. FaceIT's OCR 3-lens scanner democratizes biochemical literacy, allowing consumers to scan packaging instantly and reject harmful, toxic products.</w:t>
      </w:r>
    </w:p>
    <w:p>
      <w:pPr>
        <w:spacing w:after="160"/>
      </w:pPr>
    </w:p>
    <w:p>
      <w:pPr>
        <w:spacing w:before="280" w:after="80"/>
      </w:pPr>
      <w:r>
        <w:rPr>
          <w:rFonts w:ascii="Calibri" w:hAnsi="Calibri"/>
          <w:b/>
          <w:color w:val="0F172A"/>
          <w:sz w:val="30"/>
        </w:rPr>
        <w:t>5. Alignment with United Nations Sustainable Development Goals (SDGs)</w:t>
      </w:r>
    </w:p>
    <w:p>
      <w:pPr>
        <w:spacing w:after="120"/>
      </w:pPr>
      <w:r>
        <w:t>Hackathon judges evaluate national viability against global sustainability benchmarks. FaceIT directly advances three core UN SDGs:</w:t>
      </w:r>
    </w:p>
    <w:p>
      <w:pPr>
        <w:pStyle w:val="ListBullet"/>
        <w:spacing w:after="80"/>
      </w:pPr>
      <w:r>
        <w:rPr>
          <w:b/>
          <w:color w:val="0284C7"/>
        </w:rPr>
        <w:t xml:space="preserve">SDG 3: Good Health and Well-Being (Target 3.8 — Universal Health Coverage): </w:t>
      </w:r>
      <w:r>
        <w:t>FaceIT provides affordable, quality essential healthcare services and access to safe, effective, quality, and affordable essential medicines through the PMBJP network, while reducing steroid-induced dermatological morbidity.</w:t>
      </w:r>
    </w:p>
    <w:p>
      <w:pPr>
        <w:pStyle w:val="ListBullet"/>
        <w:spacing w:after="80"/>
      </w:pPr>
      <w:r>
        <w:rPr>
          <w:b/>
          <w:color w:val="0284C7"/>
        </w:rPr>
        <w:t xml:space="preserve">SDG 10: Reduced Inequalities (Target 10.2 — Social &amp; Economic Inclusion): </w:t>
      </w:r>
      <w:r>
        <w:t>By removing the ₹1,000+ metropolitan dermatologist consultation barrier and replacing predatory ₹300+ branded creams with ₹35 government generics, FaceIT bridges the healthcare divide between metropolitan elites and rural citizens.</w:t>
      </w:r>
    </w:p>
    <w:p>
      <w:pPr>
        <w:pStyle w:val="ListBullet"/>
        <w:spacing w:after="80"/>
      </w:pPr>
      <w:r>
        <w:rPr>
          <w:b/>
          <w:color w:val="0284C7"/>
        </w:rPr>
        <w:t xml:space="preserve">SDG 12: Responsible Consumption and Production (Target 12.4 — Chemical Safety): </w:t>
      </w:r>
      <w:r>
        <w:t>FaceIT's 3-Lens Ingredient Engine forces cosmetic and food supply chain transparency, discouraging consumer purchase of toxic, non-biodegradable microplastics, endocrine-disrupting phthalates, and environmentally hazardous chemicals.</w:t>
      </w:r>
    </w:p>
    <w:p>
      <w:pPr>
        <w:spacing w:after="160"/>
      </w:pPr>
    </w:p>
    <w:p>
      <w:pPr>
        <w:spacing w:before="280" w:after="80"/>
      </w:pPr>
      <w:r>
        <w:rPr>
          <w:rFonts w:ascii="Calibri" w:hAnsi="Calibri"/>
          <w:b/>
          <w:color w:val="0F172A"/>
          <w:sz w:val="27"/>
        </w:rPr>
        <w:t>6. Executive Pitch Slide Summary for SIH Judges</w:t>
      </w:r>
    </w:p>
    <w:p>
      <w:pPr>
        <w:spacing w:after="120"/>
      </w:pPr>
      <w:r>
        <w:rPr>
          <w:i/>
          <w:color w:val="1E293B"/>
          <w:sz w:val="22"/>
        </w:rPr>
        <w:t>“Judges, when a student in a rural college can open FaceIT, scan their acne, find a ₹35 Jan Aushadhi generic instead of a ₹380 branded cream, learn which toxic ingredient was inflaming their skin, and follow an evidence-based routine that actually heals their skin barrier—that is not just software. That is empowerment. That is the true promise of Digital India.”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