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284C7"/>
          <w:sz w:val="20"/>
        </w:rPr>
        <w:t>SMART INDIA HACKATHON (SIH) — TECHNICAL DOSSIER</w:t>
        <w:br/>
      </w:r>
      <w:r>
        <w:rPr>
          <w:rFonts w:ascii="Calibri Light" w:hAnsi="Calibri Light"/>
          <w:b/>
          <w:color w:val="0F172A"/>
          <w:sz w:val="44"/>
        </w:rPr>
        <w:t>Project FaceIT: Comprehensive Technical Approach &amp; System Architecture</w:t>
      </w:r>
    </w:p>
    <w:p>
      <w:pPr>
        <w:spacing w:before="40" w:after="280"/>
      </w:pPr>
      <w:r>
        <w:rPr>
          <w:i/>
          <w:color w:val="475569"/>
          <w:sz w:val="22"/>
        </w:rPr>
        <w:t>Detailed Engineering Blueprint: Tech Stack, Multimodal AI Inference Pipeline, Architectural Dataflow, Complete User Journeys, Domain Terminology &amp; Differentiators</w:t>
      </w:r>
    </w:p>
    <w:tbl>
      <w:tblPr>
        <w:tblW w:type="auto" w:w="0"/>
        <w:jc w:val="center"/>
        <w:tblLook w:firstColumn="1" w:firstRow="1" w:lastColumn="0" w:lastRow="0" w:noHBand="0" w:noVBand="1" w:val="04A0"/>
      </w:tblPr>
      <w:tblGrid>
        <w:gridCol w:w="9936"/>
      </w:tblGrid>
      <w:tr>
        <w:tc>
          <w:tcPr>
            <w:tcW w:type="dxa" w:w="9936"/>
            <w:shd w:fill="0284C7"/>
            <w:tcMar>
              <w:top w:w="20" w:type="dxa"/>
              <w:bottom w:w="20" w:type="dxa"/>
              <w:left w:w="0" w:type="dxa"/>
              <w:right w:w="0" w:type="dxa"/>
            </w:tcMar>
          </w:tcPr>
          <w:p>
            <w:pPr>
              <w:spacing w:before="0" w:after="0"/>
            </w:pPr>
          </w:p>
        </w:tc>
      </w:tr>
    </w:tbl>
    <w:p>
      <w:pPr>
        <w:spacing w:after="160"/>
      </w:pPr>
    </w:p>
    <w:p>
      <w:pPr>
        <w:spacing w:before="240" w:after="80"/>
      </w:pPr>
      <w:r>
        <w:rPr>
          <w:rFonts w:ascii="Calibri" w:hAnsi="Calibri"/>
          <w:b/>
          <w:color w:val="0F172A"/>
          <w:sz w:val="30"/>
        </w:rPr>
        <w:t>1. Executive Technical Summary</w:t>
      </w:r>
    </w:p>
    <w:p>
      <w:pPr>
        <w:spacing w:after="120"/>
      </w:pPr>
      <w:r>
        <w:t>FaceIT is an enterprise-grade mobile health-intelligence system engineered to perform automated clinical skin diagnostics, live cosmetic chemical safety verification, and transparent generic medicine price discovery on low-spec edge devices. Built on a clean microservice architecture, FaceIT couples a 60fps Flutter cross-platform mobile client with an asynchronous FastAPI/Python backend, leveraging an enterprise 5-tier Gemini LLM fallback cascade and local neural networks (PyTorch) to ensure 99.9% uptime, edge fault tolerance, and zero medical hallucination.</w:t>
      </w:r>
    </w:p>
    <w:p>
      <w:pPr>
        <w:spacing w:before="280" w:after="80"/>
      </w:pPr>
      <w:r>
        <w:rPr>
          <w:rFonts w:ascii="Calibri" w:hAnsi="Calibri"/>
          <w:b/>
          <w:color w:val="0F172A"/>
          <w:sz w:val="30"/>
        </w:rPr>
        <w:t>2. End-to-End Technology Stack Breakdown</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3312"/>
        <w:gridCol w:w="3312"/>
        <w:gridCol w:w="3312"/>
      </w:tblGrid>
      <w:tr>
        <w:tc>
          <w:tcPr>
            <w:tcW w:type="dxa" w:w="3312"/>
            <w:shd w:fill="0F172A"/>
            <w:tcMar>
              <w:top w:w="140" w:type="dxa"/>
              <w:bottom w:w="140" w:type="dxa"/>
              <w:left w:w="140" w:type="dxa"/>
              <w:right w:w="140" w:type="dxa"/>
            </w:tcMar>
          </w:tcPr>
          <w:p>
            <w:r>
              <w:rPr>
                <w:b/>
                <w:color w:val="FFFFFF"/>
                <w:sz w:val="19"/>
              </w:rPr>
              <w:t>Layer / Component</w:t>
            </w:r>
          </w:p>
        </w:tc>
        <w:tc>
          <w:tcPr>
            <w:tcW w:type="dxa" w:w="3312"/>
            <w:shd w:fill="0F172A"/>
            <w:tcMar>
              <w:top w:w="140" w:type="dxa"/>
              <w:bottom w:w="140" w:type="dxa"/>
              <w:left w:w="140" w:type="dxa"/>
              <w:right w:w="140" w:type="dxa"/>
            </w:tcMar>
          </w:tcPr>
          <w:p>
            <w:r>
              <w:rPr>
                <w:b/>
                <w:color w:val="FFFFFF"/>
                <w:sz w:val="19"/>
              </w:rPr>
              <w:t>Technology / Framework</w:t>
            </w:r>
          </w:p>
        </w:tc>
        <w:tc>
          <w:tcPr>
            <w:tcW w:type="dxa" w:w="3312"/>
            <w:shd w:fill="0F172A"/>
            <w:tcMar>
              <w:top w:w="140" w:type="dxa"/>
              <w:bottom w:w="140" w:type="dxa"/>
              <w:left w:w="140" w:type="dxa"/>
              <w:right w:w="140" w:type="dxa"/>
            </w:tcMar>
          </w:tcPr>
          <w:p>
            <w:r>
              <w:rPr>
                <w:b/>
                <w:color w:val="FFFFFF"/>
                <w:sz w:val="19"/>
              </w:rPr>
              <w:t>Engineering Rationale &amp; Functional Role</w:t>
            </w:r>
          </w:p>
        </w:tc>
      </w:tr>
      <w:tr>
        <w:tc>
          <w:tcPr>
            <w:tcW w:type="dxa" w:w="3312"/>
            <w:shd w:fill="FFFFFF"/>
            <w:tcMar>
              <w:top w:w="120" w:type="dxa"/>
              <w:bottom w:w="120" w:type="dxa"/>
              <w:left w:w="140" w:type="dxa"/>
              <w:right w:w="140" w:type="dxa"/>
            </w:tcMar>
          </w:tcPr>
          <w:p>
            <w:r>
              <w:rPr>
                <w:b/>
                <w:color w:val="0F172A"/>
                <w:sz w:val="18"/>
              </w:rPr>
              <w:t>Mobile Client (Frontend)</w:t>
            </w:r>
          </w:p>
        </w:tc>
        <w:tc>
          <w:tcPr>
            <w:tcW w:type="dxa" w:w="3312"/>
            <w:shd w:fill="FFFFFF"/>
            <w:tcMar>
              <w:top w:w="120" w:type="dxa"/>
              <w:bottom w:w="120" w:type="dxa"/>
              <w:left w:w="140" w:type="dxa"/>
              <w:right w:w="140" w:type="dxa"/>
            </w:tcMar>
          </w:tcPr>
          <w:p>
            <w:r>
              <w:rPr>
                <w:b/>
                <w:color w:val="0284C7"/>
                <w:sz w:val="18"/>
              </w:rPr>
              <w:t>Flutter 3.x / Dart (Cross-Platform Android &amp; iOS)</w:t>
            </w:r>
          </w:p>
        </w:tc>
        <w:tc>
          <w:tcPr>
            <w:tcW w:type="dxa" w:w="3312"/>
            <w:shd w:fill="FFFFFF"/>
            <w:tcMar>
              <w:top w:w="120" w:type="dxa"/>
              <w:bottom w:w="120" w:type="dxa"/>
              <w:left w:w="140" w:type="dxa"/>
              <w:right w:w="140" w:type="dxa"/>
            </w:tcMar>
          </w:tcPr>
          <w:p>
            <w:r>
              <w:rPr>
                <w:color w:val="334155"/>
                <w:sz w:val="18"/>
              </w:rPr>
              <w:t>Provides reactive 60fps hardware-accelerated UI, hardware camera streaming, high-resolution canvas painting, and native platform channels.</w:t>
            </w:r>
          </w:p>
        </w:tc>
      </w:tr>
      <w:tr>
        <w:tc>
          <w:tcPr>
            <w:tcW w:type="dxa" w:w="3312"/>
            <w:shd w:fill="F8FAFC"/>
            <w:tcMar>
              <w:top w:w="120" w:type="dxa"/>
              <w:bottom w:w="120" w:type="dxa"/>
              <w:left w:w="140" w:type="dxa"/>
              <w:right w:w="140" w:type="dxa"/>
            </w:tcMar>
          </w:tcPr>
          <w:p>
            <w:r>
              <w:rPr>
                <w:b/>
                <w:color w:val="0F172A"/>
                <w:sz w:val="18"/>
              </w:rPr>
              <w:t>Backend Web Framework</w:t>
            </w:r>
          </w:p>
        </w:tc>
        <w:tc>
          <w:tcPr>
            <w:tcW w:type="dxa" w:w="3312"/>
            <w:shd w:fill="F8FAFC"/>
            <w:tcMar>
              <w:top w:w="120" w:type="dxa"/>
              <w:bottom w:w="120" w:type="dxa"/>
              <w:left w:w="140" w:type="dxa"/>
              <w:right w:w="140" w:type="dxa"/>
            </w:tcMar>
          </w:tcPr>
          <w:p>
            <w:r>
              <w:rPr>
                <w:b/>
                <w:color w:val="0284C7"/>
                <w:sz w:val="18"/>
              </w:rPr>
              <w:t>FastAPI (Python 3.12, AsyncIO)</w:t>
            </w:r>
          </w:p>
        </w:tc>
        <w:tc>
          <w:tcPr>
            <w:tcW w:type="dxa" w:w="3312"/>
            <w:shd w:fill="F8FAFC"/>
            <w:tcMar>
              <w:top w:w="120" w:type="dxa"/>
              <w:bottom w:w="120" w:type="dxa"/>
              <w:left w:w="140" w:type="dxa"/>
              <w:right w:w="140" w:type="dxa"/>
            </w:tcMar>
          </w:tcPr>
          <w:p>
            <w:r>
              <w:rPr>
                <w:color w:val="334155"/>
                <w:sz w:val="18"/>
              </w:rPr>
              <w:t>High-performance asynchronous REST API supporting asynchronous thread executors (run_in_executor) to execute non-blocking ML inference without stalling network threads.</w:t>
            </w:r>
          </w:p>
        </w:tc>
      </w:tr>
      <w:tr>
        <w:tc>
          <w:tcPr>
            <w:tcW w:type="dxa" w:w="3312"/>
            <w:shd w:fill="FFFFFF"/>
            <w:tcMar>
              <w:top w:w="120" w:type="dxa"/>
              <w:bottom w:w="120" w:type="dxa"/>
              <w:left w:w="140" w:type="dxa"/>
              <w:right w:w="140" w:type="dxa"/>
            </w:tcMar>
          </w:tcPr>
          <w:p>
            <w:r>
              <w:rPr>
                <w:b/>
                <w:color w:val="0F172A"/>
                <w:sz w:val="18"/>
              </w:rPr>
              <w:t>Multimodal Vision &amp; AI Reasoning</w:t>
            </w:r>
          </w:p>
        </w:tc>
        <w:tc>
          <w:tcPr>
            <w:tcW w:type="dxa" w:w="3312"/>
            <w:shd w:fill="FFFFFF"/>
            <w:tcMar>
              <w:top w:w="120" w:type="dxa"/>
              <w:bottom w:w="120" w:type="dxa"/>
              <w:left w:w="140" w:type="dxa"/>
              <w:right w:w="140" w:type="dxa"/>
            </w:tcMar>
          </w:tcPr>
          <w:p>
            <w:r>
              <w:rPr>
                <w:b/>
                <w:color w:val="0284C7"/>
                <w:sz w:val="18"/>
              </w:rPr>
              <w:t>Google GenAI SDK (Gemini Flash Lite Cascade)</w:t>
            </w:r>
          </w:p>
        </w:tc>
        <w:tc>
          <w:tcPr>
            <w:tcW w:type="dxa" w:w="3312"/>
            <w:shd w:fill="FFFFFF"/>
            <w:tcMar>
              <w:top w:w="120" w:type="dxa"/>
              <w:bottom w:w="120" w:type="dxa"/>
              <w:left w:w="140" w:type="dxa"/>
              <w:right w:w="140" w:type="dxa"/>
            </w:tcMar>
          </w:tcPr>
          <w:p>
            <w:r>
              <w:rPr>
                <w:color w:val="334155"/>
                <w:sz w:val="18"/>
              </w:rPr>
              <w:t>Interprets visual front-facing facial photos and complex INCI chemical labels. Employs prompt engineering with domain guardrails (Dermatologist/Nutritionist/Trichologist).</w:t>
            </w:r>
          </w:p>
        </w:tc>
      </w:tr>
      <w:tr>
        <w:tc>
          <w:tcPr>
            <w:tcW w:type="dxa" w:w="3312"/>
            <w:shd w:fill="F8FAFC"/>
            <w:tcMar>
              <w:top w:w="120" w:type="dxa"/>
              <w:bottom w:w="120" w:type="dxa"/>
              <w:left w:w="140" w:type="dxa"/>
              <w:right w:w="140" w:type="dxa"/>
            </w:tcMar>
          </w:tcPr>
          <w:p>
            <w:r>
              <w:rPr>
                <w:b/>
                <w:color w:val="0F172A"/>
                <w:sz w:val="18"/>
              </w:rPr>
              <w:t>Computer Vision &amp; Local Deep Learning</w:t>
            </w:r>
          </w:p>
        </w:tc>
        <w:tc>
          <w:tcPr>
            <w:tcW w:type="dxa" w:w="3312"/>
            <w:shd w:fill="F8FAFC"/>
            <w:tcMar>
              <w:top w:w="120" w:type="dxa"/>
              <w:bottom w:w="120" w:type="dxa"/>
              <w:left w:w="140" w:type="dxa"/>
              <w:right w:w="140" w:type="dxa"/>
            </w:tcMar>
          </w:tcPr>
          <w:p>
            <w:r>
              <w:rPr>
                <w:b/>
                <w:color w:val="0284C7"/>
                <w:sz w:val="18"/>
              </w:rPr>
              <w:t>PyTorch (Torchvision, PIL, ImageNet Normalization)</w:t>
            </w:r>
          </w:p>
        </w:tc>
        <w:tc>
          <w:tcPr>
            <w:tcW w:type="dxa" w:w="3312"/>
            <w:shd w:fill="F8FAFC"/>
            <w:tcMar>
              <w:top w:w="120" w:type="dxa"/>
              <w:bottom w:w="120" w:type="dxa"/>
              <w:left w:w="140" w:type="dxa"/>
              <w:right w:w="140" w:type="dxa"/>
            </w:tcMar>
          </w:tcPr>
          <w:p>
            <w:r>
              <w:rPr>
                <w:color w:val="334155"/>
                <w:sz w:val="18"/>
              </w:rPr>
              <w:t>On-device image preprocessing (224x224 transforms, tensor normalization, model.eval() inference) for deterministic dermatological classification.</w:t>
            </w:r>
          </w:p>
        </w:tc>
      </w:tr>
      <w:tr>
        <w:tc>
          <w:tcPr>
            <w:tcW w:type="dxa" w:w="3312"/>
            <w:shd w:fill="FFFFFF"/>
            <w:tcMar>
              <w:top w:w="120" w:type="dxa"/>
              <w:bottom w:w="120" w:type="dxa"/>
              <w:left w:w="140" w:type="dxa"/>
              <w:right w:w="140" w:type="dxa"/>
            </w:tcMar>
          </w:tcPr>
          <w:p>
            <w:r>
              <w:rPr>
                <w:b/>
                <w:color w:val="0F172A"/>
                <w:sz w:val="18"/>
              </w:rPr>
              <w:t>Data Persistence &amp; Storage</w:t>
            </w:r>
          </w:p>
        </w:tc>
        <w:tc>
          <w:tcPr>
            <w:tcW w:type="dxa" w:w="3312"/>
            <w:shd w:fill="FFFFFF"/>
            <w:tcMar>
              <w:top w:w="120" w:type="dxa"/>
              <w:bottom w:w="120" w:type="dxa"/>
              <w:left w:w="140" w:type="dxa"/>
              <w:right w:w="140" w:type="dxa"/>
            </w:tcMar>
          </w:tcPr>
          <w:p>
            <w:r>
              <w:rPr>
                <w:b/>
                <w:color w:val="0284C7"/>
                <w:sz w:val="18"/>
              </w:rPr>
              <w:t>SQLAlchemy ORM + SQLite3 / PostgreSQL</w:t>
            </w:r>
          </w:p>
        </w:tc>
        <w:tc>
          <w:tcPr>
            <w:tcW w:type="dxa" w:w="3312"/>
            <w:shd w:fill="FFFFFF"/>
            <w:tcMar>
              <w:top w:w="120" w:type="dxa"/>
              <w:bottom w:w="120" w:type="dxa"/>
              <w:left w:w="140" w:type="dxa"/>
              <w:right w:w="140" w:type="dxa"/>
            </w:tcMar>
          </w:tcPr>
          <w:p>
            <w:r>
              <w:rPr>
                <w:color w:val="334155"/>
                <w:sz w:val="18"/>
              </w:rPr>
              <w:t>Relational persistence tracking facial history, clinical scores, streak XP metrics, and custom habit logs with automated DB schema migrations.</w:t>
            </w:r>
          </w:p>
        </w:tc>
      </w:tr>
      <w:tr>
        <w:tc>
          <w:tcPr>
            <w:tcW w:type="dxa" w:w="3312"/>
            <w:shd w:fill="F8FAFC"/>
            <w:tcMar>
              <w:top w:w="120" w:type="dxa"/>
              <w:bottom w:w="120" w:type="dxa"/>
              <w:left w:w="140" w:type="dxa"/>
              <w:right w:w="140" w:type="dxa"/>
            </w:tcMar>
          </w:tcPr>
          <w:p>
            <w:r>
              <w:rPr>
                <w:b/>
                <w:color w:val="0F172A"/>
                <w:sz w:val="18"/>
              </w:rPr>
              <w:t>Public Health Integration</w:t>
            </w:r>
          </w:p>
        </w:tc>
        <w:tc>
          <w:tcPr>
            <w:tcW w:type="dxa" w:w="3312"/>
            <w:shd w:fill="F8FAFC"/>
            <w:tcMar>
              <w:top w:w="120" w:type="dxa"/>
              <w:bottom w:w="120" w:type="dxa"/>
              <w:left w:w="140" w:type="dxa"/>
              <w:right w:w="140" w:type="dxa"/>
            </w:tcMar>
          </w:tcPr>
          <w:p>
            <w:r>
              <w:rPr>
                <w:b/>
                <w:color w:val="0284C7"/>
                <w:sz w:val="18"/>
              </w:rPr>
              <w:t>PMBJP (Jan Aushadhi) Drug Catalog + E-Pharmacies</w:t>
            </w:r>
          </w:p>
        </w:tc>
        <w:tc>
          <w:tcPr>
            <w:tcW w:type="dxa" w:w="3312"/>
            <w:shd w:fill="F8FAFC"/>
            <w:tcMar>
              <w:top w:w="120" w:type="dxa"/>
              <w:bottom w:w="120" w:type="dxa"/>
              <w:left w:w="140" w:type="dxa"/>
              <w:right w:w="140" w:type="dxa"/>
            </w:tcMar>
          </w:tcPr>
          <w:p>
            <w:r>
              <w:rPr>
                <w:color w:val="334155"/>
                <w:sz w:val="18"/>
              </w:rPr>
              <w:t>Curated Indian dermatological salt-to-generic pricing catalog mapped against live commercial platforms (Tata 1mg, PharmEasy, Apollo 24/7, Netmeds, Truemeds).</w:t>
            </w:r>
          </w:p>
        </w:tc>
      </w:tr>
      <w:tr>
        <w:tc>
          <w:tcPr>
            <w:tcW w:type="dxa" w:w="3312"/>
            <w:shd w:fill="FFFFFF"/>
            <w:tcMar>
              <w:top w:w="120" w:type="dxa"/>
              <w:bottom w:w="120" w:type="dxa"/>
              <w:left w:w="140" w:type="dxa"/>
              <w:right w:w="140" w:type="dxa"/>
            </w:tcMar>
          </w:tcPr>
          <w:p>
            <w:r>
              <w:rPr>
                <w:b/>
                <w:color w:val="0F172A"/>
                <w:sz w:val="18"/>
              </w:rPr>
              <w:t>Geolocation &amp; Doctor Discovery</w:t>
            </w:r>
          </w:p>
        </w:tc>
        <w:tc>
          <w:tcPr>
            <w:tcW w:type="dxa" w:w="3312"/>
            <w:shd w:fill="FFFFFF"/>
            <w:tcMar>
              <w:top w:w="120" w:type="dxa"/>
              <w:bottom w:w="120" w:type="dxa"/>
              <w:left w:w="140" w:type="dxa"/>
              <w:right w:w="140" w:type="dxa"/>
            </w:tcMar>
          </w:tcPr>
          <w:p>
            <w:r>
              <w:rPr>
                <w:b/>
                <w:color w:val="0284C7"/>
                <w:sz w:val="18"/>
              </w:rPr>
              <w:t>Google Places API &amp; Geo-Coordinates</w:t>
            </w:r>
          </w:p>
        </w:tc>
        <w:tc>
          <w:tcPr>
            <w:tcW w:type="dxa" w:w="3312"/>
            <w:shd w:fill="FFFFFF"/>
            <w:tcMar>
              <w:top w:w="120" w:type="dxa"/>
              <w:bottom w:w="120" w:type="dxa"/>
              <w:left w:w="140" w:type="dxa"/>
              <w:right w:w="140" w:type="dxa"/>
            </w:tcMar>
          </w:tcPr>
          <w:p>
            <w:r>
              <w:rPr>
                <w:color w:val="334155"/>
                <w:sz w:val="18"/>
              </w:rPr>
              <w:t>Automated spatial query engine locating verified dermatologists, hospitals, and PMBJP Kendras with real-time distance, ratings, and navigation.</w:t>
            </w:r>
          </w:p>
        </w:tc>
      </w:tr>
    </w:tbl>
    <w:p>
      <w:pPr>
        <w:spacing w:after="160"/>
      </w:pPr>
    </w:p>
    <w:p>
      <w:pPr>
        <w:spacing w:before="280" w:after="80"/>
      </w:pPr>
      <w:r>
        <w:rPr>
          <w:rFonts w:ascii="Calibri" w:hAnsi="Calibri"/>
          <w:b/>
          <w:color w:val="0F172A"/>
          <w:sz w:val="30"/>
        </w:rPr>
        <w:t>3. System Architecture &amp; Dataflow Diagram</w:t>
      </w:r>
    </w:p>
    <w:p>
      <w:pPr>
        <w:spacing w:after="120"/>
      </w:pPr>
      <w:r>
        <w:t>FaceIT is structured around a 4-Tier Enterprise Architecture: (1) Client Presentation Layer, (2) API Gateway &amp; Security Filter, (3) Asynchronous Microservices &amp; Intelligence Engine, and (4) Persistence &amp; Public Health Integration Layer.</w:t>
      </w:r>
    </w:p>
    <w:tbl>
      <w:tblPr>
        <w:tblW w:type="auto" w:w="0"/>
        <w:jc w:val="center"/>
        <w:tblLook w:firstColumn="1" w:firstRow="1" w:lastColumn="0" w:lastRow="0" w:noHBand="0" w:noVBand="1" w:val="04A0"/>
      </w:tblPr>
      <w:tblGrid>
        <w:gridCol w:w="9936"/>
      </w:tblGrid>
      <w:tr>
        <w:tc>
          <w:tcPr>
            <w:tcW w:type="dxa" w:w="9936"/>
            <w:shd w:fill="0F172A"/>
            <w:tcMar>
              <w:top w:w="160" w:type="dxa"/>
              <w:bottom w:w="160" w:type="dxa"/>
              <w:left w:w="180" w:type="dxa"/>
              <w:right w:w="180" w:type="dxa"/>
            </w:tcMar>
          </w:tcPr>
          <w:p>
            <w:pPr>
              <w:spacing w:before="0" w:after="0"/>
            </w:pPr>
            <w:r>
              <w:rPr>
                <w:rFonts w:ascii="Consolas" w:hAnsi="Consolas"/>
                <w:color w:val="38BDF8"/>
                <w:sz w:val="15"/>
              </w:rPr>
              <w:t>+-------------------------------------------------------------------------------+</w:t>
              <w:br/>
              <w:t>|                       TIER 1: CLIENT PRESENTATION (FLUTTER)                   |</w:t>
              <w:br/>
              <w:t>|  [Camera Scanner]  [CustomPaint Gauges]  [Mascot Physics]  [Med Price Sorter] |</w:t>
              <w:br/>
              <w:t>+---------------------------------------+---------------------------------------+</w:t>
              <w:br/>
              <w:t xml:space="preserve">                                        | HTTPS / JSON (Encrypted Payloads)</w:t>
              <w:br/>
              <w:t xml:space="preserve">                                        v</w:t>
              <w:br/>
              <w:t>+-------------------------------------------------------------------------------+</w:t>
              <w:br/>
              <w:t>|                      TIER 2: API GATEWAY &amp; RESILIENCE ROUTER                  |</w:t>
              <w:br/>
              <w:t>|  FastAPI Async Middleware | CORS Headers | Global Exception Recovery Handler  |</w:t>
              <w:br/>
              <w:t>+-------------------+-----------------------------------+-----------------------+</w:t>
              <w:br/>
              <w:t xml:space="preserve">                    |                                   |</w:t>
              <w:br/>
              <w:t xml:space="preserve">                    v                                   v</w:t>
              <w:br/>
              <w:t>+---------------------------------------+   +-----------------------------------+</w:t>
              <w:br/>
              <w:t>|     TIER 3A: AI INFERENCE ENGINE      |   |  TIER 3B: PUBLIC HEALTH DISRUPTER |</w:t>
              <w:br/>
              <w:t>|  - Gemini 5-Tier Fallback Cascade     |   |  - Med Catalog Salt Mapper        |</w:t>
              <w:br/>
              <w:t>|    (Flash-Lite -&gt; 3.1 -&gt; 3.5 -&gt; 3.6)  |   |  - PMBJP Jan Aushadhi Matcher     |</w:t>
              <w:br/>
              <w:t>|  - On-Device PyTorch (model.eval())   |   |  - Live E-Pharmacy Price Sorter   |</w:t>
              <w:br/>
              <w:t>|  - Local Regex Bio-Chemical Fallback  |   |  - Google Places Doctor Locator   |</w:t>
              <w:br/>
              <w:t>+-------------------+-------------------+   +-------------------+---------------+</w:t>
              <w:br/>
              <w:t xml:space="preserve">                    |                                       |</w:t>
              <w:br/>
              <w:t xml:space="preserve">                    +-------------------+-------------------+</w:t>
              <w:br/>
              <w:t xml:space="preserve">                                        |</w:t>
              <w:br/>
              <w:t xml:space="preserve">                                        v</w:t>
              <w:br/>
              <w:t>+-------------------------------------------------------------------------------+</w:t>
              <w:br/>
              <w:t>|                 TIER 4: PERSISTENCE &amp; GOVERNMENT KNOWLEDGE BASE               |</w:t>
              <w:br/>
              <w:t>|   SQLite3 / SQLAlchemy ORM   |   PMBJP National Drug DB   |   OpenFoodFacts   |</w:t>
              <w:br/>
              <w:t>+-------------------------------------------------------------------------------+</w:t>
            </w:r>
          </w:p>
        </w:tc>
      </w:tr>
    </w:tbl>
    <w:p>
      <w:pPr>
        <w:spacing w:after="160"/>
      </w:pPr>
    </w:p>
    <w:p>
      <w:pPr>
        <w:spacing w:before="280" w:after="80"/>
      </w:pPr>
      <w:r>
        <w:rPr>
          <w:rFonts w:ascii="Calibri" w:hAnsi="Calibri"/>
          <w:b/>
          <w:color w:val="0F172A"/>
          <w:sz w:val="30"/>
        </w:rPr>
        <w:t>4. Detailed User Flowcharts &amp; Interaction Sequences</w:t>
      </w:r>
    </w:p>
    <w:p>
      <w:pPr>
        <w:spacing w:before="120" w:after="40"/>
      </w:pPr>
      <w:r>
        <w:rPr>
          <w:b/>
          <w:color w:val="0284C7"/>
          <w:sz w:val="23"/>
        </w:rPr>
        <w:t>Flow 1: Clinical Facial Analysis &amp; Barrier Assessment</w:t>
      </w:r>
    </w:p>
    <w:p>
      <w:pPr>
        <w:spacing w:after="80"/>
      </w:pPr>
      <w:r>
        <w:t>1. User initiates Front-Facing Camera from FaceIT Home.</w:t>
        <w:br/>
        <w:t>2. Capture Validation: Verifies uniform lighting and orientation; streams binary payload to /analyze-face.</w:t>
        <w:br/>
        <w:t>3. First-Gate Verification: AI determines if a clear human face is present (if blurred, immediately prompts retake).</w:t>
        <w:br/>
        <w:t>4. Clinical Computation: Multimodal model calculates objective Skin Health Score (0-100%), classifies Skin Type (Oily/Dry/Combo/Sensitive), isolates active acne zones, texture uniformity, and redness index.</w:t>
        <w:br/>
        <w:t>5. Dynamic UI Rendering: Results populated with animated CustomPaint radial gauges, non-clipping symptom cards, and daily tailored routine recommendations.</w:t>
        <w:br/>
        <w:t>6. Escalation Check: If Grade 3/4 cystic outbreak is detected, auto-initiates Doctor Radar.</w:t>
      </w:r>
    </w:p>
    <w:p>
      <w:pPr>
        <w:spacing w:before="120" w:after="40"/>
      </w:pPr>
      <w:r>
        <w:rPr>
          <w:b/>
          <w:color w:val="0284C7"/>
          <w:sz w:val="23"/>
        </w:rPr>
        <w:t>Flow 2: Med Scanner &amp; Janaushadhi Price Disruption</w:t>
      </w:r>
    </w:p>
    <w:p>
      <w:pPr>
        <w:spacing w:after="80"/>
      </w:pPr>
      <w:r>
        <w:t>1. User scans medicine packaging/prescription or types trade name (e.g. 'Clindac-A').</w:t>
        <w:br/>
        <w:t>2. Salt Extraction: Backend normalizes trade name into active biochemical formula ('Clindamycin 1% + Nicotinamide 4%').</w:t>
        <w:br/>
        <w:t>3. National Catalog Query: Queries PMBJP database to locate government generic equivalent ('PMBJP-DERM-0142').</w:t>
        <w:br/>
        <w:t>4. Transparent Price Ranking: Calculates exact financial savings (e.g., MRP Rs 260 -&gt; Jan Aushadhi Rs 35, 86.5% savings).</w:t>
        <w:br/>
        <w:t>5. Multi-Platform Market Comparison: Sorts live e-pharmacy options (Truemeds, PharmEasy, 1mg, Netmeds, Apollo) from lowest to highest for non-generic shoppers.</w:t>
        <w:br/>
        <w:t>6. Direct Access: Provides 1-tap direct navigation link to the official PMBJP Kendra locator portal.</w:t>
      </w:r>
    </w:p>
    <w:p>
      <w:pPr>
        <w:spacing w:before="120" w:after="40"/>
      </w:pPr>
      <w:r>
        <w:rPr>
          <w:b/>
          <w:color w:val="0284C7"/>
          <w:sz w:val="23"/>
        </w:rPr>
        <w:t>Flow 3: 3-Lens Ingredient Safety Verification</w:t>
      </w:r>
    </w:p>
    <w:p>
      <w:pPr>
        <w:spacing w:after="80"/>
      </w:pPr>
      <w:r>
        <w:t>1. User photographs cosmetic/packaged food ingredient list or scans product barcode (2.5M+ products).</w:t>
        <w:br/>
        <w:t>2. Text Parsing: High-accuracy OCR &amp; LLM Vision extracts complex chemical INCI compounds.</w:t>
        <w:br/>
        <w:t>3. Tri-Domain Evaluation: Analyzes chemical interactions across (a) Dermatologist Mode (comedogenicity &amp; barrier toxicity), (b) Clinical Nutritionist Mode (endocrine disruptors &amp; artificial additives), and (c) Trichologist Mode (sulfates &amp; scalp follicle choking).</w:t>
        <w:br/>
        <w:t>4. Grade Scoring: Generates instant 4-tier Safety Grade (A+ / B / C / F) with color-coded safety badges.</w:t>
      </w:r>
    </w:p>
    <w:p>
      <w:pPr>
        <w:spacing w:before="120" w:after="40"/>
      </w:pPr>
      <w:r>
        <w:rPr>
          <w:b/>
          <w:color w:val="0284C7"/>
          <w:sz w:val="23"/>
        </w:rPr>
        <w:t>Flow 4: Behavioral Adherence &amp; Loss-Aversion Mascot</w:t>
      </w:r>
    </w:p>
    <w:p>
      <w:pPr>
        <w:spacing w:after="80"/>
      </w:pPr>
      <w:r>
        <w:t>1. Daily Notification triggers morning check-in.</w:t>
        <w:br/>
        <w:t>2. User logs completed habits (Cleanser, Barrier Cream, Broad-Spectrum SPF 50, Generic Topicals).</w:t>
        <w:br/>
        <w:t>3. State Update: Completing tasks triggers 'Glow XP' points and increments daily streak counter.</w:t>
        <w:br/>
        <w:t>4. Mascot Physics: Animated Mascot updates state dynamically (Zen/Hyped when routine is finished; Anxious/Heartbroken when streak is at risk).</w:t>
        <w:br/>
        <w:t>5. Retention Hook: Loss-aversion streak preservation drives daily app usage, preventing the 65% dermatological treatment abandonment rate.</w:t>
      </w:r>
    </w:p>
    <w:p>
      <w:pPr>
        <w:spacing w:after="160"/>
      </w:pPr>
    </w:p>
    <w:p>
      <w:pPr>
        <w:spacing w:before="280" w:after="80"/>
      </w:pPr>
      <w:r>
        <w:rPr>
          <w:rFonts w:ascii="Calibri" w:hAnsi="Calibri"/>
          <w:b/>
          <w:color w:val="0F172A"/>
          <w:sz w:val="30"/>
        </w:rPr>
        <w:t>5. Key Technical &amp; Clinical Terminology Glossary</w:t>
      </w:r>
    </w:p>
    <w:tbl>
      <w:tblPr>
        <w:tblW w:type="auto" w:w="0"/>
        <w:jc w:val="center"/>
        <w:tblLook w:firstColumn="1" w:firstRow="1" w:lastColumn="0" w:lastRow="0" w:noHBand="0" w:noVBand="1" w:val="04A0"/>
        <w:tblBorders>
          <w:top w:val="single" w:sz="4" w:space="0" w:color="D1D5DB"/>
          <w:bottom w:val="single" w:sz="4" w:space="0" w:color="D1D5DB"/>
          <w:left w:val="none"/>
          <w:right w:val="none"/>
          <w:insideH w:val="single" w:sz="4" w:space="0" w:color="D1D5DB"/>
          <w:insideV w:val="none"/>
        </w:tblBorders>
      </w:tblPr>
      <w:tblGrid>
        <w:gridCol w:w="4968"/>
        <w:gridCol w:w="4968"/>
      </w:tblGrid>
      <w:tr>
        <w:tc>
          <w:tcPr>
            <w:tcW w:type="dxa" w:w="3312"/>
            <w:shd w:fill="0F172A"/>
            <w:tcMar>
              <w:top w:w="140" w:type="dxa"/>
              <w:bottom w:w="140" w:type="dxa"/>
              <w:left w:w="140" w:type="dxa"/>
              <w:right w:w="140" w:type="dxa"/>
            </w:tcMar>
          </w:tcPr>
          <w:p>
            <w:r>
              <w:rPr>
                <w:b/>
                <w:color w:val="FFFFFF"/>
                <w:sz w:val="19"/>
              </w:rPr>
              <w:t>Terminology / Acronym</w:t>
            </w:r>
          </w:p>
        </w:tc>
        <w:tc>
          <w:tcPr>
            <w:tcW w:type="dxa" w:w="6624"/>
            <w:shd w:fill="0F172A"/>
            <w:tcMar>
              <w:top w:w="140" w:type="dxa"/>
              <w:bottom w:w="140" w:type="dxa"/>
              <w:left w:w="140" w:type="dxa"/>
              <w:right w:w="140" w:type="dxa"/>
            </w:tcMar>
          </w:tcPr>
          <w:p>
            <w:r>
              <w:rPr>
                <w:b/>
                <w:color w:val="FFFFFF"/>
                <w:sz w:val="19"/>
              </w:rPr>
              <w:t>Technical Definition &amp; Clinical Application</w:t>
            </w:r>
          </w:p>
        </w:tc>
      </w:tr>
      <w:tr>
        <w:tc>
          <w:tcPr>
            <w:tcW w:type="dxa" w:w="3312"/>
            <w:shd w:fill="FFFFFF"/>
            <w:tcMar>
              <w:top w:w="100" w:type="dxa"/>
              <w:bottom w:w="100" w:type="dxa"/>
              <w:left w:w="120" w:type="dxa"/>
              <w:right w:w="120" w:type="dxa"/>
            </w:tcMar>
          </w:tcPr>
          <w:p>
            <w:r>
              <w:rPr>
                <w:b/>
                <w:color w:val="0284C7"/>
                <w:sz w:val="18"/>
              </w:rPr>
              <w:t>Skin Health Score (SHS)</w:t>
            </w:r>
          </w:p>
        </w:tc>
        <w:tc>
          <w:tcPr>
            <w:tcW w:type="dxa" w:w="6624"/>
            <w:shd w:fill="FFFFFF"/>
            <w:tcMar>
              <w:top w:w="100" w:type="dxa"/>
              <w:bottom w:w="100" w:type="dxa"/>
              <w:left w:w="120" w:type="dxa"/>
              <w:right w:w="120" w:type="dxa"/>
            </w:tcMar>
          </w:tcPr>
          <w:p>
            <w:r>
              <w:rPr>
                <w:color w:val="334155"/>
                <w:sz w:val="17"/>
              </w:rPr>
              <w:t>An objective composite clinical index (0-100) computed by evaluating epidermal barrier integrity, active follicular inflammation, sebum saturation, and pore clarity without subjective aesthetic bias.</w:t>
            </w:r>
          </w:p>
        </w:tc>
      </w:tr>
      <w:tr>
        <w:tc>
          <w:tcPr>
            <w:tcW w:type="dxa" w:w="3312"/>
            <w:shd w:fill="F8FAFC"/>
            <w:tcMar>
              <w:top w:w="100" w:type="dxa"/>
              <w:bottom w:w="100" w:type="dxa"/>
              <w:left w:w="120" w:type="dxa"/>
              <w:right w:w="120" w:type="dxa"/>
            </w:tcMar>
          </w:tcPr>
          <w:p>
            <w:r>
              <w:rPr>
                <w:b/>
                <w:color w:val="0284C7"/>
                <w:sz w:val="18"/>
              </w:rPr>
              <w:t>PMBJP (Jan Aushadhi Scheme)</w:t>
            </w:r>
          </w:p>
        </w:tc>
        <w:tc>
          <w:tcPr>
            <w:tcW w:type="dxa" w:w="6624"/>
            <w:shd w:fill="F8FAFC"/>
            <w:tcMar>
              <w:top w:w="100" w:type="dxa"/>
              <w:bottom w:w="100" w:type="dxa"/>
              <w:left w:w="120" w:type="dxa"/>
              <w:right w:w="120" w:type="dxa"/>
            </w:tcMar>
          </w:tcPr>
          <w:p>
            <w:r>
              <w:rPr>
                <w:color w:val="334155"/>
                <w:sz w:val="17"/>
              </w:rPr>
              <w:t>Pradhan Mantri Bhartiya Janaushadhi Pariyojana; a Government of India initiative providing WHO-GMP certified, high-potency generic drugs at 50% to 90% lower costs than branded pharmaceuticals.</w:t>
            </w:r>
          </w:p>
        </w:tc>
      </w:tr>
      <w:tr>
        <w:tc>
          <w:tcPr>
            <w:tcW w:type="dxa" w:w="3312"/>
            <w:shd w:fill="FFFFFF"/>
            <w:tcMar>
              <w:top w:w="100" w:type="dxa"/>
              <w:bottom w:w="100" w:type="dxa"/>
              <w:left w:w="120" w:type="dxa"/>
              <w:right w:w="120" w:type="dxa"/>
            </w:tcMar>
          </w:tcPr>
          <w:p>
            <w:r>
              <w:rPr>
                <w:b/>
                <w:color w:val="0284C7"/>
                <w:sz w:val="18"/>
              </w:rPr>
              <w:t>Active Pharmaceutical Ingredient (API / Salt)</w:t>
            </w:r>
          </w:p>
        </w:tc>
        <w:tc>
          <w:tcPr>
            <w:tcW w:type="dxa" w:w="6624"/>
            <w:shd w:fill="FFFFFF"/>
            <w:tcMar>
              <w:top w:w="100" w:type="dxa"/>
              <w:bottom w:w="100" w:type="dxa"/>
              <w:left w:w="120" w:type="dxa"/>
              <w:right w:w="120" w:type="dxa"/>
            </w:tcMar>
          </w:tcPr>
          <w:p>
            <w:r>
              <w:rPr>
                <w:color w:val="334155"/>
                <w:sz w:val="17"/>
              </w:rPr>
              <w:t>The biologically active chemical component in a drug responsible for therapeutic clinical action (e.g., Tretinoin, Adapalene, Clindamycin) as opposed to inactive binding excipients.</w:t>
            </w:r>
          </w:p>
        </w:tc>
      </w:tr>
      <w:tr>
        <w:tc>
          <w:tcPr>
            <w:tcW w:type="dxa" w:w="3312"/>
            <w:shd w:fill="F8FAFC"/>
            <w:tcMar>
              <w:top w:w="100" w:type="dxa"/>
              <w:bottom w:w="100" w:type="dxa"/>
              <w:left w:w="120" w:type="dxa"/>
              <w:right w:w="120" w:type="dxa"/>
            </w:tcMar>
          </w:tcPr>
          <w:p>
            <w:r>
              <w:rPr>
                <w:b/>
                <w:color w:val="0284C7"/>
                <w:sz w:val="18"/>
              </w:rPr>
              <w:t>INCI Nomenclature</w:t>
            </w:r>
          </w:p>
        </w:tc>
        <w:tc>
          <w:tcPr>
            <w:tcW w:type="dxa" w:w="6624"/>
            <w:shd w:fill="F8FAFC"/>
            <w:tcMar>
              <w:top w:w="100" w:type="dxa"/>
              <w:bottom w:w="100" w:type="dxa"/>
              <w:left w:w="120" w:type="dxa"/>
              <w:right w:w="120" w:type="dxa"/>
            </w:tcMar>
          </w:tcPr>
          <w:p>
            <w:r>
              <w:rPr>
                <w:color w:val="334155"/>
                <w:sz w:val="17"/>
              </w:rPr>
              <w:t>International Nomenclature of Cosmetic Ingredients; the international standardized scientific system for listing chemical components on personal care product packaging.</w:t>
            </w:r>
          </w:p>
        </w:tc>
      </w:tr>
      <w:tr>
        <w:tc>
          <w:tcPr>
            <w:tcW w:type="dxa" w:w="3312"/>
            <w:shd w:fill="FFFFFF"/>
            <w:tcMar>
              <w:top w:w="100" w:type="dxa"/>
              <w:bottom w:w="100" w:type="dxa"/>
              <w:left w:w="120" w:type="dxa"/>
              <w:right w:w="120" w:type="dxa"/>
            </w:tcMar>
          </w:tcPr>
          <w:p>
            <w:r>
              <w:rPr>
                <w:b/>
                <w:color w:val="0284C7"/>
                <w:sz w:val="18"/>
              </w:rPr>
              <w:t>Multimodal LLM Inference</w:t>
            </w:r>
          </w:p>
        </w:tc>
        <w:tc>
          <w:tcPr>
            <w:tcW w:type="dxa" w:w="6624"/>
            <w:shd w:fill="FFFFFF"/>
            <w:tcMar>
              <w:top w:w="100" w:type="dxa"/>
              <w:bottom w:w="100" w:type="dxa"/>
              <w:left w:w="120" w:type="dxa"/>
              <w:right w:w="120" w:type="dxa"/>
            </w:tcMar>
          </w:tcPr>
          <w:p>
            <w:r>
              <w:rPr>
                <w:color w:val="334155"/>
                <w:sz w:val="17"/>
              </w:rPr>
              <w:t>Artificial intelligence architectures capable of concurrently processing visual tensor inputs (photographs) alongside contextual text prompts to perform clinical reasoning.</w:t>
            </w:r>
          </w:p>
        </w:tc>
      </w:tr>
      <w:tr>
        <w:tc>
          <w:tcPr>
            <w:tcW w:type="dxa" w:w="3312"/>
            <w:shd w:fill="F8FAFC"/>
            <w:tcMar>
              <w:top w:w="100" w:type="dxa"/>
              <w:bottom w:w="100" w:type="dxa"/>
              <w:left w:w="120" w:type="dxa"/>
              <w:right w:w="120" w:type="dxa"/>
            </w:tcMar>
          </w:tcPr>
          <w:p>
            <w:r>
              <w:rPr>
                <w:b/>
                <w:color w:val="0284C7"/>
                <w:sz w:val="18"/>
              </w:rPr>
              <w:t>Model Cascade Pattern</w:t>
            </w:r>
          </w:p>
        </w:tc>
        <w:tc>
          <w:tcPr>
            <w:tcW w:type="dxa" w:w="6624"/>
            <w:shd w:fill="F8FAFC"/>
            <w:tcMar>
              <w:top w:w="100" w:type="dxa"/>
              <w:bottom w:w="100" w:type="dxa"/>
              <w:left w:w="120" w:type="dxa"/>
              <w:right w:w="120" w:type="dxa"/>
            </w:tcMar>
          </w:tcPr>
          <w:p>
            <w:r>
              <w:rPr>
                <w:color w:val="334155"/>
                <w:sz w:val="17"/>
              </w:rPr>
              <w:t>An enterprise backend resiliency pattern where requests automatically cycle through secondary and tertiary model tiers upon receiving API quota or capacity limits (e.g. 503/429 errors).</w:t>
            </w:r>
          </w:p>
        </w:tc>
      </w:tr>
      <w:tr>
        <w:tc>
          <w:tcPr>
            <w:tcW w:type="dxa" w:w="3312"/>
            <w:shd w:fill="FFFFFF"/>
            <w:tcMar>
              <w:top w:w="100" w:type="dxa"/>
              <w:bottom w:w="100" w:type="dxa"/>
              <w:left w:w="120" w:type="dxa"/>
              <w:right w:w="120" w:type="dxa"/>
            </w:tcMar>
          </w:tcPr>
          <w:p>
            <w:r>
              <w:rPr>
                <w:b/>
                <w:color w:val="0284C7"/>
                <w:sz w:val="18"/>
              </w:rPr>
              <w:t>Comedogenicity Index</w:t>
            </w:r>
          </w:p>
        </w:tc>
        <w:tc>
          <w:tcPr>
            <w:tcW w:type="dxa" w:w="6624"/>
            <w:shd w:fill="FFFFFF"/>
            <w:tcMar>
              <w:top w:w="100" w:type="dxa"/>
              <w:bottom w:w="100" w:type="dxa"/>
              <w:left w:w="120" w:type="dxa"/>
              <w:right w:w="120" w:type="dxa"/>
            </w:tcMar>
          </w:tcPr>
          <w:p>
            <w:r>
              <w:rPr>
                <w:color w:val="334155"/>
                <w:sz w:val="17"/>
              </w:rPr>
              <w:t>A clinical grading scale (0 to 5) indicating the propensity of a lipid or cosmetic compound to clog skin pores and induce comedone formation (blackheads and whiteheads).</w:t>
            </w:r>
          </w:p>
        </w:tc>
      </w:tr>
      <w:tr>
        <w:tc>
          <w:tcPr>
            <w:tcW w:type="dxa" w:w="3312"/>
            <w:shd w:fill="F8FAFC"/>
            <w:tcMar>
              <w:top w:w="100" w:type="dxa"/>
              <w:bottom w:w="100" w:type="dxa"/>
              <w:left w:w="120" w:type="dxa"/>
              <w:right w:w="120" w:type="dxa"/>
            </w:tcMar>
          </w:tcPr>
          <w:p>
            <w:r>
              <w:rPr>
                <w:b/>
                <w:color w:val="0284C7"/>
                <w:sz w:val="18"/>
              </w:rPr>
              <w:t>Endocrine Disruptor</w:t>
            </w:r>
          </w:p>
        </w:tc>
        <w:tc>
          <w:tcPr>
            <w:tcW w:type="dxa" w:w="6624"/>
            <w:shd w:fill="F8FAFC"/>
            <w:tcMar>
              <w:top w:w="100" w:type="dxa"/>
              <w:bottom w:w="100" w:type="dxa"/>
              <w:left w:w="120" w:type="dxa"/>
              <w:right w:w="120" w:type="dxa"/>
            </w:tcMar>
          </w:tcPr>
          <w:p>
            <w:r>
              <w:rPr>
                <w:color w:val="334155"/>
                <w:sz w:val="17"/>
              </w:rPr>
              <w:t>Synthetic exogenous chemicals (like Parabens, Phthalates, and Triclosan) that mimic or interfere with natural hormonal receptors in the human endocrine system.</w:t>
            </w:r>
          </w:p>
        </w:tc>
      </w:tr>
      <w:tr>
        <w:tc>
          <w:tcPr>
            <w:tcW w:type="dxa" w:w="3312"/>
            <w:shd w:fill="FFFFFF"/>
            <w:tcMar>
              <w:top w:w="100" w:type="dxa"/>
              <w:bottom w:w="100" w:type="dxa"/>
              <w:left w:w="120" w:type="dxa"/>
              <w:right w:w="120" w:type="dxa"/>
            </w:tcMar>
          </w:tcPr>
          <w:p>
            <w:r>
              <w:rPr>
                <w:b/>
                <w:color w:val="0284C7"/>
                <w:sz w:val="18"/>
              </w:rPr>
              <w:t>Loss-Aversion Streak Mechanism</w:t>
            </w:r>
          </w:p>
        </w:tc>
        <w:tc>
          <w:tcPr>
            <w:tcW w:type="dxa" w:w="6624"/>
            <w:shd w:fill="FFFFFF"/>
            <w:tcMar>
              <w:top w:w="100" w:type="dxa"/>
              <w:bottom w:w="100" w:type="dxa"/>
              <w:left w:w="120" w:type="dxa"/>
              <w:right w:w="120" w:type="dxa"/>
            </w:tcMar>
          </w:tcPr>
          <w:p>
            <w:r>
              <w:rPr>
                <w:color w:val="334155"/>
                <w:sz w:val="17"/>
              </w:rPr>
              <w:t>A behavioral psychology concept utilized in digital gamification where the user's fear of losing an accumulated daily streak significantly outweighs the effort required to perform daily healthcare habits.</w:t>
            </w:r>
          </w:p>
        </w:tc>
      </w:tr>
    </w:tbl>
    <w:p>
      <w:pPr>
        <w:spacing w:after="160"/>
      </w:pPr>
    </w:p>
    <w:p>
      <w:pPr>
        <w:spacing w:before="280" w:after="80"/>
      </w:pPr>
      <w:r>
        <w:rPr>
          <w:rFonts w:ascii="Calibri" w:hAnsi="Calibri"/>
          <w:b/>
          <w:color w:val="0F172A"/>
          <w:sz w:val="30"/>
        </w:rPr>
        <w:t>6. Deep Technical Differentiation — Why FaceIT Stands Apart</w:t>
      </w:r>
    </w:p>
    <w:p>
      <w:pPr>
        <w:spacing w:after="120"/>
      </w:pPr>
      <w:r>
        <w:t>Commercial and consumer applications exist across wellness, e-commerce, and ingredient scanning. However, FaceIT disrupts the status quo across four deep architectural differentiators:</w:t>
      </w:r>
    </w:p>
    <w:p>
      <w:pPr>
        <w:pStyle w:val="ListBullet"/>
        <w:spacing w:after="80"/>
      </w:pPr>
      <w:r>
        <w:rPr>
          <w:b/>
          <w:color w:val="0F766E"/>
        </w:rPr>
        <w:t xml:space="preserve">1. Dynamic Multimodal Reasoning vs. Static Database Dependencies: </w:t>
      </w:r>
      <w:r>
        <w:t>Apps like Yuka and Think Dirty rely on pre-compiled databases. If a newly formulated product or Indian brand is scanned, they return an empty error. FaceIT runs live multimodal AI vision directly on the raw label image, interpreting complex chemical bonds, preservative synergies, and novel plant extracts on the fly with zero prior database entry required.</w:t>
      </w:r>
    </w:p>
    <w:p>
      <w:pPr>
        <w:pStyle w:val="ListBullet"/>
        <w:spacing w:after="80"/>
      </w:pPr>
      <w:r>
        <w:rPr>
          <w:b/>
          <w:color w:val="0F766E"/>
        </w:rPr>
        <w:t xml:space="preserve">2. Public Welfare Alignment vs. Commercial Affiliate Monetization: </w:t>
      </w:r>
      <w:r>
        <w:t>Commercial health platforms (Tata 1mg, Apollo 24/7) operate on e-commerce margins; their search algorithms favor high-priced, high-margin pharmaceutical brands. FaceIT's Med Scanner prioritizes the Government of India's PMBJP generic drugs, showing users how to save up to 88% while providing transparent commercial alternatives only as fallbacks.</w:t>
      </w:r>
    </w:p>
    <w:p>
      <w:pPr>
        <w:pStyle w:val="ListBullet"/>
        <w:spacing w:after="80"/>
      </w:pPr>
      <w:r>
        <w:rPr>
          <w:b/>
          <w:color w:val="0F766E"/>
        </w:rPr>
        <w:t xml:space="preserve">3. Anti-Dysmorphia Architecture vs. Toxic Looksmaxxing Algorithms: </w:t>
      </w:r>
      <w:r>
        <w:t>Many youth-targeted AI apps rate facial aesthetics with toxic numbers ('looksmaxxing' rating scales), causing severe teenage anxiety. FaceIT is engineered with clinical guardrails: it evaluates barrier integrity, inflammation, and symmetry strictly through an objective clinical lens, actively promoting psychological well-being.</w:t>
      </w:r>
    </w:p>
    <w:p>
      <w:pPr>
        <w:pStyle w:val="ListBullet"/>
        <w:spacing w:after="80"/>
      </w:pPr>
      <w:r>
        <w:rPr>
          <w:b/>
          <w:color w:val="0F766E"/>
        </w:rPr>
        <w:t xml:space="preserve">4. Zero Single-Point-of-Failure AI Resilience Architecture: </w:t>
      </w:r>
      <w:r>
        <w:t>While competitors crash when upstream AI services experience capacity spikes (HTTP 503), FaceIT deploys a 5-tier model cascade coupled with local offline regex engines, ensuring unbroken availability under all network conditions.</w:t>
      </w:r>
    </w:p>
    <w:p>
      <w:pPr>
        <w:spacing w:after="160"/>
      </w:pPr>
    </w:p>
    <w:p>
      <w:pPr>
        <w:spacing w:before="280" w:after="80"/>
      </w:pPr>
      <w:r>
        <w:rPr>
          <w:rFonts w:ascii="Calibri" w:hAnsi="Calibri"/>
          <w:b/>
          <w:color w:val="0F172A"/>
          <w:sz w:val="27"/>
        </w:rPr>
        <w:t>7. Quick Reference Slide Deck Summary for PPT Presentation</w:t>
      </w:r>
    </w:p>
    <w:p>
      <w:pPr>
        <w:spacing w:after="120"/>
      </w:pPr>
      <w:r>
        <w:t>Copy-Paste Ready Slide Structure for SIH Technical Evaluation:</w:t>
        <w:br/>
        <w:t>• Slide 1: Tech Stack: Flutter (Frontend) + FastAPI (Async Backend) + Gemini Flash Cascade &amp; PyTorch Edge ML.</w:t>
        <w:br/>
        <w:t>• Slide 2: Architectural Dataflow: 4-Tier Zero-Trust Architecture from edge camera capture to PMBJP integration.</w:t>
        <w:br/>
        <w:t>• Slide 3: User Flow: 4 Seamless paths: Skin Scan -&gt; Med Price Disruption -&gt; 3-Lens Ingredient Check -&gt; Habit Streak.</w:t>
        <w:br/>
        <w:t>• Slide 4: Key Terminology: Skin Health Score, PMBJP Salt Mapping, Comedogenicity, Loss-Aversion Mascots.</w:t>
        <w:br/>
        <w:t>• Slide 5: The Winning USP: Live AI Reasoning over static DBs + Direct Government Healthcare Alignment (PMBJP).</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