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80" w:before="480"/>
        <w:jc w:val="center"/>
      </w:pPr>
      <w:r>
        <w:rPr>
          <w:rFonts w:ascii="Arial" w:cs="Arial" w:eastAsia="Arial" w:hAnsi="Arial"/>
          <w:b/>
          <w:bCs/>
          <w:color w:val="FFFFFF"/>
          <w:sz w:val="44"/>
          <w:szCs w:val="44"/>
        </w:rPr>
        <w:t xml:space="preserve">DeepThought AI Business Analyst</w:t>
      </w:r>
    </w:p>
    <w:p>
      <w:pPr>
        <w:shd w:fill="1F4E79" w:val="clear"/>
        <w:spacing w:after="80" w:before="0"/>
        <w:jc w:val="center"/>
      </w:pPr>
      <w:r>
        <w:rPr>
          <w:rFonts w:ascii="Arial" w:cs="Arial" w:eastAsia="Arial" w:hAnsi="Arial"/>
          <w:b/>
          <w:bCs/>
          <w:color w:val="AACCEE"/>
          <w:sz w:val="36"/>
          <w:szCs w:val="36"/>
        </w:rPr>
        <w:t xml:space="preserve">Ecommerce Assignment</w:t>
      </w:r>
    </w:p>
    <w:p>
      <w:pPr>
        <w:shd w:fill="1F4E79" w:val="clear"/>
        <w:spacing w:after="400" w:before="40"/>
        <w:jc w:val="center"/>
      </w:pPr>
      <w:r>
        <w:rPr>
          <w:rFonts w:ascii="Arial" w:cs="Arial" w:eastAsia="Arial" w:hAnsi="Arial"/>
          <w:color w:val="CCDDEE"/>
          <w:sz w:val="22"/>
          <w:szCs w:val="22"/>
        </w:rPr>
        <w:t xml:space="preserve">Task 1: Campaign Viability Analysis  |  Task 2: Dynamic Profitability Model</w:t>
      </w:r>
    </w:p>
    <w:p>
      <w:pPr>
        <w:spacing w:after="80" w:before="80"/>
      </w:pPr>
      <w:r>
        <w:t xml:space="preserve"/>
      </w:r>
    </w:p>
    <w:p>
      <w:pPr>
        <w:pStyle w:val="Heading1"/>
        <w:shd w:fill="1F4E79" w:val="clear"/>
        <w:spacing w:after="160" w:before="280"/>
        <w:ind w:left="200"/>
      </w:pPr>
      <w:r>
        <w:rPr>
          <w:rFonts w:ascii="Arial" w:cs="Arial" w:eastAsia="Arial" w:hAnsi="Arial"/>
          <w:b/>
          <w:bCs/>
          <w:color w:val="FFFFFF"/>
          <w:sz w:val="32"/>
          <w:szCs w:val="32"/>
        </w:rPr>
        <w:t xml:space="preserve">TASK 1: Campaign Viability Analysis — GlowNest</w:t>
      </w:r>
    </w:p>
    <w:p>
      <w:pPr>
        <w:spacing w:after="80" w:before="80"/>
      </w:pPr>
      <w:r>
        <w:t xml:space="preserve"/>
      </w:r>
    </w:p>
    <w:p>
      <w:pPr>
        <w:spacing w:after="60" w:before="60"/>
      </w:pPr>
      <w:r>
        <w:rPr>
          <w:rFonts w:ascii="Arial" w:cs="Arial" w:eastAsia="Arial" w:hAnsi="Arial"/>
          <w:b/>
          <w:bCs/>
          <w:color w:val="000000"/>
          <w:sz w:val="20"/>
          <w:szCs w:val="20"/>
        </w:rPr>
        <w:t xml:space="preserve">Brand: GlowNest | Product: Premium Face Serum | Platform: Amazon India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Parameter</w:t>
            </w:r>
          </w:p>
        </w:tc>
        <w:tc>
          <w:tcPr>
            <w:tcW w:type="dxa" w:w="58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Selling Price (SP)</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₹800 per unit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COGS</w:t>
            </w:r>
          </w:p>
        </w:tc>
        <w:tc>
          <w:tcPr>
            <w:tcW w:type="dxa" w:w="58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₹280 per unit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Amazon Referral Fee</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12% of SP = ₹96 per unit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Monthly Ad Spend</w:t>
            </w:r>
          </w:p>
        </w:tc>
        <w:tc>
          <w:tcPr>
            <w:tcW w:type="dxa" w:w="58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Units Sold via Ads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 units/month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Organic Units Sold</w:t>
            </w:r>
          </w:p>
        </w:tc>
        <w:tc>
          <w:tcPr>
            <w:tcW w:type="dxa" w:w="58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2,000 units/month</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Fixed Costs</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₹1,50,000/month</w:t>
            </w:r>
          </w:p>
        </w:tc>
      </w:tr>
    </w:tbl>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Q1: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Calculation</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Gross Margin per Unit</w:t>
            </w:r>
          </w:p>
        </w:tc>
        <w:tc>
          <w:tcPr>
            <w:tcW w:type="dxa" w:w="2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₹800 − ₹280</w:t>
            </w:r>
          </w:p>
        </w:tc>
        <w:tc>
          <w:tcPr>
            <w:tcW w:type="dxa" w:w="35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₹520</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Amazon Referral Fee per Unit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₹800 × 12%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₹96</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Cost per Unit</w:t>
            </w:r>
          </w:p>
        </w:tc>
        <w:tc>
          <w:tcPr>
            <w:tcW w:type="dxa" w:w="2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 ÷ 1,500</w:t>
            </w:r>
          </w:p>
        </w:tc>
        <w:tc>
          <w:tcPr>
            <w:tcW w:type="dxa" w:w="35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₹200</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Net Margin per Unit (Ad-attributed)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₹520 − ₹96 − ₹200</w:t>
            </w:r>
          </w:p>
        </w:tc>
        <w:tc>
          <w:tcPr>
            <w:tcW w:type="dxa" w:w="35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₹224</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Net Margin per Unit (Organic)</w:t>
            </w:r>
          </w:p>
        </w:tc>
        <w:tc>
          <w:tcPr>
            <w:tcW w:type="dxa" w:w="2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₹520 − ₹96</w:t>
            </w:r>
          </w:p>
        </w:tc>
        <w:tc>
          <w:tcPr>
            <w:tcW w:type="dxa" w:w="35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₹424</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Key Insight: Even after ad spend, GlowNest earns ₹224 per ad-attributed unit — a 28% net margin on ad sales. Organic units are significantly more profitable at ₹424 each (53% net margin), which underscores the value of building organic rank alongside paid campaigns.</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Q2: Monthly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Component</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Calculation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Amount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Revenue from Ad Units</w:t>
            </w:r>
          </w:p>
        </w:tc>
        <w:tc>
          <w:tcPr>
            <w:tcW w:type="dxa" w:w="21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 × ₹800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₹12,00,000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Revenue from Organic Units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2,000 × ₹800</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₹16,00,000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Total Revenue</w:t>
            </w:r>
          </w:p>
        </w:tc>
        <w:tc>
          <w:tcPr>
            <w:tcW w:type="dxa" w:w="21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3,500 × ₹800</w:t>
            </w:r>
          </w:p>
        </w:tc>
        <w:tc>
          <w:tcPr>
            <w:tcW w:type="dxa" w:w="30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₹28,00,000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Profit from Ad Units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 × ₹224</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₹3,36,000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Profit from Organic Units</w:t>
            </w:r>
          </w:p>
        </w:tc>
        <w:tc>
          <w:tcPr>
            <w:tcW w:type="dxa" w:w="21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2,000 × ₹424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₹8,48,000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Less: Fixed Costs</w:t>
            </w:r>
          </w:p>
        </w:tc>
        <w:tc>
          <w:tcPr>
            <w:tcW w:type="dxa" w:w="21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−₹1,50,000</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NET PROFIT</w:t>
            </w:r>
          </w:p>
        </w:tc>
        <w:tc>
          <w:tcPr>
            <w:tcW w:type="dxa" w:w="21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GlowNest generates a healthy ₹10.34 lakh monthly profit on ₹28 lakh revenue — a net profit margin of ~36.9%. The organic channel (₹8.48L contribution) is almost 2.5x more valuable than the paid channel (₹3.36L), even though ad units are fewer.</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Q3: ACOS and TACOS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760"/>
        <w:gridCol w:w="21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Formula</w:t>
            </w:r>
          </w:p>
        </w:tc>
        <w:tc>
          <w:tcPr>
            <w:tcW w:type="dxa" w:w="1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c>
          <w:tcPr>
            <w:tcW w:type="dxa" w:w="21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ACOS</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 ÷ ₹12,00,000 × 100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25%</w:t>
            </w:r>
          </w:p>
        </w:tc>
        <w:tc>
          <w:tcPr>
            <w:tcW w:type="dxa" w:w="2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Healthy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TACOS</w:t>
            </w:r>
          </w:p>
        </w:tc>
        <w:tc>
          <w:tcPr>
            <w:tcW w:type="dxa" w:w="30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 ÷ ₹28,00,000 × 100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10.71%</w:t>
            </w:r>
          </w:p>
        </w:tc>
        <w:tc>
          <w:tcPr>
            <w:tcW w:type="dxa" w:w="21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Excellent</w:t>
            </w:r>
          </w:p>
        </w:tc>
      </w:tr>
    </w:tbl>
    <w:p>
      <w:pPr>
        <w:spacing w:after="80" w:before="80"/>
      </w:pPr>
      <w:r>
        <w:t xml:space="preserve"/>
      </w:r>
    </w:p>
    <w:p>
      <w:pPr>
        <w:spacing w:after="80" w:before="200"/>
      </w:pPr>
      <w:r>
        <w:rPr>
          <w:rFonts w:ascii="Arial" w:cs="Arial" w:eastAsia="Arial" w:hAnsi="Arial"/>
          <w:b/>
          <w:bCs/>
          <w:color w:val="2E75B6"/>
          <w:sz w:val="22"/>
          <w:szCs w:val="22"/>
        </w:rPr>
        <w:t xml:space="preserve">Are these healthy? Interpretation:</w:t>
      </w:r>
    </w:p>
    <w:p>
      <w:pPr>
        <w:pStyle w:val="ListParagraph"/>
        <w:numPr>
          <w:ilvl w:val="0"/>
          <w:numId w:val="2"/>
        </w:numPr>
        <w:spacing w:after="40" w:before="40"/>
      </w:pPr>
      <w:r>
        <w:rPr>
          <w:rFonts w:ascii="Arial" w:cs="Arial" w:eastAsia="Arial" w:hAnsi="Arial"/>
          <w:sz w:val="20"/>
          <w:szCs w:val="20"/>
        </w:rPr>
        <w:t xml:space="preserve">ACOS of 25%: For a premium skincare product priced at ₹800 with a 65% gross margin (₹520), a 25% ACOS is well within the profitable range. The break-even ACOS (where ad profit = 0) is much higher (~65% of SP minus Amazon fee). This is a well-managed campaign.</w:t>
      </w:r>
    </w:p>
    <w:p>
      <w:pPr>
        <w:pStyle w:val="ListParagraph"/>
        <w:numPr>
          <w:ilvl w:val="0"/>
          <w:numId w:val="2"/>
        </w:numPr>
        <w:spacing w:after="40" w:before="40"/>
      </w:pPr>
      <w:r>
        <w:rPr>
          <w:rFonts w:ascii="Arial" w:cs="Arial" w:eastAsia="Arial" w:hAnsi="Arial"/>
          <w:sz w:val="20"/>
          <w:szCs w:val="20"/>
        </w:rPr>
        <w:t xml:space="preserve">TACOS of 10.71%: This is an excellent TACOS. Industry benchmark for healthy Amazon brands is typically 8-15%. A TACOS under 11% on a brand with meaningful organic sales means the advertising is building real equity — organic growth is compounding and the channel is becoming more efficient over time, not less.</w:t>
      </w:r>
    </w:p>
    <w:p>
      <w:pPr>
        <w:pStyle w:val="ListParagraph"/>
        <w:numPr>
          <w:ilvl w:val="0"/>
          <w:numId w:val="2"/>
        </w:numPr>
        <w:spacing w:after="40" w:before="40"/>
      </w:pPr>
      <w:r>
        <w:rPr>
          <w:rFonts w:ascii="Arial" w:cs="Arial" w:eastAsia="Arial" w:hAnsi="Arial"/>
          <w:sz w:val="20"/>
          <w:szCs w:val="20"/>
        </w:rPr>
        <w:t xml:space="preserve">The gap between ACOS (25%) and TACOS (10.71%) tells a critical story: 57% of GlowNest's revenue is already organic. The brand is not purely dependent on ads to generate sales — this is the sign of a healthy, maturing Amazon brand.</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Q4: Break-Even Ad Spend</w:t>
      </w:r>
    </w:p>
    <w:p>
      <w:pPr>
        <w:spacing w:after="60" w:before="60"/>
      </w:pPr>
      <w:r>
        <w:rPr>
          <w:rFonts w:ascii="Arial" w:cs="Arial" w:eastAsia="Arial" w:hAnsi="Arial"/>
          <w:b w:val="false"/>
          <w:bCs w:val="false"/>
          <w:color w:val="000000"/>
          <w:sz w:val="20"/>
          <w:szCs w:val="20"/>
        </w:rPr>
        <w:t xml:space="preserve">To find break-even ad spend (X), set Total Monthly Profit = 0:</w:t>
      </w:r>
    </w:p>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(Gross Margin − Amazon Fee − X/1500) × 1500 + (Gross Margin − Amazon Fee) × 2000 − Fixed Costs = 0
→ (424 − X/1500) × 1500 + 424 × 2000 − 1,50,000 = 0
→ 6,36,000 − X + 8,48,000 − 1,50,000 = 0
→ X = ₹13,34,000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Break-Even Monthly Ad Spend</w:t>
            </w:r>
          </w:p>
        </w:tc>
        <w:tc>
          <w:tcPr>
            <w:tcW w:type="dxa" w:w="468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₹13,34,000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Corresponding ACOS at Break-Even</w:t>
            </w:r>
          </w:p>
        </w:tc>
        <w:tc>
          <w:tcPr>
            <w:tcW w:type="dxa" w:w="468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111.2% of ad revenue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Current Ad Spend (safety headroom)</w:t>
            </w:r>
          </w:p>
        </w:tc>
        <w:tc>
          <w:tcPr>
            <w:tcW w:type="dxa" w:w="46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 — only 22.5% of break-even</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GlowNest can spend up to ₹13.34 lakh/month on ads before hitting zero profit — more than 4x its current spend. This is a strong safety buffer. The business is highly profitable and has significant room to invest in growth before crossing into loss territory.</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Q5: Scenario — Ad Efficiency Drops (ACOS 40%, Ad Units 1,200)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Current</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25%</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Units Sold</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1,200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Implied Ad Spend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w:t>
            </w:r>
          </w:p>
        </w:tc>
        <w:tc>
          <w:tcPr>
            <w:tcW w:type="dxa" w:w="33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₹3,84,000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Cost per Unit</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₹200</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₹320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Net Margin (Ad Units)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₹224</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₹8,22,800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w:t>
            </w:r>
          </w:p>
        </w:tc>
      </w:tr>
    </w:tbl>
    <w:p>
      <w:pPr>
        <w:spacing w:after="80" w:before="80"/>
      </w:pPr>
      <w:r>
        <w:t xml:space="preserve"/>
      </w:r>
    </w:p>
    <w:p>
      <w:pPr>
        <w:spacing w:after="80" w:before="200"/>
      </w:pPr>
      <w:r>
        <w:rPr>
          <w:rFonts w:ascii="Arial" w:cs="Arial" w:eastAsia="Arial" w:hAnsi="Arial"/>
          <w:b/>
          <w:bCs/>
          <w:color w:val="2E75B6"/>
          <w:sz w:val="22"/>
          <w:szCs w:val="22"/>
        </w:rPr>
        <w:t xml:space="preserve">Recommendation:</w:t>
      </w:r>
    </w:p>
    <w:p>
      <w:pPr>
        <w:pStyle w:val="ListParagraph"/>
        <w:numPr>
          <w:ilvl w:val="0"/>
          <w:numId w:val="2"/>
        </w:numPr>
        <w:spacing w:after="40" w:before="40"/>
      </w:pPr>
      <w:r>
        <w:rPr>
          <w:rFonts w:ascii="Arial" w:cs="Arial" w:eastAsia="Arial" w:hAnsi="Arial"/>
          <w:sz w:val="20"/>
          <w:szCs w:val="20"/>
        </w:rPr>
        <w:t xml:space="preserve">The business remains profitable (₹8.23L/month) — this is not a crisis, but it's a yellow flag. Profit has fallen 20% and TACOS has hit the 15% threshold, which is the upper boundary of healthy.</w:t>
      </w:r>
    </w:p>
    <w:p>
      <w:pPr>
        <w:pStyle w:val="ListParagraph"/>
        <w:numPr>
          <w:ilvl w:val="0"/>
          <w:numId w:val="2"/>
        </w:numPr>
        <w:spacing w:after="40" w:before="40"/>
      </w:pPr>
      <w:r>
        <w:rPr>
          <w:rFonts w:ascii="Arial" w:cs="Arial" w:eastAsia="Arial" w:hAnsi="Arial"/>
          <w:sz w:val="20"/>
          <w:szCs w:val="20"/>
        </w:rPr>
        <w:t xml:space="preserve">Immediate action: Conduct a keyword-level audit. Identify and pause high-spend, low-conversion keywords. Shift budget to exact-match, high-intent terms. Add negative keywords aggressively.</w:t>
      </w:r>
    </w:p>
    <w:p>
      <w:pPr>
        <w:pStyle w:val="ListParagraph"/>
        <w:numPr>
          <w:ilvl w:val="0"/>
          <w:numId w:val="2"/>
        </w:numPr>
        <w:spacing w:after="40" w:before="40"/>
      </w:pPr>
      <w:r>
        <w:rPr>
          <w:rFonts w:ascii="Arial" w:cs="Arial" w:eastAsia="Arial" w:hAnsi="Arial"/>
          <w:sz w:val="20"/>
          <w:szCs w:val="20"/>
        </w:rPr>
        <w:t xml:space="preserve">Listing review: Lower conversion rates could be driven by weak product content. Check images, bullet points, and A+ content against top competitors.</w:t>
      </w:r>
    </w:p>
    <w:p>
      <w:pPr>
        <w:pStyle w:val="ListParagraph"/>
        <w:numPr>
          <w:ilvl w:val="0"/>
          <w:numId w:val="2"/>
        </w:numPr>
        <w:spacing w:after="40" w:before="40"/>
      </w:pPr>
      <w:r>
        <w:rPr>
          <w:rFonts w:ascii="Arial" w:cs="Arial" w:eastAsia="Arial" w:hAnsi="Arial"/>
          <w:sz w:val="20"/>
          <w:szCs w:val="20"/>
        </w:rPr>
        <w:t xml:space="preserve">Do NOT panic and cut ad spend drastically — the organic engine (₹8.48L contribution unchanged) needs the ads to sustain ranking. A gradual 15-20% reduction in spend combined with better targeting is smarter than a hard cut.</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Q6: Scenario — Scaling Up (Ad Spend ₹6L, Ad Units 2,500)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Current</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Scale-Up Scenario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Monthly Ad Spend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₹6,00,000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Units via Ads</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1,500</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2,500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Cost per 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₹240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Net Margin (Ad Units)</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₹224</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₹184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25%</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Total Revenue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₹28,00,000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₹36,00,000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33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16.67%</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₹11,58,000</w:t>
            </w:r>
          </w:p>
        </w:tc>
      </w:tr>
    </w:tbl>
    <w:p>
      <w:pPr>
        <w:spacing w:after="80" w:before="80"/>
      </w:pPr>
      <w:r>
        <w:t xml:space="preserve"/>
      </w:r>
    </w:p>
    <w:p>
      <w:pPr>
        <w:spacing w:after="80" w:before="200"/>
      </w:pPr>
      <w:r>
        <w:rPr>
          <w:rFonts w:ascii="Arial" w:cs="Arial" w:eastAsia="Arial" w:hAnsi="Arial"/>
          <w:b/>
          <w:bCs/>
          <w:color w:val="2E75B6"/>
          <w:sz w:val="22"/>
          <w:szCs w:val="22"/>
        </w:rPr>
        <w:t xml:space="preserve">Analysis and Recommendation:</w:t>
      </w:r>
    </w:p>
    <w:p>
      <w:pPr>
        <w:pStyle w:val="ListParagraph"/>
        <w:numPr>
          <w:ilvl w:val="0"/>
          <w:numId w:val="2"/>
        </w:numPr>
        <w:spacing w:after="40" w:before="40"/>
      </w:pPr>
      <w:r>
        <w:rPr>
          <w:rFonts w:ascii="Arial" w:cs="Arial" w:eastAsia="Arial" w:hAnsi="Arial"/>
          <w:sz w:val="20"/>
          <w:szCs w:val="20"/>
        </w:rPr>
        <w:t xml:space="preserve">The scale-up does add ₹1.24L/month in absolute profit (₹11.58L vs ₹10.34L). So mathematically, it is profitable.</w:t>
      </w:r>
    </w:p>
    <w:p>
      <w:pPr>
        <w:pStyle w:val="ListParagraph"/>
        <w:numPr>
          <w:ilvl w:val="0"/>
          <w:numId w:val="2"/>
        </w:numPr>
        <w:spacing w:after="40" w:before="40"/>
      </w:pPr>
      <w:r>
        <w:rPr>
          <w:rFonts w:ascii="Arial" w:cs="Arial" w:eastAsia="Arial" w:hAnsi="Arial"/>
          <w:sz w:val="20"/>
          <w:szCs w:val="20"/>
        </w:rPr>
        <w:t xml:space="preserve">However, the returns are diminishing significantly. Ad spend doubles (+₹3L), but profit only grows by ₹1.24L. The incremental ₹3L in spend generates only ₹1.24L in incremental profit — a return of 41 paise per rupee of additional spend. That is a weak return.</w:t>
      </w:r>
    </w:p>
    <w:p>
      <w:pPr>
        <w:pStyle w:val="ListParagraph"/>
        <w:numPr>
          <w:ilvl w:val="0"/>
          <w:numId w:val="2"/>
        </w:numPr>
        <w:spacing w:after="40" w:before="40"/>
      </w:pPr>
      <w:r>
        <w:rPr>
          <w:rFonts w:ascii="Arial" w:cs="Arial" w:eastAsia="Arial" w:hAnsi="Arial"/>
          <w:sz w:val="20"/>
          <w:szCs w:val="20"/>
        </w:rPr>
        <w:t xml:space="preserve">TACOS crosses 16.67%, breaching the healthy 15% threshold. This signals the ad engine is working harder to sustain growth, which is a medium-term sustainability risk.</w:t>
      </w:r>
    </w:p>
    <w:p>
      <w:pPr>
        <w:pStyle w:val="ListParagraph"/>
        <w:numPr>
          <w:ilvl w:val="0"/>
          <w:numId w:val="2"/>
        </w:numPr>
        <w:spacing w:after="40" w:before="40"/>
      </w:pPr>
      <w:r>
        <w:rPr>
          <w:rFonts w:ascii="Arial" w:cs="Arial" w:eastAsia="Arial" w:hAnsi="Arial"/>
          <w:sz w:val="20"/>
          <w:szCs w:val="20"/>
        </w:rPr>
        <w:t xml:space="preserve">Verdict: Only worth doing if the objective is market share capture (launching a new product, entering a competitive category, or suppressing a rival's ranking). If the objective is profitability optimization, hold at ₹3L spend and invest instead in organic levers — improving listing quality, review velocity, and content — to grow organic units from 2,000 toward 3,000+, which adds profit with zero additional ad cost.</w:t>
      </w:r>
    </w:p>
    <w:p>
      <w:pPr>
        <w:spacing w:after="80" w:before="80"/>
      </w:pPr>
      <w:r>
        <w:t xml:space="preserve"/>
      </w:r>
    </w:p>
    <w:p>
      <w:r>
        <w:br w:type="page"/>
      </w:r>
    </w:p>
    <w:p>
      <w:pPr>
        <w:pStyle w:val="Heading1"/>
        <w:shd w:fill="1F4E79" w:val="clear"/>
        <w:spacing w:after="160" w:before="280"/>
        <w:ind w:left="200"/>
      </w:pPr>
      <w:r>
        <w:rPr>
          <w:rFonts w:ascii="Arial" w:cs="Arial" w:eastAsia="Arial" w:hAnsi="Arial"/>
          <w:b/>
          <w:bCs/>
          <w:color w:val="FFFFFF"/>
          <w:sz w:val="32"/>
          <w:szCs w:val="32"/>
        </w:rPr>
        <w:t xml:space="preserve">TASK 2: Dynamic Profitability Model — Instructions &amp; Scenario Analysis</w:t>
      </w:r>
    </w:p>
    <w:p>
      <w:pPr>
        <w:spacing w:after="80" w:before="80"/>
      </w:pPr>
      <w:r>
        <w:t xml:space="preserve"/>
      </w:r>
    </w:p>
    <w:p>
      <w:pPr>
        <w:spacing w:after="60" w:before="60"/>
      </w:pPr>
      <w:r>
        <w:rPr>
          <w:rFonts w:ascii="Arial" w:cs="Arial" w:eastAsia="Arial" w:hAnsi="Arial"/>
          <w:b w:val="false"/>
          <w:bCs w:val="false"/>
          <w:color w:val="000000"/>
          <w:sz w:val="20"/>
          <w:szCs w:val="20"/>
        </w:rPr>
        <w:t xml:space="preserve">Note: The interactive model with live formulas is provided as a separate Excel file (GlowNest_Profitability_Model.xlsx). This document explains the model architecture and documents the four scenario analyses.</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Model Architecture</w:t>
      </w:r>
    </w:p>
    <w:p>
      <w:pPr>
        <w:spacing w:after="60" w:before="60"/>
      </w:pPr>
      <w:r>
        <w:rPr>
          <w:rFonts w:ascii="Arial" w:cs="Arial" w:eastAsia="Arial" w:hAnsi="Arial"/>
          <w:b/>
          <w:bCs/>
          <w:color w:val="000000"/>
          <w:sz w:val="20"/>
          <w:szCs w:val="20"/>
        </w:rPr>
        <w:t xml:space="preserve">The model is structured in three sections:</w:t>
      </w:r>
    </w:p>
    <w:p>
      <w:pPr>
        <w:pStyle w:val="ListParagraph"/>
        <w:numPr>
          <w:ilvl w:val="0"/>
          <w:numId w:val="2"/>
        </w:numPr>
        <w:spacing w:after="40" w:before="40"/>
      </w:pPr>
      <w:r>
        <w:rPr>
          <w:rFonts w:ascii="Arial" w:cs="Arial" w:eastAsia="Arial" w:hAnsi="Arial"/>
          <w:sz w:val="20"/>
          <w:szCs w:val="20"/>
        </w:rPr>
        <w:t xml:space="preserve">INPUT SECTION (rows 4-10): All seven inputs are editable yellow-highlighted cells. Change any value and all outputs update automatically.</w:t>
      </w:r>
    </w:p>
    <w:p>
      <w:pPr>
        <w:pStyle w:val="ListParagraph"/>
        <w:numPr>
          <w:ilvl w:val="0"/>
          <w:numId w:val="2"/>
        </w:numPr>
        <w:spacing w:after="40" w:before="40"/>
      </w:pPr>
      <w:r>
        <w:rPr>
          <w:rFonts w:ascii="Arial" w:cs="Arial" w:eastAsia="Arial" w:hAnsi="Arial"/>
          <w:sz w:val="20"/>
          <w:szCs w:val="20"/>
        </w:rPr>
        <w:t xml:space="preserve">OUTPUT SECTION (rows 13-22): All metrics calculated via formulas referencing the input cells. No hardcoded values anywhere in outputs.</w:t>
      </w:r>
    </w:p>
    <w:p>
      <w:pPr>
        <w:pStyle w:val="ListParagraph"/>
        <w:numPr>
          <w:ilvl w:val="0"/>
          <w:numId w:val="2"/>
        </w:numPr>
        <w:spacing w:after="40" w:before="40"/>
      </w:pPr>
      <w:r>
        <w:rPr>
          <w:rFonts w:ascii="Arial" w:cs="Arial" w:eastAsia="Arial" w:hAnsi="Arial"/>
          <w:sz w:val="20"/>
          <w:szCs w:val="20"/>
        </w:rPr>
        <w:t xml:space="preserve">SCENARIO TABLE (rows 25-35): Four scenarios calculated using formula references to inputs, with conditional formatting (green = healthy, yellow = warning, red = danger).</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Scenario 1: Price Sensitivity — SP Increases to ₹950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 (₹800 SP)</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 (₹950 SP)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Gross Margin/Unit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₹520</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₹670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Amazon Fee/Unit</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₹96</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₹114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Net Margin (Ad 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₹224</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₹356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₹18,18,000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9.02%</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A 19% price increase (₹800→₹950) nearly doubles monthly profit (₹10.34L → ₹18.18L) and improves TACOS to 9%. However, the real question is: will the price increase hurt conversion rates and unit volume? If demand is elastic in the competitive premium skincare category, volume may drop enough to erase the margin gain. The model should be stress-tested with 15-20% unit volume drops at the higher price point before recommending this move.</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Scenario 2: Cost Pressure — COGS Increases 20% (Supply Chain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 (COGS ₹280)</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 (COGS ₹336)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Gross Margin/Unit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₹520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₹464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Net Margin (Ad Unit)</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₹224</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₹168</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₹7,94,000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New Break-Even Ad Spend</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₹13,34,000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₹11,14,000</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A 20% COGS increase shrinks monthly profit by ₹2.4L (~23%) and reduces the break-even ad spend headroom from ₹13.34L to ₹11.14L. The brand is still comfortably profitable, but this is a meaningful erosion. Recommendation: flag this scenario to the brand manager as a reason to review pricing. If COGS rises to ₹336, the brand should consider a ₹50-80 price increase or negotiate with the manufacturer/3PL to absorb part of the cost increase before it hits the P&amp;L.</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Scenario 3: Organic Growth — Organic Units Grow 2,000 → 3,500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 (2,000 organic)</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 (3,500 organic)</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Total Units Sold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3,500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Total Revenue</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₹28,00,000</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₹40,00,000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Ad Spend (unchanged)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₹3,00,000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7.5%</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₹17,22,000</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This is the most powerful scenario. Without spending a single extra rupee on ads, organic growth from 2,000 to 3,500 units adds ₹6.88L/month in profit and drives TACOS down to 7.5%. This is the flywheel working: ad investment builds ranking, ranking generates organic traffic, organic traffic makes every future rupee of ad spend more efficient. For GlowNest, investing in content, reviews, and A+ creatives to accelerate organic growth yields a better return than simply increasing ad spend.</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Scenario 4: Competitive Pressure — SP Drops to ₹700 to Match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 (₹800 SP)</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Scenario (₹700 SP)</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Gross Margin/Unit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₹520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₹420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Amazon Fee/Unit</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₹96</w:t>
            </w:r>
          </w:p>
        </w:tc>
        <w:tc>
          <w:tcPr>
            <w:tcW w:type="dxa" w:w="33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₹84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Net Margin (Ad Unit)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₹224</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₹136</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₹10,34,000</w:t>
            </w:r>
          </w:p>
        </w:tc>
        <w:tc>
          <w:tcPr>
            <w:tcW w:type="dxa" w:w="336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₹5,72,000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250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12.24%</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Break-Even Ad Spend</w:t>
            </w:r>
          </w:p>
        </w:tc>
        <w:tc>
          <w:tcPr>
            <w:tcW w:type="dxa" w:w="25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₹13,34,000</w:t>
            </w:r>
          </w:p>
        </w:tc>
        <w:tc>
          <w:tcPr>
            <w:tcW w:type="dxa" w:w="336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₹9,54,000</w:t>
            </w:r>
          </w:p>
        </w:tc>
      </w:tr>
    </w:tbl>
    <w:p>
      <w:pPr>
        <w:spacing w:after="80" w:before="80"/>
      </w:pPr>
      <w:r>
        <w:t xml:space="preserve"/>
      </w:r>
    </w:p>
    <w:p>
      <w:pPr>
        <w:pBdr>
          <w:left w:val="single" w:color="2E75B6" w:sz="12"/>
        </w:pBdr>
        <w:shd w:fill="D6E4F0" w:val="clear"/>
        <w:spacing w:after="120" w:before="120"/>
        <w:ind w:left="400" w:right="400"/>
      </w:pPr>
      <w:r>
        <w:rPr>
          <w:rFonts w:ascii="Arial" w:cs="Arial" w:eastAsia="Arial" w:hAnsi="Arial"/>
          <w:color w:val="000000"/>
          <w:sz w:val="20"/>
          <w:szCs w:val="20"/>
        </w:rPr>
        <w:t xml:space="preserve">This is the most dangerous scenario. Dropping price to ₹700 cuts monthly profit nearly in half (₹10.34L → ₹5.72L) — a 44.7% drop. What breaks: the entire unit economics story. At ₹700, GlowNest needs nearly 2x as many units to maintain the same profit. Advice to the brand: do NOT enter a price war. GlowNest is 'premium' — the brand positioning is the moat. Instead, differentiate through content (A+ pages, brand story, video), review volume, and category authority. A competitor at ₹600 is competing on price; GlowNest should compete on brand trust. Consumers buying premium skincare are not purely price-sensitive.</w:t>
      </w:r>
    </w:p>
    <w:p>
      <w:pPr>
        <w:spacing w:after="80" w:before="8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Summary: All Scenarios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16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w:t>
            </w:r>
          </w:p>
        </w:tc>
        <w:tc>
          <w:tcPr>
            <w:tcW w:type="dxa" w:w="16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₹950 SP</w:t>
            </w:r>
          </w:p>
        </w:tc>
        <w:tc>
          <w:tcPr>
            <w:tcW w:type="dxa" w:w="16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COGS +20%</w:t>
            </w:r>
          </w:p>
        </w:tc>
        <w:tc>
          <w:tcPr>
            <w:tcW w:type="dxa" w:w="16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₹700 SP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Monthly Profit</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₹10.34L</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₹18.18L</w:t>
            </w:r>
          </w:p>
        </w:tc>
        <w:tc>
          <w:tcPr>
            <w:tcW w:type="dxa" w:w="16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₹7.94L</w:t>
            </w:r>
          </w:p>
        </w:tc>
        <w:tc>
          <w:tcPr>
            <w:tcW w:type="dxa" w:w="164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₹5.72L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TACOS</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9.02%</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10.71%</w:t>
            </w:r>
          </w:p>
        </w:tc>
        <w:tc>
          <w:tcPr>
            <w:tcW w:type="dxa" w:w="16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12.24%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Break-Even Ad Spend</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₹13.34L</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₹17.84L</w:t>
            </w:r>
          </w:p>
        </w:tc>
        <w:tc>
          <w:tcPr>
            <w:tcW w:type="dxa" w:w="16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₹11.14L</w:t>
            </w:r>
          </w:p>
        </w:tc>
        <w:tc>
          <w:tcPr>
            <w:tcW w:type="dxa" w:w="16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₹9.54L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000000"/>
                <w:sz w:val="20"/>
                <w:szCs w:val="20"/>
              </w:rPr>
              <w:t xml:space="preserve">Verdict</w:t>
            </w:r>
          </w:p>
        </w:tc>
        <w:tc>
          <w:tcPr>
            <w:tcW w:type="dxa" w:w="16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Baseline</w:t>
            </w:r>
          </w:p>
        </w:tc>
        <w:tc>
          <w:tcPr>
            <w:tcW w:type="dxa" w:w="16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Best margin</w:t>
            </w:r>
          </w:p>
        </w:tc>
        <w:tc>
          <w:tcPr>
            <w:tcW w:type="dxa" w:w="164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Monitor COGS</w:t>
            </w:r>
          </w:p>
        </w:tc>
        <w:tc>
          <w:tcPr>
            <w:tcW w:type="dxa" w:w="1640"/>
            <w:tcBorders>
              <w:top w:val="single" w:color="CCCCCC" w:sz="1"/>
              <w:left w:val="single" w:color="CCCCCC" w:sz="1"/>
              <w:bottom w:val="single" w:color="CCCCCC" w:sz="1"/>
              <w:right w:val="single" w:color="CCCCCC" w:sz="1"/>
            </w:tcBorders>
            <w:shd w:fill="FCE4D6" w:val="clear"/>
            <w:tcMar>
              <w:top w:type="dxa" w:w="100"/>
              <w:left w:type="dxa" w:w="120"/>
              <w:bottom w:type="dxa" w:w="100"/>
              <w:right w:type="dxa" w:w="120"/>
            </w:tcMar>
          </w:tcPr>
          <w:p>
            <w:pPr>
              <w:jc w:val="left"/>
            </w:pPr>
            <w:r>
              <w:rPr>
                <w:rFonts w:ascii="Arial" w:cs="Arial" w:eastAsia="Arial" w:hAnsi="Arial"/>
                <w:b w:val="false"/>
                <w:bCs w:val="false"/>
                <w:color w:val="000000"/>
                <w:sz w:val="20"/>
                <w:szCs w:val="20"/>
              </w:rPr>
              <w:t xml:space="preserve">Avoid</w:t>
            </w:r>
          </w:p>
        </w:tc>
      </w:tr>
    </w:tbl>
    <w:p>
      <w:pPr>
        <w:spacing w:after="80" w:before="80"/>
      </w:pPr>
      <w:r>
        <w:t xml:space="preserve"/>
      </w:r>
    </w:p>
    <w:p>
      <w:pPr>
        <w:spacing w:after="80" w:before="80"/>
      </w:pPr>
      <w:r>
        <w:t xml:space="preserve"/>
      </w:r>
    </w:p>
    <w:p>
      <w:pPr>
        <w:spacing w:after="60" w:before="60"/>
      </w:pPr>
      <w:r>
        <w:rPr>
          <w:rFonts w:ascii="Arial" w:cs="Arial" w:eastAsia="Arial" w:hAnsi="Arial"/>
          <w:b w:val="false"/>
          <w:bCs w:val="false"/>
          <w:color w:val="888888"/>
          <w:sz w:val="18"/>
          <w:szCs w:val="18"/>
        </w:rPr>
        <w:t xml:space="preserve">Document prepared as part of DT AI Business Analyst (Ecommerce) Assignment | DeepThought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2026-06-02T06:38:22.097Z</dcterms:created>
  <dcterms:modified xsi:type="dcterms:W3CDTF">2026-06-02T06:38:22.097Z</dcterms:modified>
</cp:coreProperties>
</file>

<file path=docProps/custom.xml><?xml version="1.0" encoding="utf-8"?>
<Properties xmlns="http://schemas.openxmlformats.org/officeDocument/2006/custom-properties" xmlns:vt="http://schemas.openxmlformats.org/officeDocument/2006/docPropsVTypes"/>
</file>