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4E79" w:val="clear"/>
        <w:spacing w:after="60" w:before="400"/>
        <w:jc w:val="center"/>
      </w:pPr>
      <w:r>
        <w:rPr>
          <w:rFonts w:ascii="Arial" w:cs="Arial" w:eastAsia="Arial" w:hAnsi="Arial"/>
          <w:b/>
          <w:bCs/>
          <w:color w:val="FFFFFF"/>
          <w:sz w:val="44"/>
          <w:szCs w:val="44"/>
        </w:rPr>
        <w:t xml:space="preserve">DeepThought AI Business Analyst</w:t>
      </w:r>
    </w:p>
    <w:p>
      <w:pPr>
        <w:shd w:fill="1F4E79" w:val="clear"/>
        <w:spacing w:after="60" w:before="0"/>
        <w:jc w:val="center"/>
      </w:pPr>
      <w:r>
        <w:rPr>
          <w:rFonts w:ascii="Arial" w:cs="Arial" w:eastAsia="Arial" w:hAnsi="Arial"/>
          <w:b/>
          <w:bCs/>
          <w:color w:val="AACCEE"/>
          <w:sz w:val="34"/>
          <w:szCs w:val="34"/>
        </w:rPr>
        <w:t xml:space="preserve">Ecommerce Assignment</w:t>
      </w:r>
    </w:p>
    <w:p>
      <w:pPr>
        <w:shd w:fill="1F4E79" w:val="clear"/>
        <w:spacing w:after="360" w:before="20"/>
        <w:jc w:val="center"/>
      </w:pPr>
      <w:r>
        <w:rPr>
          <w:rFonts w:ascii="Arial" w:cs="Arial" w:eastAsia="Arial" w:hAnsi="Arial"/>
          <w:color w:val="CCDDEE"/>
          <w:sz w:val="22"/>
          <w:szCs w:val="22"/>
        </w:rPr>
        <w:t xml:space="preserve">Task 3: Operational Scenario — V1 Work, V3 Eyes</w:t>
      </w:r>
    </w:p>
    <w:p>
      <w:pPr>
        <w:spacing w:after="60" w:before="60"/>
      </w:pPr>
      <w:r>
        <w:t xml:space="preserve"/>
      </w:r>
    </w:p>
    <w:p>
      <w:pPr>
        <w:pStyle w:val="Heading1"/>
        <w:shd w:fill="1F4E79" w:val="clear"/>
        <w:spacing w:after="140" w:before="240"/>
        <w:ind w:left="200"/>
      </w:pPr>
      <w:r>
        <w:rPr>
          <w:rFonts w:ascii="Arial" w:cs="Arial" w:eastAsia="Arial" w:hAnsi="Arial"/>
          <w:b/>
          <w:bCs/>
          <w:color w:val="FFFFFF"/>
          <w:sz w:val="32"/>
          <w:szCs w:val="32"/>
        </w:rPr>
        <w:t xml:space="preserve">TASK 3A: Weekly Account Status Update</w:t>
      </w:r>
    </w:p>
    <w:p>
      <w:pPr>
        <w:spacing w:after="60" w:before="60"/>
      </w:pPr>
      <w:r>
        <w:t xml:space="preserve"/>
      </w:r>
    </w:p>
    <w:p>
      <w:pPr>
        <w:spacing w:after="60" w:before="60"/>
      </w:pPr>
      <w:r>
        <w:rPr>
          <w:rFonts w:ascii="Arial" w:cs="Arial" w:eastAsia="Arial" w:hAnsi="Arial"/>
          <w:b/>
          <w:bCs/>
          <w:color w:val="000000"/>
          <w:sz w:val="20"/>
          <w:szCs w:val="20"/>
        </w:rPr>
        <w:t xml:space="preserve">To: Team Lead  |  From: AI Business Analyst (Week 4)  |  Re: Status Update — 3 Brand Accounts</w:t>
      </w:r>
    </w:p>
    <w:p>
      <w:pPr>
        <w:spacing w:after="60" w:before="60"/>
      </w:pPr>
      <w:r>
        <w:t xml:space="preserve"/>
      </w:r>
    </w:p>
    <w:p>
      <w:pPr>
        <w:pStyle w:val="Heading2"/>
        <w:pBdr>
          <w:bottom w:val="single" w:color="2E75B6" w:sz="4"/>
        </w:pBdr>
        <w:spacing w:after="100" w:before="260"/>
      </w:pPr>
      <w:r>
        <w:rPr>
          <w:rFonts w:ascii="Arial" w:cs="Arial" w:eastAsia="Arial" w:hAnsi="Arial"/>
          <w:b/>
          <w:bCs/>
          <w:color w:val="1F4E79"/>
          <w:sz w:val="26"/>
          <w:szCs w:val="26"/>
        </w:rPr>
        <w:t xml:space="preserve">Brand A — FreshBasket (Organic Snacks)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680"/>
        <w:gridCol w:w="2680"/>
      </w:tblGrid>
      <w:tr>
        <w:tc>
          <w:tcPr>
            <w:tcW w:type="dxa" w:w="2000"/>
            <w:tcBorders>
              <w:top w:val="single" w:color="CCCCCC" w:sz="1"/>
              <w:left w:val="single" w:color="CCCCCC" w:sz="1"/>
              <w:bottom w:val="single" w:color="CCCCCC" w:sz="1"/>
              <w:right w:val="single" w:color="CCCCCC" w:sz="1"/>
            </w:tcBorders>
            <w:shd w:fill="1F4E79" w:val="clear"/>
            <w:tcMar>
              <w:top w:type="dxa" w:w="100"/>
              <w:left w:type="dxa" w:w="130"/>
              <w:bottom w:type="dxa" w:w="100"/>
              <w:right w:type="dxa" w:w="130"/>
            </w:tcMar>
          </w:tcPr>
          <w:p>
            <w:r>
              <w:rPr>
                <w:rFonts w:ascii="Arial" w:cs="Arial" w:eastAsia="Arial" w:hAnsi="Arial"/>
                <w:b/>
                <w:bCs/>
                <w:color w:val="FFFFFF"/>
                <w:sz w:val="20"/>
                <w:szCs w:val="20"/>
              </w:rPr>
              <w:t xml:space="preserve">Ad Spend</w:t>
            </w:r>
          </w:p>
        </w:tc>
        <w:tc>
          <w:tcPr>
            <w:tcW w:type="dxa" w:w="2000"/>
            <w:tcBorders>
              <w:top w:val="single" w:color="CCCCCC" w:sz="1"/>
              <w:left w:val="single" w:color="CCCCCC" w:sz="1"/>
              <w:bottom w:val="single" w:color="CCCCCC" w:sz="1"/>
              <w:right w:val="single" w:color="CCCCCC" w:sz="1"/>
            </w:tcBorders>
            <w:shd w:fill="1F4E79" w:val="clear"/>
            <w:tcMar>
              <w:top w:type="dxa" w:w="100"/>
              <w:left w:type="dxa" w:w="130"/>
              <w:bottom w:type="dxa" w:w="100"/>
              <w:right w:type="dxa" w:w="130"/>
            </w:tcMar>
          </w:tcPr>
          <w:p>
            <w:r>
              <w:rPr>
                <w:rFonts w:ascii="Arial" w:cs="Arial" w:eastAsia="Arial" w:hAnsi="Arial"/>
                <w:b/>
                <w:bCs/>
                <w:color w:val="FFFFFF"/>
                <w:sz w:val="20"/>
                <w:szCs w:val="20"/>
              </w:rPr>
              <w:t xml:space="preserve">ROAS</w:t>
            </w:r>
          </w:p>
        </w:tc>
        <w:tc>
          <w:tcPr>
            <w:tcW w:type="dxa" w:w="2680"/>
            <w:tcBorders>
              <w:top w:val="single" w:color="CCCCCC" w:sz="1"/>
              <w:left w:val="single" w:color="CCCCCC" w:sz="1"/>
              <w:bottom w:val="single" w:color="CCCCCC" w:sz="1"/>
              <w:right w:val="single" w:color="CCCCCC" w:sz="1"/>
            </w:tcBorders>
            <w:shd w:fill="1F4E79" w:val="clear"/>
            <w:tcMar>
              <w:top w:type="dxa" w:w="100"/>
              <w:left w:type="dxa" w:w="130"/>
              <w:bottom w:type="dxa" w:w="100"/>
              <w:right w:type="dxa" w:w="130"/>
            </w:tcMar>
          </w:tcPr>
          <w:p>
            <w:r>
              <w:rPr>
                <w:rFonts w:ascii="Arial" w:cs="Arial" w:eastAsia="Arial" w:hAnsi="Arial"/>
                <w:b/>
                <w:bCs/>
                <w:color w:val="FFFFFF"/>
                <w:sz w:val="20"/>
                <w:szCs w:val="20"/>
              </w:rPr>
              <w:t xml:space="preserve">Status</w:t>
            </w:r>
          </w:p>
        </w:tc>
        <w:tc>
          <w:tcPr>
            <w:tcW w:type="dxa" w:w="2680"/>
            <w:tcBorders>
              <w:top w:val="single" w:color="CCCCCC" w:sz="1"/>
              <w:left w:val="single" w:color="CCCCCC" w:sz="1"/>
              <w:bottom w:val="single" w:color="CCCCCC" w:sz="1"/>
              <w:right w:val="single" w:color="CCCCCC" w:sz="1"/>
            </w:tcBorders>
            <w:shd w:fill="1F4E79" w:val="clear"/>
            <w:tcMar>
              <w:top w:type="dxa" w:w="100"/>
              <w:left w:type="dxa" w:w="130"/>
              <w:bottom w:type="dxa" w:w="100"/>
              <w:right w:type="dxa" w:w="130"/>
            </w:tcMar>
          </w:tcPr>
          <w:p>
            <w:r>
              <w:rPr>
                <w:rFonts w:ascii="Arial" w:cs="Arial" w:eastAsia="Arial" w:hAnsi="Arial"/>
                <w:b/>
                <w:bCs/>
                <w:color w:val="FFFFFF"/>
                <w:sz w:val="20"/>
                <w:szCs w:val="20"/>
              </w:rPr>
              <w:t xml:space="preserve">Hours This Week</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tcPr>
          <w:p>
            <w:r>
              <w:rPr>
                <w:rFonts w:ascii="Arial" w:cs="Arial" w:eastAsia="Arial" w:hAnsi="Arial"/>
                <w:b w:val="false"/>
                <w:bCs w:val="false"/>
                <w:color w:val="000000"/>
                <w:sz w:val="20"/>
                <w:szCs w:val="20"/>
              </w:rPr>
              <w:t xml:space="preserve">₹2.5L/month</w:t>
            </w:r>
          </w:p>
        </w:tc>
        <w:tc>
          <w:tcPr>
            <w:tcW w:type="dxa" w:w="2000"/>
            <w:tcBorders>
              <w:top w:val="single" w:color="CCCCCC" w:sz="1"/>
              <w:left w:val="single" w:color="CCCCCC" w:sz="1"/>
              <w:bottom w:val="single" w:color="CCCCCC" w:sz="1"/>
              <w:right w:val="single" w:color="CCCCCC" w:sz="1"/>
            </w:tcBorders>
            <w:shd w:fill="E2EFDA" w:val="clear"/>
            <w:tcMar>
              <w:top w:type="dxa" w:w="100"/>
              <w:left w:type="dxa" w:w="130"/>
              <w:bottom w:type="dxa" w:w="100"/>
              <w:right w:type="dxa" w:w="130"/>
            </w:tcMar>
          </w:tcPr>
          <w:p>
            <w:r>
              <w:rPr>
                <w:rFonts w:ascii="Arial" w:cs="Arial" w:eastAsia="Arial" w:hAnsi="Arial"/>
                <w:b/>
                <w:bCs/>
                <w:color w:val="000000"/>
                <w:sz w:val="20"/>
                <w:szCs w:val="20"/>
              </w:rPr>
              <w:t xml:space="preserve">4.2</w:t>
            </w:r>
          </w:p>
        </w:tc>
        <w:tc>
          <w:tcPr>
            <w:tcW w:type="dxa" w:w="268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tcPr>
          <w:p>
            <w:r>
              <w:rPr>
                <w:rFonts w:ascii="Arial" w:cs="Arial" w:eastAsia="Arial" w:hAnsi="Arial"/>
                <w:b w:val="false"/>
                <w:bCs w:val="false"/>
                <w:color w:val="000000"/>
                <w:sz w:val="20"/>
                <w:szCs w:val="20"/>
              </w:rPr>
              <w:t xml:space="preserve">On target — client happy</w:t>
            </w:r>
          </w:p>
        </w:tc>
        <w:tc>
          <w:tcPr>
            <w:tcW w:type="dxa" w:w="2680"/>
            <w:tcBorders>
              <w:top w:val="single" w:color="CCCCCC" w:sz="1"/>
              <w:left w:val="single" w:color="CCCCCC" w:sz="1"/>
              <w:bottom w:val="single" w:color="CCCCCC" w:sz="1"/>
              <w:right w:val="single" w:color="CCCCCC" w:sz="1"/>
            </w:tcBorders>
            <w:shd w:fill="F5F5F5" w:val="clear"/>
            <w:tcMar>
              <w:top w:type="dxa" w:w="100"/>
              <w:left w:type="dxa" w:w="130"/>
              <w:bottom w:type="dxa" w:w="100"/>
              <w:right w:type="dxa" w:w="130"/>
            </w:tcMar>
          </w:tcPr>
          <w:p>
            <w:r>
              <w:rPr>
                <w:rFonts w:ascii="Arial" w:cs="Arial" w:eastAsia="Arial" w:hAnsi="Arial"/>
                <w:b w:val="false"/>
                <w:bCs w:val="false"/>
                <w:color w:val="000000"/>
                <w:sz w:val="20"/>
                <w:szCs w:val="20"/>
              </w:rPr>
              <w:t xml:space="preserve">9 hrs</w:t>
            </w:r>
          </w:p>
        </w:tc>
      </w:tr>
    </w:tbl>
    <w:p>
      <w:pPr>
        <w:spacing w:after="60" w:before="60"/>
      </w:pPr>
      <w:r>
        <w:t xml:space="preserve"/>
      </w:r>
    </w:p>
    <w:p>
      <w:pPr>
        <w:pStyle w:val="ListParagraph"/>
        <w:numPr>
          <w:ilvl w:val="0"/>
          <w:numId w:val="2"/>
        </w:numPr>
        <w:spacing w:after="50" w:before="50"/>
      </w:pPr>
      <w:r>
        <w:rPr>
          <w:rFonts w:ascii="Arial" w:cs="Arial" w:eastAsia="Arial" w:hAnsi="Arial"/>
          <w:b/>
          <w:bCs/>
          <w:color w:val="2E75B6"/>
          <w:sz w:val="20"/>
          <w:szCs w:val="20"/>
        </w:rPr>
        <w:t xml:space="preserve">Campaign performance: </w:t>
      </w:r>
      <w:r>
        <w:rPr>
          <w:rFonts w:ascii="Arial" w:cs="Arial" w:eastAsia="Arial" w:hAnsi="Arial"/>
          <w:color w:val="333333"/>
          <w:sz w:val="20"/>
          <w:szCs w:val="20"/>
        </w:rPr>
        <w:t xml:space="preserve">ROAS 4.2, above category benchmark. Bid adjustments and keyword research this week are maintaining efficiency. No budget leakage observed.</w:t>
      </w:r>
    </w:p>
    <w:p>
      <w:pPr>
        <w:pStyle w:val="ListParagraph"/>
        <w:numPr>
          <w:ilvl w:val="0"/>
          <w:numId w:val="2"/>
        </w:numPr>
        <w:spacing w:after="50" w:before="50"/>
      </w:pPr>
      <w:r>
        <w:rPr>
          <w:rFonts w:ascii="Arial" w:cs="Arial" w:eastAsia="Arial" w:hAnsi="Arial"/>
          <w:b/>
          <w:bCs/>
          <w:color w:val="2E75B6"/>
          <w:sz w:val="20"/>
          <w:szCs w:val="20"/>
        </w:rPr>
        <w:t xml:space="preserve">Client interaction: </w:t>
      </w:r>
      <w:r>
        <w:rPr>
          <w:rFonts w:ascii="Arial" w:cs="Arial" w:eastAsia="Arial" w:hAnsi="Arial"/>
          <w:color w:val="333333"/>
          <w:sz w:val="20"/>
          <w:szCs w:val="20"/>
        </w:rPr>
        <w:t xml:space="preserve">Client asked Tuesday: "Can you explain what the daily spend breakdown means in the report? I don't understand the columns." Responded with a brief walkthrough. Client satisfied.</w:t>
      </w:r>
    </w:p>
    <w:p>
      <w:pPr>
        <w:pStyle w:val="ListParagraph"/>
        <w:numPr>
          <w:ilvl w:val="0"/>
          <w:numId w:val="2"/>
        </w:numPr>
        <w:spacing w:after="50" w:before="50"/>
      </w:pPr>
      <w:r>
        <w:rPr>
          <w:rFonts w:ascii="Arial" w:cs="Arial" w:eastAsia="Arial" w:hAnsi="Arial"/>
          <w:b/>
          <w:bCs/>
          <w:color w:val="2E75B6"/>
          <w:sz w:val="20"/>
          <w:szCs w:val="20"/>
        </w:rPr>
        <w:t xml:space="preserve">Next week: </w:t>
      </w:r>
      <w:r>
        <w:rPr>
          <w:rFonts w:ascii="Arial" w:cs="Arial" w:eastAsia="Arial" w:hAnsi="Arial"/>
          <w:color w:val="333333"/>
          <w:sz w:val="20"/>
          <w:szCs w:val="20"/>
        </w:rPr>
        <w:t xml:space="preserve">Routine optimization. No urgent action needed.</w:t>
      </w:r>
    </w:p>
    <w:p>
      <w:pPr>
        <w:spacing w:after="60" w:before="60"/>
      </w:pPr>
      <w:r>
        <w:t xml:space="preserve"/>
      </w:r>
    </w:p>
    <w:p>
      <w:pPr>
        <w:pStyle w:val="Heading2"/>
        <w:pBdr>
          <w:bottom w:val="single" w:color="2E75B6" w:sz="4"/>
        </w:pBdr>
        <w:spacing w:after="100" w:before="260"/>
      </w:pPr>
      <w:r>
        <w:rPr>
          <w:rFonts w:ascii="Arial" w:cs="Arial" w:eastAsia="Arial" w:hAnsi="Arial"/>
          <w:b/>
          <w:bCs/>
          <w:color w:val="1F4E79"/>
          <w:sz w:val="26"/>
          <w:szCs w:val="26"/>
        </w:rPr>
        <w:t xml:space="preserve">Brand B — UrbanPulse (Men's Grooming)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680"/>
        <w:gridCol w:w="2680"/>
      </w:tblGrid>
      <w:tr>
        <w:tc>
          <w:tcPr>
            <w:tcW w:type="dxa" w:w="2000"/>
            <w:tcBorders>
              <w:top w:val="single" w:color="CCCCCC" w:sz="1"/>
              <w:left w:val="single" w:color="CCCCCC" w:sz="1"/>
              <w:bottom w:val="single" w:color="CCCCCC" w:sz="1"/>
              <w:right w:val="single" w:color="CCCCCC" w:sz="1"/>
            </w:tcBorders>
            <w:shd w:fill="1F4E79" w:val="clear"/>
            <w:tcMar>
              <w:top w:type="dxa" w:w="100"/>
              <w:left w:type="dxa" w:w="130"/>
              <w:bottom w:type="dxa" w:w="100"/>
              <w:right w:type="dxa" w:w="130"/>
            </w:tcMar>
          </w:tcPr>
          <w:p>
            <w:r>
              <w:rPr>
                <w:rFonts w:ascii="Arial" w:cs="Arial" w:eastAsia="Arial" w:hAnsi="Arial"/>
                <w:b/>
                <w:bCs/>
                <w:color w:val="FFFFFF"/>
                <w:sz w:val="20"/>
                <w:szCs w:val="20"/>
              </w:rPr>
              <w:t xml:space="preserve">Ad Spend</w:t>
            </w:r>
          </w:p>
        </w:tc>
        <w:tc>
          <w:tcPr>
            <w:tcW w:type="dxa" w:w="2000"/>
            <w:tcBorders>
              <w:top w:val="single" w:color="CCCCCC" w:sz="1"/>
              <w:left w:val="single" w:color="CCCCCC" w:sz="1"/>
              <w:bottom w:val="single" w:color="CCCCCC" w:sz="1"/>
              <w:right w:val="single" w:color="CCCCCC" w:sz="1"/>
            </w:tcBorders>
            <w:shd w:fill="1F4E79" w:val="clear"/>
            <w:tcMar>
              <w:top w:type="dxa" w:w="100"/>
              <w:left w:type="dxa" w:w="130"/>
              <w:bottom w:type="dxa" w:w="100"/>
              <w:right w:type="dxa" w:w="130"/>
            </w:tcMar>
          </w:tcPr>
          <w:p>
            <w:r>
              <w:rPr>
                <w:rFonts w:ascii="Arial" w:cs="Arial" w:eastAsia="Arial" w:hAnsi="Arial"/>
                <w:b/>
                <w:bCs/>
                <w:color w:val="FFFFFF"/>
                <w:sz w:val="20"/>
                <w:szCs w:val="20"/>
              </w:rPr>
              <w:t xml:space="preserve">ROAS</w:t>
            </w:r>
          </w:p>
        </w:tc>
        <w:tc>
          <w:tcPr>
            <w:tcW w:type="dxa" w:w="2680"/>
            <w:tcBorders>
              <w:top w:val="single" w:color="CCCCCC" w:sz="1"/>
              <w:left w:val="single" w:color="CCCCCC" w:sz="1"/>
              <w:bottom w:val="single" w:color="CCCCCC" w:sz="1"/>
              <w:right w:val="single" w:color="CCCCCC" w:sz="1"/>
            </w:tcBorders>
            <w:shd w:fill="1F4E79" w:val="clear"/>
            <w:tcMar>
              <w:top w:type="dxa" w:w="100"/>
              <w:left w:type="dxa" w:w="130"/>
              <w:bottom w:type="dxa" w:w="100"/>
              <w:right w:type="dxa" w:w="130"/>
            </w:tcMar>
          </w:tcPr>
          <w:p>
            <w:r>
              <w:rPr>
                <w:rFonts w:ascii="Arial" w:cs="Arial" w:eastAsia="Arial" w:hAnsi="Arial"/>
                <w:b/>
                <w:bCs/>
                <w:color w:val="FFFFFF"/>
                <w:sz w:val="20"/>
                <w:szCs w:val="20"/>
              </w:rPr>
              <w:t xml:space="preserve">Status</w:t>
            </w:r>
          </w:p>
        </w:tc>
        <w:tc>
          <w:tcPr>
            <w:tcW w:type="dxa" w:w="2680"/>
            <w:tcBorders>
              <w:top w:val="single" w:color="CCCCCC" w:sz="1"/>
              <w:left w:val="single" w:color="CCCCCC" w:sz="1"/>
              <w:bottom w:val="single" w:color="CCCCCC" w:sz="1"/>
              <w:right w:val="single" w:color="CCCCCC" w:sz="1"/>
            </w:tcBorders>
            <w:shd w:fill="1F4E79" w:val="clear"/>
            <w:tcMar>
              <w:top w:type="dxa" w:w="100"/>
              <w:left w:type="dxa" w:w="130"/>
              <w:bottom w:type="dxa" w:w="100"/>
              <w:right w:type="dxa" w:w="130"/>
            </w:tcMar>
          </w:tcPr>
          <w:p>
            <w:r>
              <w:rPr>
                <w:rFonts w:ascii="Arial" w:cs="Arial" w:eastAsia="Arial" w:hAnsi="Arial"/>
                <w:b/>
                <w:bCs/>
                <w:color w:val="FFFFFF"/>
                <w:sz w:val="20"/>
                <w:szCs w:val="20"/>
              </w:rPr>
              <w:t xml:space="preserve">Hours This Week</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tcPr>
          <w:p>
            <w:r>
              <w:rPr>
                <w:rFonts w:ascii="Arial" w:cs="Arial" w:eastAsia="Arial" w:hAnsi="Arial"/>
                <w:b w:val="false"/>
                <w:bCs w:val="false"/>
                <w:color w:val="000000"/>
                <w:sz w:val="20"/>
                <w:szCs w:val="20"/>
              </w:rPr>
              <w:t xml:space="preserve">₹4L/month</w:t>
            </w:r>
          </w:p>
        </w:tc>
        <w:tc>
          <w:tcPr>
            <w:tcW w:type="dxa" w:w="2000"/>
            <w:tcBorders>
              <w:top w:val="single" w:color="CCCCCC" w:sz="1"/>
              <w:left w:val="single" w:color="CCCCCC" w:sz="1"/>
              <w:bottom w:val="single" w:color="CCCCCC" w:sz="1"/>
              <w:right w:val="single" w:color="CCCCCC" w:sz="1"/>
            </w:tcBorders>
            <w:shd w:fill="FCE4D6" w:val="clear"/>
            <w:tcMar>
              <w:top w:type="dxa" w:w="100"/>
              <w:left w:type="dxa" w:w="130"/>
              <w:bottom w:type="dxa" w:w="100"/>
              <w:right w:type="dxa" w:w="130"/>
            </w:tcMar>
          </w:tcPr>
          <w:p>
            <w:r>
              <w:rPr>
                <w:rFonts w:ascii="Arial" w:cs="Arial" w:eastAsia="Arial" w:hAnsi="Arial"/>
                <w:b/>
                <w:bCs/>
                <w:color w:val="000000"/>
                <w:sz w:val="20"/>
                <w:szCs w:val="20"/>
              </w:rPr>
              <w:t xml:space="preserve">2.1 (target: 3.0)</w:t>
            </w:r>
          </w:p>
        </w:tc>
        <w:tc>
          <w:tcPr>
            <w:tcW w:type="dxa" w:w="268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tcPr>
          <w:p>
            <w:r>
              <w:rPr>
                <w:rFonts w:ascii="Arial" w:cs="Arial" w:eastAsia="Arial" w:hAnsi="Arial"/>
                <w:b w:val="false"/>
                <w:bCs w:val="false"/>
                <w:color w:val="000000"/>
                <w:sz w:val="20"/>
                <w:szCs w:val="20"/>
              </w:rPr>
              <w:t xml:space="preserve">Below target — Month 2</w:t>
            </w:r>
          </w:p>
        </w:tc>
        <w:tc>
          <w:tcPr>
            <w:tcW w:type="dxa" w:w="2680"/>
            <w:tcBorders>
              <w:top w:val="single" w:color="CCCCCC" w:sz="1"/>
              <w:left w:val="single" w:color="CCCCCC" w:sz="1"/>
              <w:bottom w:val="single" w:color="CCCCCC" w:sz="1"/>
              <w:right w:val="single" w:color="CCCCCC" w:sz="1"/>
            </w:tcBorders>
            <w:shd w:fill="FFF2CC" w:val="clear"/>
            <w:tcMar>
              <w:top w:type="dxa" w:w="100"/>
              <w:left w:type="dxa" w:w="130"/>
              <w:bottom w:type="dxa" w:w="100"/>
              <w:right w:type="dxa" w:w="130"/>
            </w:tcMar>
          </w:tcPr>
          <w:p>
            <w:r>
              <w:rPr>
                <w:rFonts w:ascii="Arial" w:cs="Arial" w:eastAsia="Arial" w:hAnsi="Arial"/>
                <w:b/>
                <w:bCs/>
                <w:color w:val="000000"/>
                <w:sz w:val="20"/>
                <w:szCs w:val="20"/>
              </w:rPr>
              <w:t xml:space="preserve">12 hrs ⚑ highest this week</w:t>
            </w:r>
          </w:p>
        </w:tc>
      </w:tr>
    </w:tbl>
    <w:p>
      <w:pPr>
        <w:spacing w:after="60" w:before="60"/>
      </w:pPr>
      <w:r>
        <w:t xml:space="preserve"/>
      </w:r>
    </w:p>
    <w:p>
      <w:pPr>
        <w:pStyle w:val="ListParagraph"/>
        <w:numPr>
          <w:ilvl w:val="0"/>
          <w:numId w:val="2"/>
        </w:numPr>
        <w:spacing w:after="50" w:before="50"/>
      </w:pPr>
      <w:r>
        <w:rPr>
          <w:rFonts w:ascii="Arial" w:cs="Arial" w:eastAsia="Arial" w:hAnsi="Arial"/>
          <w:b/>
          <w:bCs/>
          <w:color w:val="2E75B6"/>
          <w:sz w:val="20"/>
          <w:szCs w:val="20"/>
        </w:rPr>
        <w:t xml:space="preserve">Campaign status: </w:t>
      </w:r>
      <w:r>
        <w:rPr>
          <w:rFonts w:ascii="Arial" w:cs="Arial" w:eastAsia="Arial" w:hAnsi="Arial"/>
          <w:color w:val="333333"/>
          <w:sz w:val="20"/>
          <w:szCs w:val="20"/>
        </w:rPr>
        <w:t xml:space="preserve">ROAS at 2.1 vs target of 3.0. Month 2 — algorithm still in learning phase. This is expected; performance typically improves in months 3-4 as campaign structure stabilises.</w:t>
      </w:r>
    </w:p>
    <w:p>
      <w:pPr>
        <w:pStyle w:val="ListParagraph"/>
        <w:numPr>
          <w:ilvl w:val="0"/>
          <w:numId w:val="2"/>
        </w:numPr>
        <w:spacing w:after="50" w:before="50"/>
      </w:pPr>
      <w:r>
        <w:rPr>
          <w:rFonts w:ascii="Arial" w:cs="Arial" w:eastAsia="Arial" w:hAnsi="Arial"/>
          <w:b/>
          <w:bCs/>
          <w:color w:val="2E75B6"/>
          <w:sz w:val="20"/>
          <w:szCs w:val="20"/>
        </w:rPr>
        <w:t xml:space="preserve">Work done this week: </w:t>
      </w:r>
      <w:r>
        <w:rPr>
          <w:rFonts w:ascii="Arial" w:cs="Arial" w:eastAsia="Arial" w:hAnsi="Arial"/>
          <w:color w:val="333333"/>
          <w:sz w:val="20"/>
          <w:szCs w:val="20"/>
        </w:rPr>
        <w:t xml:space="preserve">12 hours invested: deep keyword restructuring, full negative keyword audit, competitive analysis across 6 competitor listings, drafted client email response.</w:t>
      </w:r>
    </w:p>
    <w:p>
      <w:pPr>
        <w:pStyle w:val="ListParagraph"/>
        <w:numPr>
          <w:ilvl w:val="0"/>
          <w:numId w:val="2"/>
        </w:numPr>
        <w:spacing w:after="50" w:before="50"/>
      </w:pPr>
      <w:r>
        <w:rPr>
          <w:rFonts w:ascii="Arial" w:cs="Arial" w:eastAsia="Arial" w:hAnsi="Arial"/>
          <w:b/>
          <w:bCs/>
          <w:color w:val="2E75B6"/>
          <w:sz w:val="20"/>
          <w:szCs w:val="20"/>
        </w:rPr>
        <w:t xml:space="preserve">Client concern: </w:t>
      </w:r>
      <w:r>
        <w:rPr>
          <w:rFonts w:ascii="Arial" w:cs="Arial" w:eastAsia="Arial" w:hAnsi="Arial"/>
          <w:color w:val="333333"/>
          <w:sz w:val="20"/>
          <w:szCs w:val="20"/>
        </w:rPr>
        <w:t xml:space="preserve">Client emailed: "We're not seeing results. Our last agency showed better ROAS in Month 1." Response drafted explaining algorithm learning curve and the structural improvements made. Will send Monday for team lead review before sending.</w:t>
      </w:r>
    </w:p>
    <w:p>
      <w:pPr>
        <w:pStyle w:val="ListParagraph"/>
        <w:numPr>
          <w:ilvl w:val="0"/>
          <w:numId w:val="2"/>
        </w:numPr>
        <w:spacing w:after="50" w:before="50"/>
      </w:pPr>
      <w:r>
        <w:rPr>
          <w:rFonts w:ascii="Arial" w:cs="Arial" w:eastAsia="Arial" w:hAnsi="Arial"/>
          <w:b/>
          <w:bCs/>
          <w:color w:val="2E75B6"/>
          <w:sz w:val="20"/>
          <w:szCs w:val="20"/>
        </w:rPr>
        <w:t xml:space="preserve">Listing flag: </w:t>
      </w:r>
      <w:r>
        <w:rPr>
          <w:rFonts w:ascii="Arial" w:cs="Arial" w:eastAsia="Arial" w:hAnsi="Arial"/>
          <w:color w:val="333333"/>
          <w:sz w:val="20"/>
          <w:szCs w:val="20"/>
        </w:rPr>
        <w:t xml:space="preserve">UrbanPulse's product listing images are noticeably weaker than top 3 competitors in the men's grooming category — competitors use lifestyle shots while UrbanPulse has plain white-background product images. This is directly hurting click-through rate on ads. Flagging for client feedback.</w:t>
      </w:r>
    </w:p>
    <w:p>
      <w:pPr>
        <w:spacing w:after="60" w:before="60"/>
      </w:pPr>
      <w:r>
        <w:t xml:space="preserve"/>
      </w:r>
    </w:p>
    <w:p>
      <w:pPr>
        <w:pBdr>
          <w:left w:val="single" w:color="E6A000" w:sz="12"/>
        </w:pBdr>
        <w:shd w:fill="FFF2CC" w:val="clear"/>
        <w:spacing w:after="100" w:before="100"/>
        <w:ind w:left="360" w:right="200"/>
      </w:pPr>
      <w:r>
        <w:rPr>
          <w:rFonts w:ascii="Arial" w:cs="Arial" w:eastAsia="Arial" w:hAnsi="Arial"/>
          <w:b/>
          <w:bCs/>
          <w:color w:val="7B4F00"/>
          <w:sz w:val="20"/>
          <w:szCs w:val="20"/>
        </w:rPr>
        <w:t xml:space="preserve">⚑  HIGH ATTENTION: Client is at churn risk if Month 3 ROAS doesn't move. The 12 hours of restructuring work this week is invisible to them. We need a mechanism to communicate effort and progress proactively, not just reactively.</w:t>
      </w:r>
    </w:p>
    <w:p>
      <w:pPr>
        <w:spacing w:after="60" w:before="60"/>
      </w:pPr>
      <w:r>
        <w:t xml:space="preserve"/>
      </w:r>
    </w:p>
    <w:p>
      <w:pPr>
        <w:pStyle w:val="Heading2"/>
        <w:pBdr>
          <w:bottom w:val="single" w:color="2E75B6" w:sz="4"/>
        </w:pBdr>
        <w:spacing w:after="100" w:before="260"/>
      </w:pPr>
      <w:r>
        <w:rPr>
          <w:rFonts w:ascii="Arial" w:cs="Arial" w:eastAsia="Arial" w:hAnsi="Arial"/>
          <w:b/>
          <w:bCs/>
          <w:color w:val="1F4E79"/>
          <w:sz w:val="26"/>
          <w:szCs w:val="26"/>
        </w:rPr>
        <w:t xml:space="preserve">Brand C — NestWell (Home Fragrances)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680"/>
        <w:gridCol w:w="2680"/>
      </w:tblGrid>
      <w:tr>
        <w:tc>
          <w:tcPr>
            <w:tcW w:type="dxa" w:w="2000"/>
            <w:tcBorders>
              <w:top w:val="single" w:color="CCCCCC" w:sz="1"/>
              <w:left w:val="single" w:color="CCCCCC" w:sz="1"/>
              <w:bottom w:val="single" w:color="CCCCCC" w:sz="1"/>
              <w:right w:val="single" w:color="CCCCCC" w:sz="1"/>
            </w:tcBorders>
            <w:shd w:fill="1F4E79" w:val="clear"/>
            <w:tcMar>
              <w:top w:type="dxa" w:w="100"/>
              <w:left w:type="dxa" w:w="130"/>
              <w:bottom w:type="dxa" w:w="100"/>
              <w:right w:type="dxa" w:w="130"/>
            </w:tcMar>
          </w:tcPr>
          <w:p>
            <w:r>
              <w:rPr>
                <w:rFonts w:ascii="Arial" w:cs="Arial" w:eastAsia="Arial" w:hAnsi="Arial"/>
                <w:b/>
                <w:bCs/>
                <w:color w:val="FFFFFF"/>
                <w:sz w:val="20"/>
                <w:szCs w:val="20"/>
              </w:rPr>
              <w:t xml:space="preserve">Ad Spend</w:t>
            </w:r>
          </w:p>
        </w:tc>
        <w:tc>
          <w:tcPr>
            <w:tcW w:type="dxa" w:w="2000"/>
            <w:tcBorders>
              <w:top w:val="single" w:color="CCCCCC" w:sz="1"/>
              <w:left w:val="single" w:color="CCCCCC" w:sz="1"/>
              <w:bottom w:val="single" w:color="CCCCCC" w:sz="1"/>
              <w:right w:val="single" w:color="CCCCCC" w:sz="1"/>
            </w:tcBorders>
            <w:shd w:fill="1F4E79" w:val="clear"/>
            <w:tcMar>
              <w:top w:type="dxa" w:w="100"/>
              <w:left w:type="dxa" w:w="130"/>
              <w:bottom w:type="dxa" w:w="100"/>
              <w:right w:type="dxa" w:w="130"/>
            </w:tcMar>
          </w:tcPr>
          <w:p>
            <w:r>
              <w:rPr>
                <w:rFonts w:ascii="Arial" w:cs="Arial" w:eastAsia="Arial" w:hAnsi="Arial"/>
                <w:b/>
                <w:bCs/>
                <w:color w:val="FFFFFF"/>
                <w:sz w:val="20"/>
                <w:szCs w:val="20"/>
              </w:rPr>
              <w:t xml:space="preserve">ROAS</w:t>
            </w:r>
          </w:p>
        </w:tc>
        <w:tc>
          <w:tcPr>
            <w:tcW w:type="dxa" w:w="2680"/>
            <w:tcBorders>
              <w:top w:val="single" w:color="CCCCCC" w:sz="1"/>
              <w:left w:val="single" w:color="CCCCCC" w:sz="1"/>
              <w:bottom w:val="single" w:color="CCCCCC" w:sz="1"/>
              <w:right w:val="single" w:color="CCCCCC" w:sz="1"/>
            </w:tcBorders>
            <w:shd w:fill="1F4E79" w:val="clear"/>
            <w:tcMar>
              <w:top w:type="dxa" w:w="100"/>
              <w:left w:type="dxa" w:w="130"/>
              <w:bottom w:type="dxa" w:w="100"/>
              <w:right w:type="dxa" w:w="130"/>
            </w:tcMar>
          </w:tcPr>
          <w:p>
            <w:r>
              <w:rPr>
                <w:rFonts w:ascii="Arial" w:cs="Arial" w:eastAsia="Arial" w:hAnsi="Arial"/>
                <w:b/>
                <w:bCs/>
                <w:color w:val="FFFFFF"/>
                <w:sz w:val="20"/>
                <w:szCs w:val="20"/>
              </w:rPr>
              <w:t xml:space="preserve">Status</w:t>
            </w:r>
          </w:p>
        </w:tc>
        <w:tc>
          <w:tcPr>
            <w:tcW w:type="dxa" w:w="2680"/>
            <w:tcBorders>
              <w:top w:val="single" w:color="CCCCCC" w:sz="1"/>
              <w:left w:val="single" w:color="CCCCCC" w:sz="1"/>
              <w:bottom w:val="single" w:color="CCCCCC" w:sz="1"/>
              <w:right w:val="single" w:color="CCCCCC" w:sz="1"/>
            </w:tcBorders>
            <w:shd w:fill="1F4E79" w:val="clear"/>
            <w:tcMar>
              <w:top w:type="dxa" w:w="100"/>
              <w:left w:type="dxa" w:w="130"/>
              <w:bottom w:type="dxa" w:w="100"/>
              <w:right w:type="dxa" w:w="130"/>
            </w:tcMar>
          </w:tcPr>
          <w:p>
            <w:r>
              <w:rPr>
                <w:rFonts w:ascii="Arial" w:cs="Arial" w:eastAsia="Arial" w:hAnsi="Arial"/>
                <w:b/>
                <w:bCs/>
                <w:color w:val="FFFFFF"/>
                <w:sz w:val="20"/>
                <w:szCs w:val="20"/>
              </w:rPr>
              <w:t xml:space="preserve">Hours This Week</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tcPr>
          <w:p>
            <w:r>
              <w:rPr>
                <w:rFonts w:ascii="Arial" w:cs="Arial" w:eastAsia="Arial" w:hAnsi="Arial"/>
                <w:b w:val="false"/>
                <w:bCs w:val="false"/>
                <w:color w:val="000000"/>
                <w:sz w:val="20"/>
                <w:szCs w:val="20"/>
              </w:rPr>
              <w:t xml:space="preserve">₹1.8L/month</w:t>
            </w:r>
          </w:p>
        </w:tc>
        <w:tc>
          <w:tcPr>
            <w:tcW w:type="dxa" w:w="2000"/>
            <w:tcBorders>
              <w:top w:val="single" w:color="CCCCCC" w:sz="1"/>
              <w:left w:val="single" w:color="CCCCCC" w:sz="1"/>
              <w:bottom w:val="single" w:color="CCCCCC" w:sz="1"/>
              <w:right w:val="single" w:color="CCCCCC" w:sz="1"/>
            </w:tcBorders>
            <w:shd w:fill="E2EFDA" w:val="clear"/>
            <w:tcMar>
              <w:top w:type="dxa" w:w="100"/>
              <w:left w:type="dxa" w:w="130"/>
              <w:bottom w:type="dxa" w:w="100"/>
              <w:right w:type="dxa" w:w="130"/>
            </w:tcMar>
          </w:tcPr>
          <w:p>
            <w:r>
              <w:rPr>
                <w:rFonts w:ascii="Arial" w:cs="Arial" w:eastAsia="Arial" w:hAnsi="Arial"/>
                <w:b/>
                <w:bCs/>
                <w:color w:val="000000"/>
                <w:sz w:val="20"/>
                <w:szCs w:val="20"/>
              </w:rPr>
              <w:t xml:space="preserve">3.5</w:t>
            </w:r>
          </w:p>
        </w:tc>
        <w:tc>
          <w:tcPr>
            <w:tcW w:type="dxa" w:w="268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tcPr>
          <w:p>
            <w:r>
              <w:rPr>
                <w:rFonts w:ascii="Arial" w:cs="Arial" w:eastAsia="Arial" w:hAnsi="Arial"/>
                <w:b w:val="false"/>
                <w:bCs w:val="false"/>
                <w:color w:val="000000"/>
                <w:sz w:val="20"/>
                <w:szCs w:val="20"/>
              </w:rPr>
              <w:t xml:space="preserve">On target — stable</w:t>
            </w:r>
          </w:p>
        </w:tc>
        <w:tc>
          <w:tcPr>
            <w:tcW w:type="dxa" w:w="2680"/>
            <w:tcBorders>
              <w:top w:val="single" w:color="CCCCCC" w:sz="1"/>
              <w:left w:val="single" w:color="CCCCCC" w:sz="1"/>
              <w:bottom w:val="single" w:color="CCCCCC" w:sz="1"/>
              <w:right w:val="single" w:color="CCCCCC" w:sz="1"/>
            </w:tcBorders>
            <w:shd w:fill="F5F5F5" w:val="clear"/>
            <w:tcMar>
              <w:top w:type="dxa" w:w="100"/>
              <w:left w:type="dxa" w:w="130"/>
              <w:bottom w:type="dxa" w:w="100"/>
              <w:right w:type="dxa" w:w="130"/>
            </w:tcMar>
          </w:tcPr>
          <w:p>
            <w:r>
              <w:rPr>
                <w:rFonts w:ascii="Arial" w:cs="Arial" w:eastAsia="Arial" w:hAnsi="Arial"/>
                <w:b w:val="false"/>
                <w:bCs w:val="false"/>
                <w:color w:val="000000"/>
                <w:sz w:val="20"/>
                <w:szCs w:val="20"/>
              </w:rPr>
              <w:t xml:space="preserve">7 hrs</w:t>
            </w:r>
          </w:p>
        </w:tc>
      </w:tr>
    </w:tbl>
    <w:p>
      <w:pPr>
        <w:spacing w:after="60" w:before="60"/>
      </w:pPr>
      <w:r>
        <w:t xml:space="preserve"/>
      </w:r>
    </w:p>
    <w:p>
      <w:pPr>
        <w:pStyle w:val="ListParagraph"/>
        <w:numPr>
          <w:ilvl w:val="0"/>
          <w:numId w:val="2"/>
        </w:numPr>
        <w:spacing w:after="50" w:before="50"/>
      </w:pPr>
      <w:r>
        <w:rPr>
          <w:rFonts w:ascii="Arial" w:cs="Arial" w:eastAsia="Arial" w:hAnsi="Arial"/>
          <w:b/>
          <w:bCs/>
          <w:color w:val="2E75B6"/>
          <w:sz w:val="20"/>
          <w:szCs w:val="20"/>
        </w:rPr>
        <w:t xml:space="preserve">Campaign performance: </w:t>
      </w:r>
      <w:r>
        <w:rPr>
          <w:rFonts w:ascii="Arial" w:cs="Arial" w:eastAsia="Arial" w:hAnsi="Arial"/>
          <w:color w:val="333333"/>
          <w:sz w:val="20"/>
          <w:szCs w:val="20"/>
        </w:rPr>
        <w:t xml:space="preserve">ROAS 3.5, on target. Routine optimization week — monthly report prep done. No campaign issues.</w:t>
      </w:r>
    </w:p>
    <w:p>
      <w:pPr>
        <w:pStyle w:val="ListParagraph"/>
        <w:numPr>
          <w:ilvl w:val="0"/>
          <w:numId w:val="2"/>
        </w:numPr>
        <w:spacing w:after="50" w:before="50"/>
      </w:pPr>
      <w:r>
        <w:rPr>
          <w:rFonts w:ascii="Arial" w:cs="Arial" w:eastAsia="Arial" w:hAnsi="Arial"/>
          <w:b/>
          <w:bCs/>
          <w:color w:val="2E75B6"/>
          <w:sz w:val="20"/>
          <w:szCs w:val="20"/>
        </w:rPr>
        <w:t xml:space="preserve">Client interaction: </w:t>
      </w:r>
      <w:r>
        <w:rPr>
          <w:rFonts w:ascii="Arial" w:cs="Arial" w:eastAsia="Arial" w:hAnsi="Arial"/>
          <w:color w:val="333333"/>
          <w:sz w:val="20"/>
          <w:szCs w:val="20"/>
        </w:rPr>
        <w:t xml:space="preserve">Client asked Wednesday: "Can you explain what the daily spend breakdown means? The columns are confusing." Same question as Brand A this week — addressed directly.</w:t>
      </w:r>
    </w:p>
    <w:p>
      <w:pPr>
        <w:pStyle w:val="ListParagraph"/>
        <w:numPr>
          <w:ilvl w:val="0"/>
          <w:numId w:val="2"/>
        </w:numPr>
        <w:spacing w:after="50" w:before="50"/>
      </w:pPr>
      <w:r>
        <w:rPr>
          <w:rFonts w:ascii="Arial" w:cs="Arial" w:eastAsia="Arial" w:hAnsi="Arial"/>
          <w:b/>
          <w:bCs/>
          <w:color w:val="2E75B6"/>
          <w:sz w:val="20"/>
          <w:szCs w:val="20"/>
        </w:rPr>
        <w:t xml:space="preserve">Opportunity spotted: </w:t>
      </w:r>
      <w:r>
        <w:rPr>
          <w:rFonts w:ascii="Arial" w:cs="Arial" w:eastAsia="Arial" w:hAnsi="Arial"/>
          <w:color w:val="333333"/>
          <w:sz w:val="20"/>
          <w:szCs w:val="20"/>
        </w:rPr>
        <w:t xml:space="preserve">NestWell's Flipkart store is live but completely unadvertised. They haven't raised this — but it's sitting there as an untapped channel. Flagging as a potential cross-sell conversation.</w:t>
      </w:r>
    </w:p>
    <w:p>
      <w:pPr>
        <w:spacing w:after="60" w:before="60"/>
      </w:pPr>
      <w:r>
        <w:t xml:space="preserve"/>
      </w:r>
    </w:p>
    <w:p>
      <w:pPr>
        <w:pStyle w:val="Heading2"/>
        <w:pBdr>
          <w:bottom w:val="single" w:color="2E75B6" w:sz="4"/>
        </w:pBdr>
        <w:spacing w:after="100" w:before="260"/>
      </w:pPr>
      <w:r>
        <w:rPr>
          <w:rFonts w:ascii="Arial" w:cs="Arial" w:eastAsia="Arial" w:hAnsi="Arial"/>
          <w:b/>
          <w:bCs/>
          <w:color w:val="1F4E79"/>
          <w:sz w:val="26"/>
          <w:szCs w:val="26"/>
        </w:rPr>
        <w:t xml:space="preserve">Cross-Account Patterns — What This Week Revealed</w:t>
      </w:r>
    </w:p>
    <w:p>
      <w:pPr>
        <w:spacing w:after="80" w:before="180"/>
      </w:pPr>
      <w:r>
        <w:rPr>
          <w:rFonts w:ascii="Arial" w:cs="Arial" w:eastAsia="Arial" w:hAnsi="Arial"/>
          <w:b/>
          <w:bCs/>
          <w:color w:val="C00000"/>
          <w:sz w:val="22"/>
          <w:szCs w:val="22"/>
        </w:rPr>
        <w:t xml:space="preserve">Pattern 1: Report Readability Problem (Affects 2 of 3 Clients)</w:t>
      </w:r>
    </w:p>
    <w:p>
      <w:pPr>
        <w:spacing w:after="80" w:before="60"/>
      </w:pPr>
      <w:r>
        <w:rPr>
          <w:rFonts w:ascii="Arial" w:cs="Arial" w:eastAsia="Arial" w:hAnsi="Arial"/>
          <w:b w:val="false"/>
          <w:bCs w:val="false"/>
          <w:color w:val="333333"/>
          <w:sz w:val="20"/>
          <w:szCs w:val="20"/>
        </w:rPr>
        <w:t xml:space="preserve">Brand A and Brand C asked the exact same question this week — word for word — about the daily spend breakdown columns in the report. This is not a coincidence. This is a report design failure.</w:t>
      </w:r>
    </w:p>
    <w:p>
      <w:pPr>
        <w:pBdr>
          <w:left w:val="single" w:color="2E75B6" w:sz="12"/>
        </w:pBdr>
        <w:shd w:fill="D6E4F0" w:val="clear"/>
        <w:spacing w:after="120" w:before="120"/>
        <w:ind w:left="360" w:right="200"/>
      </w:pPr>
      <w:r>
        <w:rPr>
          <w:rFonts w:ascii="Arial" w:cs="Arial" w:eastAsia="Arial" w:hAnsi="Arial"/>
          <w:color w:val="222222"/>
          <w:sz w:val="20"/>
          <w:szCs w:val="20"/>
        </w:rPr>
        <w:t xml:space="preserve">If 2 out of 3 clients can't understand the same section of the same report in the same week, the problem is the report — not the clients. Recommendation: redesign the daily spend report. Add column header tooltips or a 1-row legend explaining what each column means. This is a 30-minute fix that prevents a recurring question across every account.</w:t>
      </w:r>
    </w:p>
    <w:p>
      <w:pPr>
        <w:spacing w:after="60" w:before="60"/>
      </w:pPr>
      <w:r>
        <w:t xml:space="preserve"/>
      </w:r>
    </w:p>
    <w:p>
      <w:pPr>
        <w:spacing w:after="80" w:before="180"/>
      </w:pPr>
      <w:r>
        <w:rPr>
          <w:rFonts w:ascii="Arial" w:cs="Arial" w:eastAsia="Arial" w:hAnsi="Arial"/>
          <w:b/>
          <w:bCs/>
          <w:color w:val="C00000"/>
          <w:sz w:val="22"/>
          <w:szCs w:val="22"/>
        </w:rPr>
        <w:t xml:space="preserve">Pattern 2: Effort Invisibility at UrbanPulse — Churn Risk</w:t>
      </w:r>
    </w:p>
    <w:p>
      <w:pPr>
        <w:spacing w:after="80" w:before="60"/>
      </w:pPr>
      <w:r>
        <w:rPr>
          <w:rFonts w:ascii="Arial" w:cs="Arial" w:eastAsia="Arial" w:hAnsi="Arial"/>
          <w:b w:val="false"/>
          <w:bCs w:val="false"/>
          <w:color w:val="333333"/>
          <w:sz w:val="20"/>
          <w:szCs w:val="20"/>
        </w:rPr>
        <w:t xml:space="preserve">Brand B consumed 12 hours this week — nearly double Brand A — yet the client believes 'nothing is happening.' The work being done (keyword restructuring, negative keyword audit, competitive analysis) is exactly the right work, but it's entirely invisible to the client.</w:t>
      </w:r>
    </w:p>
    <w:p>
      <w:pPr>
        <w:pBdr>
          <w:left w:val="single" w:color="2E75B6" w:sz="12"/>
        </w:pBdr>
        <w:shd w:fill="D6E4F0" w:val="clear"/>
        <w:spacing w:after="120" w:before="120"/>
        <w:ind w:left="360" w:right="200"/>
      </w:pPr>
      <w:r>
        <w:rPr>
          <w:rFonts w:ascii="Arial" w:cs="Arial" w:eastAsia="Arial" w:hAnsi="Arial"/>
          <w:color w:val="222222"/>
          <w:sz w:val="20"/>
          <w:szCs w:val="20"/>
        </w:rPr>
        <w:t xml:space="preserve">Suggestion: introduce a brief mid-week 'work log' touchpoint for high-effort accounts — not a full report, just a 3-line Slack or WhatsApp update: 'This week we rebuilt your keyword structure around 15 high-intent exact-match terms. Here's what we're watching.' This makes effort visible before the client interprets silence as inaction.</w:t>
      </w:r>
    </w:p>
    <w:p>
      <w:pPr>
        <w:spacing w:after="60" w:before="60"/>
      </w:pPr>
      <w:r>
        <w:t xml:space="preserve"/>
      </w:r>
    </w:p>
    <w:p>
      <w:pPr>
        <w:spacing w:after="80" w:before="180"/>
      </w:pPr>
      <w:r>
        <w:rPr>
          <w:rFonts w:ascii="Arial" w:cs="Arial" w:eastAsia="Arial" w:hAnsi="Arial"/>
          <w:b/>
          <w:bCs/>
          <w:color w:val="1F7830"/>
          <w:sz w:val="22"/>
          <w:szCs w:val="22"/>
        </w:rPr>
        <w:t xml:space="preserve">Pattern 3: NestWell Flipkart — Untapped Revenue Sitting Idle</w:t>
      </w:r>
    </w:p>
    <w:p>
      <w:pPr>
        <w:spacing w:after="80" w:before="60"/>
      </w:pPr>
      <w:r>
        <w:rPr>
          <w:rFonts w:ascii="Arial" w:cs="Arial" w:eastAsia="Arial" w:hAnsi="Arial"/>
          <w:b w:val="false"/>
          <w:bCs w:val="false"/>
          <w:color w:val="333333"/>
          <w:sz w:val="20"/>
          <w:szCs w:val="20"/>
        </w:rPr>
        <w:t xml:space="preserve">NestWell has an active Flipkart store with zero advertising on it. They haven't asked about it. But Flipkart's ad platform for home fragrances is less competitive than Amazon's, which typically means lower cost-per-click and easier ranking.</w:t>
      </w:r>
    </w:p>
    <w:p>
      <w:pPr>
        <w:pBdr>
          <w:left w:val="single" w:color="2E75B6" w:sz="12"/>
        </w:pBdr>
        <w:shd w:fill="D6E4F0" w:val="clear"/>
        <w:spacing w:after="120" w:before="120"/>
        <w:ind w:left="360" w:right="200"/>
      </w:pPr>
      <w:r>
        <w:rPr>
          <w:rFonts w:ascii="Arial" w:cs="Arial" w:eastAsia="Arial" w:hAnsi="Arial"/>
          <w:color w:val="222222"/>
          <w:sz w:val="20"/>
          <w:szCs w:val="20"/>
        </w:rPr>
        <w:t xml:space="preserve">This is a cross-sell opportunity, not just an observation. A ₹50K-1L/month Flipkart ad test could add incremental revenue without cannibalising Amazon performance. Worth raising with NestWell's MD rather than POC — this is a channel investment decision, not a campaign setting.</w:t>
      </w:r>
    </w:p>
    <w:p>
      <w:pPr>
        <w:spacing w:after="60" w:before="60"/>
      </w:pPr>
      <w:r>
        <w:t xml:space="preserve"/>
      </w:r>
    </w:p>
    <w:p>
      <w:pPr>
        <w:spacing w:after="80" w:before="180"/>
      </w:pPr>
      <w:r>
        <w:rPr>
          <w:rFonts w:ascii="Arial" w:cs="Arial" w:eastAsia="Arial" w:hAnsi="Arial"/>
          <w:b/>
          <w:bCs/>
          <w:color w:val="2E75B6"/>
          <w:sz w:val="22"/>
          <w:szCs w:val="22"/>
        </w:rPr>
        <w:t xml:space="preserve">One Change I'd Make to How the Team Works</w:t>
      </w:r>
    </w:p>
    <w:p>
      <w:pPr>
        <w:pBdr>
          <w:left w:val="single" w:color="2E75B6" w:sz="12"/>
        </w:pBdr>
        <w:shd w:fill="D6E4F0" w:val="clear"/>
        <w:spacing w:after="120" w:before="120"/>
        <w:ind w:left="360" w:right="200"/>
      </w:pPr>
      <w:r>
        <w:rPr>
          <w:rFonts w:ascii="Arial" w:cs="Arial" w:eastAsia="Arial" w:hAnsi="Arial"/>
          <w:color w:val="222222"/>
          <w:sz w:val="20"/>
          <w:szCs w:val="20"/>
        </w:rPr>
        <w:t xml:space="preserve">Introduce a weekly '3-line flag' practice: before each status update is sent, every analyst adds one line that starts with 'Something I noticed that nobody asked me about:' — This formalises V3 thinking as a habit. It takes 5 minutes per account but surfaces the kind of pattern recognition that prevents churn, creates upsell conversations, and shows clients we're thinking about their business, not just their campaigns.</w:t>
      </w:r>
    </w:p>
    <w:p>
      <w:pPr>
        <w:spacing w:after="60" w:before="60"/>
      </w:pPr>
      <w:r>
        <w:t xml:space="preserve"/>
      </w:r>
    </w:p>
    <w:p>
      <w:r>
        <w:br w:type="page"/>
      </w:r>
    </w:p>
    <w:p>
      <w:pPr>
        <w:pStyle w:val="Heading1"/>
        <w:shd w:fill="1F4E79" w:val="clear"/>
        <w:spacing w:after="140" w:before="240"/>
        <w:ind w:left="200"/>
      </w:pPr>
      <w:r>
        <w:rPr>
          <w:rFonts w:ascii="Arial" w:cs="Arial" w:eastAsia="Arial" w:hAnsi="Arial"/>
          <w:b/>
          <w:bCs/>
          <w:color w:val="FFFFFF"/>
          <w:sz w:val="32"/>
          <w:szCs w:val="32"/>
        </w:rPr>
        <w:t xml:space="preserve">TASK 3B: MD Talking Points — NestWell (Home Fragrances)</w:t>
      </w:r>
    </w:p>
    <w:p>
      <w:pPr>
        <w:spacing w:after="60" w:before="60"/>
      </w:pPr>
      <w:r>
        <w:t xml:space="preserve"/>
      </w:r>
    </w:p>
    <w:p>
      <w:pPr>
        <w:spacing w:after="60" w:before="60"/>
      </w:pPr>
      <w:r>
        <w:rPr>
          <w:rFonts w:ascii="Arial" w:cs="Arial" w:eastAsia="Arial" w:hAnsi="Arial"/>
          <w:b/>
          <w:bCs/>
          <w:color w:val="000000"/>
          <w:sz w:val="20"/>
          <w:szCs w:val="20"/>
        </w:rPr>
        <w:t xml:space="preserve">Brand selected: NestWell  |  Context: 15-minute call with the MD next week  |  Prepared by: AI Business Analyst</w:t>
      </w:r>
    </w:p>
    <w:p>
      <w:pPr>
        <w:spacing w:after="60" w:before="60"/>
      </w:pPr>
      <w:r>
        <w:t xml:space="preserve"/>
      </w:r>
    </w:p>
    <w:p>
      <w:pPr>
        <w:spacing w:after="60" w:before="60"/>
      </w:pPr>
      <w:r>
        <w:rPr>
          <w:rFonts w:ascii="Arial" w:cs="Arial" w:eastAsia="Arial" w:hAnsi="Arial"/>
          <w:b w:val="false"/>
          <w:bCs w:val="false"/>
          <w:color w:val="555555"/>
          <w:sz w:val="20"/>
          <w:szCs w:val="20"/>
        </w:rPr>
        <w:t xml:space="preserve">Why NestWell: Of the three brands, NestWell has the most compelling strategic story right now — stable Amazon performance AND an untapped Flipkart channel that the MD almost certainly doesn't know we've spotted. This is the most natural MD conversation.</w:t>
      </w:r>
    </w:p>
    <w:p>
      <w:pPr>
        <w:spacing w:after="60" w:before="60"/>
      </w:pPr>
      <w:r>
        <w:t xml:space="preserve"/>
      </w:r>
    </w:p>
    <w:p>
      <w:pPr>
        <w:pStyle w:val="Heading2"/>
        <w:pBdr>
          <w:bottom w:val="single" w:color="2E75B6" w:sz="4"/>
        </w:pBdr>
        <w:spacing w:after="100" w:before="260"/>
      </w:pPr>
      <w:r>
        <w:rPr>
          <w:rFonts w:ascii="Arial" w:cs="Arial" w:eastAsia="Arial" w:hAnsi="Arial"/>
          <w:b/>
          <w:bCs/>
          <w:color w:val="1F4E79"/>
          <w:sz w:val="26"/>
          <w:szCs w:val="26"/>
        </w:rPr>
        <w:t xml:space="preserve">Opening: Where NestWell Stands Today</w:t>
      </w:r>
    </w:p>
    <w:p>
      <w:pPr>
        <w:pStyle w:val="ListParagraph"/>
        <w:numPr>
          <w:ilvl w:val="0"/>
          <w:numId w:val="2"/>
        </w:numPr>
        <w:spacing w:after="50" w:before="50"/>
      </w:pPr>
      <w:r>
        <w:rPr>
          <w:rFonts w:ascii="Arial" w:cs="Arial" w:eastAsia="Arial" w:hAnsi="Arial"/>
          <w:b/>
          <w:bCs/>
          <w:color w:val="2E75B6"/>
          <w:sz w:val="20"/>
          <w:szCs w:val="20"/>
        </w:rPr>
        <w:t xml:space="preserve">Amazon channel: </w:t>
      </w:r>
      <w:r>
        <w:rPr>
          <w:rFonts w:ascii="Arial" w:cs="Arial" w:eastAsia="Arial" w:hAnsi="Arial"/>
          <w:color w:val="333333"/>
          <w:sz w:val="20"/>
          <w:szCs w:val="20"/>
        </w:rPr>
        <w:t xml:space="preserve">₹1.8L/month in ad spend, ROAS 3.5 — campaigns are performing well and stable. The brand is not wasting money.</w:t>
      </w:r>
    </w:p>
    <w:p>
      <w:pPr>
        <w:pStyle w:val="ListParagraph"/>
        <w:numPr>
          <w:ilvl w:val="0"/>
          <w:numId w:val="2"/>
        </w:numPr>
        <w:spacing w:after="50" w:before="50"/>
      </w:pPr>
      <w:r>
        <w:rPr>
          <w:rFonts w:ascii="Arial" w:cs="Arial" w:eastAsia="Arial" w:hAnsi="Arial"/>
          <w:b/>
          <w:bCs/>
          <w:color w:val="2E75B6"/>
          <w:sz w:val="20"/>
          <w:szCs w:val="20"/>
        </w:rPr>
        <w:t xml:space="preserve">What this means in business terms: </w:t>
      </w:r>
      <w:r>
        <w:rPr>
          <w:rFonts w:ascii="Arial" w:cs="Arial" w:eastAsia="Arial" w:hAnsi="Arial"/>
          <w:color w:val="333333"/>
          <w:sz w:val="20"/>
          <w:szCs w:val="20"/>
        </w:rPr>
        <w:t xml:space="preserve">For every ₹1 spent on advertising, the brand is generating ₹3.50 in ad revenue. But more importantly, the ads are building organic search presence — over time, customers start finding NestWell without clicking an ad, which means the channel gets more profitable without increasing spend.</w:t>
      </w:r>
    </w:p>
    <w:p>
      <w:pPr>
        <w:pStyle w:val="ListParagraph"/>
        <w:numPr>
          <w:ilvl w:val="0"/>
          <w:numId w:val="2"/>
        </w:numPr>
        <w:spacing w:after="50" w:before="50"/>
      </w:pPr>
      <w:r>
        <w:rPr>
          <w:rFonts w:ascii="Arial" w:cs="Arial" w:eastAsia="Arial" w:hAnsi="Arial"/>
          <w:b/>
          <w:bCs/>
          <w:color w:val="2E75B6"/>
          <w:sz w:val="20"/>
          <w:szCs w:val="20"/>
        </w:rPr>
        <w:t xml:space="preserve">What I want to understand from the MD: </w:t>
      </w:r>
      <w:r>
        <w:rPr>
          <w:rFonts w:ascii="Arial" w:cs="Arial" w:eastAsia="Arial" w:hAnsi="Arial"/>
          <w:color w:val="333333"/>
          <w:sz w:val="20"/>
          <w:szCs w:val="20"/>
        </w:rPr>
        <w:t xml:space="preserve">What is NestWell's revenue target for this financial year on e-commerce? Is Amazon the primary digital channel, or are there others? That context helps us shape what 'growth' means for the next 90 days.</w:t>
      </w:r>
    </w:p>
    <w:p>
      <w:pPr>
        <w:spacing w:after="60" w:before="60"/>
      </w:pPr>
      <w:r>
        <w:t xml:space="preserve"/>
      </w:r>
    </w:p>
    <w:p>
      <w:pPr>
        <w:pStyle w:val="Heading2"/>
        <w:pBdr>
          <w:bottom w:val="single" w:color="2E75B6" w:sz="4"/>
        </w:pBdr>
        <w:spacing w:after="100" w:before="260"/>
      </w:pPr>
      <w:r>
        <w:rPr>
          <w:rFonts w:ascii="Arial" w:cs="Arial" w:eastAsia="Arial" w:hAnsi="Arial"/>
          <w:b/>
          <w:bCs/>
          <w:color w:val="1F4E79"/>
          <w:sz w:val="26"/>
          <w:szCs w:val="26"/>
        </w:rPr>
        <w:t xml:space="preserve">The Opportunity I Want to Bring to This Call</w:t>
      </w:r>
    </w:p>
    <w:p>
      <w:pPr>
        <w:pBdr>
          <w:left w:val="single" w:color="2E75B6" w:sz="12"/>
        </w:pBdr>
        <w:shd w:fill="D6E4F0" w:val="clear"/>
        <w:spacing w:after="120" w:before="120"/>
        <w:ind w:left="360" w:right="200"/>
      </w:pPr>
      <w:r>
        <w:rPr>
          <w:rFonts w:ascii="Arial" w:cs="Arial" w:eastAsia="Arial" w:hAnsi="Arial"/>
          <w:color w:val="222222"/>
          <w:sz w:val="20"/>
          <w:szCs w:val="20"/>
        </w:rPr>
        <w:t xml:space="preserve">NestWell has an active Flipkart store — but it is completely unadvertised. Your competitors in home fragrances are likely already running ads there. Flipkart's ad platform for this category is less mature than Amazon's, meaning lower cost-per-click and less competition for the same keywords. A test budget of ₹50K–₹1L/month could tell us within 60 days whether Flipkart adds meaningful incremental revenue — or whether to hold off and double down on Amazon.</w:t>
      </w:r>
    </w:p>
    <w:p>
      <w:pPr>
        <w:spacing w:after="60" w:before="60"/>
      </w:pPr>
      <w:r>
        <w:t xml:space="preserve"/>
      </w:r>
    </w:p>
    <w:p>
      <w:pPr>
        <w:pStyle w:val="ListParagraph"/>
        <w:numPr>
          <w:ilvl w:val="0"/>
          <w:numId w:val="2"/>
        </w:numPr>
        <w:spacing w:after="50" w:before="50"/>
      </w:pPr>
      <w:r>
        <w:rPr>
          <w:rFonts w:ascii="Arial" w:cs="Arial" w:eastAsia="Arial" w:hAnsi="Arial"/>
          <w:b/>
          <w:bCs/>
          <w:color w:val="2E75B6"/>
          <w:sz w:val="20"/>
          <w:szCs w:val="20"/>
        </w:rPr>
        <w:t xml:space="preserve">Why this is worth the MD's attention: </w:t>
      </w:r>
      <w:r>
        <w:rPr>
          <w:rFonts w:ascii="Arial" w:cs="Arial" w:eastAsia="Arial" w:hAnsi="Arial"/>
          <w:color w:val="333333"/>
          <w:sz w:val="20"/>
          <w:szCs w:val="20"/>
        </w:rPr>
        <w:t xml:space="preserve">This isn't a campaign change — it's a new revenue channel decision. Only the MD can authorise testing a new platform and allocating budget for it. The POC can't make this call.</w:t>
      </w:r>
    </w:p>
    <w:p>
      <w:pPr>
        <w:pStyle w:val="ListParagraph"/>
        <w:numPr>
          <w:ilvl w:val="0"/>
          <w:numId w:val="2"/>
        </w:numPr>
        <w:spacing w:after="50" w:before="50"/>
      </w:pPr>
      <w:r>
        <w:rPr>
          <w:rFonts w:ascii="Arial" w:cs="Arial" w:eastAsia="Arial" w:hAnsi="Arial"/>
          <w:b/>
          <w:bCs/>
          <w:color w:val="2E75B6"/>
          <w:sz w:val="20"/>
          <w:szCs w:val="20"/>
        </w:rPr>
        <w:t xml:space="preserve">The revenue case: </w:t>
      </w:r>
      <w:r>
        <w:rPr>
          <w:rFonts w:ascii="Arial" w:cs="Arial" w:eastAsia="Arial" w:hAnsi="Arial"/>
          <w:color w:val="333333"/>
          <w:sz w:val="20"/>
          <w:szCs w:val="20"/>
        </w:rPr>
        <w:t xml:space="preserve">If Flipkart delivers even a 2x ROAS on ₹1L/month test spend, that's ₹2L in additional monthly revenue with no impact on Amazon performance. At 3x (which is realistic for a less competitive platform), it's ₹3L incremental per month — ₹36L annualised from a ₹12L/year test investment.</w:t>
      </w:r>
    </w:p>
    <w:p>
      <w:pPr>
        <w:pStyle w:val="ListParagraph"/>
        <w:numPr>
          <w:ilvl w:val="0"/>
          <w:numId w:val="2"/>
        </w:numPr>
        <w:spacing w:after="50" w:before="50"/>
      </w:pPr>
      <w:r>
        <w:rPr>
          <w:rFonts w:ascii="Arial" w:cs="Arial" w:eastAsia="Arial" w:hAnsi="Arial"/>
          <w:b/>
          <w:bCs/>
          <w:color w:val="2E75B6"/>
          <w:sz w:val="20"/>
          <w:szCs w:val="20"/>
        </w:rPr>
        <w:t xml:space="preserve">The risk if we don't test: </w:t>
      </w:r>
      <w:r>
        <w:rPr>
          <w:rFonts w:ascii="Arial" w:cs="Arial" w:eastAsia="Arial" w:hAnsi="Arial"/>
          <w:color w:val="333333"/>
          <w:sz w:val="20"/>
          <w:szCs w:val="20"/>
        </w:rPr>
        <w:t xml:space="preserve">Every month NestWell doesn't advertise on Flipkart is a month a competitor builds category authority there. Paid advertising on Flipkart also trains the Flipkart search algorithm — the longer we wait, the more ground we concede.</w:t>
      </w:r>
    </w:p>
    <w:p>
      <w:pPr>
        <w:spacing w:after="60" w:before="60"/>
      </w:pPr>
      <w:r>
        <w:t xml:space="preserve"/>
      </w:r>
    </w:p>
    <w:p>
      <w:pPr>
        <w:pStyle w:val="Heading2"/>
        <w:pBdr>
          <w:bottom w:val="single" w:color="2E75B6" w:sz="4"/>
        </w:pBdr>
        <w:spacing w:after="100" w:before="260"/>
      </w:pPr>
      <w:r>
        <w:rPr>
          <w:rFonts w:ascii="Arial" w:cs="Arial" w:eastAsia="Arial" w:hAnsi="Arial"/>
          <w:b/>
          <w:bCs/>
          <w:color w:val="1F4E79"/>
          <w:sz w:val="26"/>
          <w:szCs w:val="26"/>
        </w:rPr>
        <w:t xml:space="preserve">Questions I Would Ask the MD</w:t>
      </w:r>
    </w:p>
    <w:p>
      <w:pPr>
        <w:pStyle w:val="ListParagraph"/>
        <w:numPr>
          <w:ilvl w:val="0"/>
          <w:numId w:val="2"/>
        </w:numPr>
        <w:spacing w:after="50" w:before="50"/>
      </w:pPr>
      <w:r>
        <w:rPr>
          <w:rFonts w:ascii="Arial" w:cs="Arial" w:eastAsia="Arial" w:hAnsi="Arial"/>
          <w:b/>
          <w:bCs/>
          <w:color w:val="2E75B6"/>
          <w:sz w:val="20"/>
          <w:szCs w:val="20"/>
        </w:rPr>
        <w:t xml:space="preserve">Question 1: </w:t>
      </w:r>
      <w:r>
        <w:rPr>
          <w:rFonts w:ascii="Arial" w:cs="Arial" w:eastAsia="Arial" w:hAnsi="Arial"/>
          <w:color w:val="333333"/>
          <w:sz w:val="20"/>
          <w:szCs w:val="20"/>
        </w:rPr>
        <w:t xml:space="preserve">"What's your current revenue mix across channels — Amazon, your own website, retail? Where is the majority of growth coming from, and where do you feel most under-invested?"</w:t>
      </w:r>
    </w:p>
    <w:p>
      <w:pPr>
        <w:pStyle w:val="ListParagraph"/>
        <w:numPr>
          <w:ilvl w:val="0"/>
          <w:numId w:val="2"/>
        </w:numPr>
        <w:spacing w:after="50" w:before="50"/>
      </w:pPr>
      <w:r>
        <w:rPr>
          <w:rFonts w:ascii="Arial" w:cs="Arial" w:eastAsia="Arial" w:hAnsi="Arial"/>
          <w:b/>
          <w:bCs/>
          <w:color w:val="2E75B6"/>
          <w:sz w:val="20"/>
          <w:szCs w:val="20"/>
        </w:rPr>
        <w:t xml:space="preserve">Question 2: </w:t>
      </w:r>
      <w:r>
        <w:rPr>
          <w:rFonts w:ascii="Arial" w:cs="Arial" w:eastAsia="Arial" w:hAnsi="Arial"/>
          <w:color w:val="333333"/>
          <w:sz w:val="20"/>
          <w:szCs w:val="20"/>
        </w:rPr>
        <w:t xml:space="preserve">"Are you seeing competitors in home fragrances show up on Flipkart? Have you noticed any of your products ranking there organically already?"</w:t>
      </w:r>
    </w:p>
    <w:p>
      <w:pPr>
        <w:pStyle w:val="ListParagraph"/>
        <w:numPr>
          <w:ilvl w:val="0"/>
          <w:numId w:val="2"/>
        </w:numPr>
        <w:spacing w:after="50" w:before="50"/>
      </w:pPr>
      <w:r>
        <w:rPr>
          <w:rFonts w:ascii="Arial" w:cs="Arial" w:eastAsia="Arial" w:hAnsi="Arial"/>
          <w:b/>
          <w:bCs/>
          <w:color w:val="2E75B6"/>
          <w:sz w:val="20"/>
          <w:szCs w:val="20"/>
        </w:rPr>
        <w:t xml:space="preserve">Question 3: </w:t>
      </w:r>
      <w:r>
        <w:rPr>
          <w:rFonts w:ascii="Arial" w:cs="Arial" w:eastAsia="Arial" w:hAnsi="Arial"/>
          <w:color w:val="333333"/>
          <w:sz w:val="20"/>
          <w:szCs w:val="20"/>
        </w:rPr>
        <w:t xml:space="preserve">"If we could add ₹2-3L/month in incremental revenue through Flipkart with a 60-day test, would you want to explore that this quarter — or is your focus right now on deepening Amazon performance first?"</w:t>
      </w:r>
    </w:p>
    <w:p>
      <w:pPr>
        <w:pStyle w:val="ListParagraph"/>
        <w:numPr>
          <w:ilvl w:val="0"/>
          <w:numId w:val="2"/>
        </w:numPr>
        <w:spacing w:after="50" w:before="50"/>
      </w:pPr>
      <w:r>
        <w:rPr>
          <w:rFonts w:ascii="Arial" w:cs="Arial" w:eastAsia="Arial" w:hAnsi="Arial"/>
          <w:b/>
          <w:bCs/>
          <w:color w:val="2E75B6"/>
          <w:sz w:val="20"/>
          <w:szCs w:val="20"/>
        </w:rPr>
        <w:t xml:space="preserve">Question 4: </w:t>
      </w:r>
      <w:r>
        <w:rPr>
          <w:rFonts w:ascii="Arial" w:cs="Arial" w:eastAsia="Arial" w:hAnsi="Arial"/>
          <w:color w:val="333333"/>
          <w:sz w:val="20"/>
          <w:szCs w:val="20"/>
        </w:rPr>
        <w:t xml:space="preserve">"What does success look like for your e-commerce business 12 months from now — is it topline revenue, brand presence, or a specific profit target?"</w:t>
      </w:r>
    </w:p>
    <w:p>
      <w:pPr>
        <w:spacing w:after="60" w:before="60"/>
      </w:pPr>
      <w:r>
        <w:t xml:space="preserve"/>
      </w:r>
    </w:p>
    <w:p>
      <w:pPr>
        <w:pStyle w:val="Heading2"/>
        <w:pBdr>
          <w:bottom w:val="single" w:color="2E75B6" w:sz="4"/>
        </w:pBdr>
        <w:spacing w:after="100" w:before="260"/>
      </w:pPr>
      <w:r>
        <w:rPr>
          <w:rFonts w:ascii="Arial" w:cs="Arial" w:eastAsia="Arial" w:hAnsi="Arial"/>
          <w:b/>
          <w:bCs/>
          <w:color w:val="1F4E79"/>
          <w:sz w:val="26"/>
          <w:szCs w:val="26"/>
        </w:rPr>
        <w:t xml:space="preserve">What I Would NOT Bring to This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100"/>
              <w:left w:type="dxa" w:w="130"/>
              <w:bottom w:type="dxa" w:w="100"/>
              <w:right w:type="dxa" w:w="130"/>
            </w:tcMar>
          </w:tcPr>
          <w:p>
            <w:r>
              <w:rPr>
                <w:rFonts w:ascii="Arial" w:cs="Arial" w:eastAsia="Arial" w:hAnsi="Arial"/>
                <w:b/>
                <w:bCs/>
                <w:color w:val="FFFFFF"/>
                <w:sz w:val="20"/>
                <w:szCs w:val="20"/>
              </w:rPr>
              <w:t xml:space="preserve">What to AVOID saying to the MD</w:t>
            </w:r>
          </w:p>
        </w:tc>
        <w:tc>
          <w:tcPr>
            <w:tcW w:type="dxa" w:w="4680"/>
            <w:tcBorders>
              <w:top w:val="single" w:color="CCCCCC" w:sz="1"/>
              <w:left w:val="single" w:color="CCCCCC" w:sz="1"/>
              <w:bottom w:val="single" w:color="CCCCCC" w:sz="1"/>
              <w:right w:val="single" w:color="CCCCCC" w:sz="1"/>
            </w:tcBorders>
            <w:shd w:fill="1F4E79" w:val="clear"/>
            <w:tcMar>
              <w:top w:type="dxa" w:w="100"/>
              <w:left w:type="dxa" w:w="130"/>
              <w:bottom w:type="dxa" w:w="100"/>
              <w:right w:type="dxa" w:w="130"/>
            </w:tcMar>
          </w:tcPr>
          <w:p>
            <w:r>
              <w:rPr>
                <w:rFonts w:ascii="Arial" w:cs="Arial" w:eastAsia="Arial" w:hAnsi="Arial"/>
                <w:b/>
                <w:bCs/>
                <w:color w:val="FFFFFF"/>
                <w:sz w:val="20"/>
                <w:szCs w:val="20"/>
              </w:rPr>
              <w:t xml:space="preserve">Why</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tcPr>
          <w:p>
            <w:r>
              <w:rPr>
                <w:rFonts w:ascii="Arial" w:cs="Arial" w:eastAsia="Arial" w:hAnsi="Arial"/>
                <w:b w:val="false"/>
                <w:bCs w:val="false"/>
                <w:color w:val="000000"/>
                <w:sz w:val="20"/>
                <w:szCs w:val="20"/>
              </w:rPr>
              <w:t xml:space="preserve">"Your ROAS is 3.5"</w:t>
            </w:r>
          </w:p>
        </w:tc>
        <w:tc>
          <w:tcPr>
            <w:tcW w:type="dxa" w:w="4680"/>
            <w:tcBorders>
              <w:top w:val="single" w:color="CCCCCC" w:sz="1"/>
              <w:left w:val="single" w:color="CCCCCC" w:sz="1"/>
              <w:bottom w:val="single" w:color="CCCCCC" w:sz="1"/>
              <w:right w:val="single" w:color="CCCCCC" w:sz="1"/>
            </w:tcBorders>
            <w:shd w:fill="FCE4D6" w:val="clear"/>
            <w:tcMar>
              <w:top w:type="dxa" w:w="100"/>
              <w:left w:type="dxa" w:w="130"/>
              <w:bottom w:type="dxa" w:w="100"/>
              <w:right w:type="dxa" w:w="130"/>
            </w:tcMar>
          </w:tcPr>
          <w:p>
            <w:r>
              <w:rPr>
                <w:rFonts w:ascii="Arial" w:cs="Arial" w:eastAsia="Arial" w:hAnsi="Arial"/>
                <w:b w:val="false"/>
                <w:bCs w:val="false"/>
                <w:color w:val="000000"/>
                <w:sz w:val="20"/>
                <w:szCs w:val="20"/>
              </w:rPr>
              <w:t xml:space="preserve">MD doesn't track ROAS — this is POC language</w:t>
            </w:r>
          </w:p>
        </w:tc>
      </w:tr>
      <w:tr>
        <w:tc>
          <w:tcPr>
            <w:tcW w:type="dxa" w:w="4680"/>
            <w:tcBorders>
              <w:top w:val="single" w:color="CCCCCC" w:sz="1"/>
              <w:left w:val="single" w:color="CCCCCC" w:sz="1"/>
              <w:bottom w:val="single" w:color="CCCCCC" w:sz="1"/>
              <w:right w:val="single" w:color="CCCCCC" w:sz="1"/>
            </w:tcBorders>
            <w:shd w:fill="F5F5F5" w:val="clear"/>
            <w:tcMar>
              <w:top w:type="dxa" w:w="100"/>
              <w:left w:type="dxa" w:w="130"/>
              <w:bottom w:type="dxa" w:w="100"/>
              <w:right w:type="dxa" w:w="130"/>
            </w:tcMar>
          </w:tcPr>
          <w:p>
            <w:r>
              <w:rPr>
                <w:rFonts w:ascii="Arial" w:cs="Arial" w:eastAsia="Arial" w:hAnsi="Arial"/>
                <w:b w:val="false"/>
                <w:bCs w:val="false"/>
                <w:color w:val="000000"/>
                <w:sz w:val="20"/>
                <w:szCs w:val="20"/>
              </w:rPr>
              <w:t xml:space="preserve">"We optimised your keyword bids this week"</w:t>
            </w:r>
          </w:p>
        </w:tc>
        <w:tc>
          <w:tcPr>
            <w:tcW w:type="dxa" w:w="4680"/>
            <w:tcBorders>
              <w:top w:val="single" w:color="CCCCCC" w:sz="1"/>
              <w:left w:val="single" w:color="CCCCCC" w:sz="1"/>
              <w:bottom w:val="single" w:color="CCCCCC" w:sz="1"/>
              <w:right w:val="single" w:color="CCCCCC" w:sz="1"/>
            </w:tcBorders>
            <w:shd w:fill="FCE4D6" w:val="clear"/>
            <w:tcMar>
              <w:top w:type="dxa" w:w="100"/>
              <w:left w:type="dxa" w:w="130"/>
              <w:bottom w:type="dxa" w:w="100"/>
              <w:right w:type="dxa" w:w="130"/>
            </w:tcMar>
          </w:tcPr>
          <w:p>
            <w:r>
              <w:rPr>
                <w:rFonts w:ascii="Arial" w:cs="Arial" w:eastAsia="Arial" w:hAnsi="Arial"/>
                <w:b w:val="false"/>
                <w:bCs w:val="false"/>
                <w:color w:val="000000"/>
                <w:sz w:val="20"/>
                <w:szCs w:val="20"/>
              </w:rPr>
              <w:t xml:space="preserve">Operational detail — irrelevant at MD level</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tcPr>
          <w:p>
            <w:r>
              <w:rPr>
                <w:rFonts w:ascii="Arial" w:cs="Arial" w:eastAsia="Arial" w:hAnsi="Arial"/>
                <w:b w:val="false"/>
                <w:bCs w:val="false"/>
                <w:color w:val="000000"/>
                <w:sz w:val="20"/>
                <w:szCs w:val="20"/>
              </w:rPr>
              <w:t xml:space="preserve">"ACOS improved to 28%"</w:t>
            </w:r>
          </w:p>
        </w:tc>
        <w:tc>
          <w:tcPr>
            <w:tcW w:type="dxa" w:w="4680"/>
            <w:tcBorders>
              <w:top w:val="single" w:color="CCCCCC" w:sz="1"/>
              <w:left w:val="single" w:color="CCCCCC" w:sz="1"/>
              <w:bottom w:val="single" w:color="CCCCCC" w:sz="1"/>
              <w:right w:val="single" w:color="CCCCCC" w:sz="1"/>
            </w:tcBorders>
            <w:shd w:fill="FCE4D6" w:val="clear"/>
            <w:tcMar>
              <w:top w:type="dxa" w:w="100"/>
              <w:left w:type="dxa" w:w="130"/>
              <w:bottom w:type="dxa" w:w="100"/>
              <w:right w:type="dxa" w:w="130"/>
            </w:tcMar>
          </w:tcPr>
          <w:p>
            <w:r>
              <w:rPr>
                <w:rFonts w:ascii="Arial" w:cs="Arial" w:eastAsia="Arial" w:hAnsi="Arial"/>
                <w:b w:val="false"/>
                <w:bCs w:val="false"/>
                <w:color w:val="000000"/>
                <w:sz w:val="20"/>
                <w:szCs w:val="20"/>
              </w:rPr>
              <w:t xml:space="preserve">Campaign metric — means nothing to a founder</w:t>
            </w:r>
          </w:p>
        </w:tc>
      </w:tr>
      <w:tr>
        <w:tc>
          <w:tcPr>
            <w:tcW w:type="dxa" w:w="4680"/>
            <w:tcBorders>
              <w:top w:val="single" w:color="CCCCCC" w:sz="1"/>
              <w:left w:val="single" w:color="CCCCCC" w:sz="1"/>
              <w:bottom w:val="single" w:color="CCCCCC" w:sz="1"/>
              <w:right w:val="single" w:color="CCCCCC" w:sz="1"/>
            </w:tcBorders>
            <w:shd w:fill="F5F5F5" w:val="clear"/>
            <w:tcMar>
              <w:top w:type="dxa" w:w="100"/>
              <w:left w:type="dxa" w:w="130"/>
              <w:bottom w:type="dxa" w:w="100"/>
              <w:right w:type="dxa" w:w="130"/>
            </w:tcMar>
          </w:tcPr>
          <w:p>
            <w:r>
              <w:rPr>
                <w:rFonts w:ascii="Arial" w:cs="Arial" w:eastAsia="Arial" w:hAnsi="Arial"/>
                <w:b w:val="false"/>
                <w:bCs w:val="false"/>
                <w:color w:val="000000"/>
                <w:sz w:val="20"/>
                <w:szCs w:val="20"/>
              </w:rPr>
              <w:t xml:space="preserve">"We're running Sponsored Products"</w:t>
            </w:r>
          </w:p>
        </w:tc>
        <w:tc>
          <w:tcPr>
            <w:tcW w:type="dxa" w:w="4680"/>
            <w:tcBorders>
              <w:top w:val="single" w:color="CCCCCC" w:sz="1"/>
              <w:left w:val="single" w:color="CCCCCC" w:sz="1"/>
              <w:bottom w:val="single" w:color="CCCCCC" w:sz="1"/>
              <w:right w:val="single" w:color="CCCCCC" w:sz="1"/>
            </w:tcBorders>
            <w:shd w:fill="FCE4D6" w:val="clear"/>
            <w:tcMar>
              <w:top w:type="dxa" w:w="100"/>
              <w:left w:type="dxa" w:w="130"/>
              <w:bottom w:type="dxa" w:w="100"/>
              <w:right w:type="dxa" w:w="130"/>
            </w:tcMar>
          </w:tcPr>
          <w:p>
            <w:r>
              <w:rPr>
                <w:rFonts w:ascii="Arial" w:cs="Arial" w:eastAsia="Arial" w:hAnsi="Arial"/>
                <w:b w:val="false"/>
                <w:bCs w:val="false"/>
                <w:color w:val="000000"/>
                <w:sz w:val="20"/>
                <w:szCs w:val="20"/>
              </w:rPr>
              <w:t xml:space="preserve">Tool name — MD cares about outcomes, not tools</w:t>
            </w:r>
          </w:p>
        </w:tc>
      </w:tr>
    </w:tbl>
    <w:p>
      <w:pPr>
        <w:spacing w:after="60" w:before="60"/>
      </w:pPr>
      <w:r>
        <w:t xml:space="preserve"/>
      </w:r>
    </w:p>
    <w:p>
      <w:pPr>
        <w:pStyle w:val="Heading2"/>
        <w:pBdr>
          <w:bottom w:val="single" w:color="2E75B6" w:sz="4"/>
        </w:pBdr>
        <w:spacing w:after="100" w:before="260"/>
      </w:pPr>
      <w:r>
        <w:rPr>
          <w:rFonts w:ascii="Arial" w:cs="Arial" w:eastAsia="Arial" w:hAnsi="Arial"/>
          <w:b/>
          <w:bCs/>
          <w:color w:val="1F4E79"/>
          <w:sz w:val="26"/>
          <w:szCs w:val="26"/>
        </w:rPr>
        <w:t xml:space="preserve">The Shift: From Status Update to MD Talking Points</w:t>
      </w:r>
    </w:p>
    <w:p>
      <w:pPr>
        <w:pBdr>
          <w:left w:val="single" w:color="2E75B6" w:sz="12"/>
        </w:pBdr>
        <w:shd w:fill="D6E4F0" w:val="clear"/>
        <w:spacing w:after="120" w:before="120"/>
        <w:ind w:left="360" w:right="200"/>
      </w:pPr>
      <w:r>
        <w:rPr>
          <w:rFonts w:ascii="Arial" w:cs="Arial" w:eastAsia="Arial" w:hAnsi="Arial"/>
          <w:color w:val="222222"/>
          <w:sz w:val="20"/>
          <w:szCs w:val="20"/>
        </w:rPr>
        <w:t xml:space="preserve">Writing the status update, I was thinking account by account — what happened, what I did, what's next. Writing the MD talking points, I had to zoom out completely. The same data (ROAS 3.5, Flipkart store live) means something completely different depending on who you're talking to. For the team lead, the Flipkart store is a flag. For the MD, it's a ₹36L annualised revenue decision. The data doesn't change — the frame does. What I'd need that I don't currently have: NestWell's total e-commerce revenue across all channels, the MD's growth targets for the year, and a quick look at what competitors are doing on Flipkart. With those three inputs, the Flipkart case becomes much sharper.</w:t>
      </w:r>
    </w:p>
    <w:p>
      <w:pPr>
        <w:spacing w:after="60" w:before="60"/>
      </w:pPr>
      <w:r>
        <w:t xml:space="preserve"/>
      </w:r>
    </w:p>
    <w:p>
      <w:pPr>
        <w:spacing w:after="60" w:before="60"/>
      </w:pPr>
      <w:r>
        <w:t xml:space="preserve"/>
      </w:r>
    </w:p>
    <w:p>
      <w:pPr>
        <w:spacing w:after="60" w:before="60"/>
      </w:pPr>
      <w:r>
        <w:rPr>
          <w:rFonts w:ascii="Arial" w:cs="Arial" w:eastAsia="Arial" w:hAnsi="Arial"/>
          <w:b w:val="false"/>
          <w:bCs w:val="false"/>
          <w:color w:val="999999"/>
          <w:sz w:val="18"/>
          <w:szCs w:val="18"/>
        </w:rPr>
        <w:t xml:space="preserve">Document prepared as part of DT AI Business Analyst (Ecommerce) Assignment | DeepThought | 2026</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40"/>
      <w:outlineLvl w:val="0"/>
    </w:pPr>
    <w:rPr>
      <w:rFonts w:ascii="Arial" w:cs="Arial" w:eastAsia="Arial" w:hAnsi="Arial"/>
      <w:b/>
      <w:bCs/>
      <w:color w:val="FFFFFF"/>
      <w:sz w:val="32"/>
      <w:szCs w:val="32"/>
    </w:rPr>
  </w:style>
  <w:style w:type="paragraph" w:styleId="Heading2">
    <w:name w:val="Heading 2"/>
    <w:basedOn w:val="Normal"/>
    <w:next w:val="Normal"/>
    <w:qFormat/>
    <w:pPr>
      <w:spacing w:after="100" w:before="26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2026-06-02T06:45:38.383Z</dcterms:created>
  <dcterms:modified xsi:type="dcterms:W3CDTF">2026-06-02T06:45:38.383Z</dcterms:modified>
</cp:coreProperties>
</file>

<file path=docProps/custom.xml><?xml version="1.0" encoding="utf-8"?>
<Properties xmlns="http://schemas.openxmlformats.org/officeDocument/2006/custom-properties" xmlns:vt="http://schemas.openxmlformats.org/officeDocument/2006/docPropsVTypes"/>
</file>