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complaint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Şikayət: CMP-DEV-20261009-2</w:t>
            </w:r>
          </w:p>
        </w:tc>
      </w:tr>
      <w:tr>
        <w:tc>
          <w:tcPr>
            <w:tcW w:type="dxa" w:w="8640"/>
          </w:tcPr>
          <w:p>
            <w:r>
              <w:t>Abunəçi: ACC-001</w:t>
            </w:r>
          </w:p>
        </w:tc>
      </w:tr>
      <w:tr>
        <w:tc>
          <w:tcPr>
            <w:tcW w:type="dxa" w:w="8640"/>
          </w:tcPr>
          <w:p>
            <w:r>
              <w:t>Dövr: 2026-09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