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Complaints demonstration procedure</w:t>
      </w:r>
    </w:p>
    <w:p>
      <w:r>
        <w:t>Fictional company data and demonstration policy. No real subscriber, supplier or financial records.</w:t>
      </w:r>
    </w:p>
    <w:p>
      <w:r>
        <w:t>This credit policy is fictional and is not Azercell policy. Reconcile the invoice, CSV charge and usage evidence, account and payment snapshot. Consider only the complaint account and billing period.</w:t>
      </w:r>
    </w:p>
    <w:p>
      <w:r>
        <w:t>Two distinct charge transaction IDs for the same billable event are a duplicate: retain the earliest transaction and recommend the sum of later charges as credit. Repeated copies of the same transaction are not another charge. Conflicting transaction evidence or absent usage evidence requires escalation.</w:t>
      </w:r>
    </w:p>
    <w:p>
      <w:r>
        <w:t>Missing complaint identification requires clarification. Missing events require escalation. Supported legitimate charges require an explanation and a zero-credit resolution. Employee approval is required before a simulated resolution or credit queue entry; a complaint already resolved must not commit again.</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