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Billing complaint</w:t>
      </w:r>
    </w:p>
    <w:p>
      <w:r>
        <w:t>Fictional company data and demonstration policy. No real subscriber, supplier or financial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Şikayət: CMP-HEL-20261009-2</w:t>
            </w:r>
          </w:p>
        </w:tc>
      </w:tr>
      <w:tr>
        <w:tc>
          <w:tcPr>
            <w:tcW w:type="dxa" w:w="8640"/>
          </w:tcPr>
          <w:p>
            <w:r>
              <w:t>Abunəçi: ACC-001</w:t>
            </w:r>
          </w:p>
        </w:tc>
      </w:tr>
      <w:tr>
        <w:tc>
          <w:tcPr>
            <w:tcW w:type="dxa" w:w="8640"/>
          </w:tcPr>
          <w:p>
            <w:r>
              <w:t>Dövr: 2026-09</w:t>
            </w:r>
          </w:p>
        </w:tc>
      </w:tr>
    </w:tbl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