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Invoice demonstration procedure</w:t>
      </w:r>
    </w:p>
    <w:p>
      <w:r>
        <w:t>Fictional company data and demonstration policy. No real subscriber, supplier or financial records.</w:t>
      </w:r>
    </w:p>
    <w:p>
      <w:r>
        <w:t>Match supplier and purchase order. Use exactly one SKU or approved alias. Invoice quantity must not exceed ordered quantity or delivery quantity after subtracting approved billing. Require the exact agreed unit price.</w:t>
      </w:r>
    </w:p>
    <w:p>
      <w:r>
        <w:t>Approve AZN and registered supplier bank details only. Calculate quantity times price; the difference from the declared invoice total must be at most AZN 0.01. Compare full finite Decimal precision without rounding the unit price or declared total first. Round only final displayed or queued currency amounts. NaN or Infinity and missing, unreadable, ambiguous or conflicting evidence require clarification.</w:t>
      </w:r>
    </w:p>
    <w:p>
      <w:r>
        <w:t>The supplier identifier and invoice number form the accounting business key. A duplicate must not create another queue record. Generate a correction letter on any discrepancy and an XLSX review row for every completed investigation. An employee must review before accounting queue insertion.</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