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 document</w:t>
      </w:r>
    </w:p>
    <w:p>
      <w:r>
        <w:t>Fictional company data and demonstration policy. No real subscriber, supplier or financial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VÖEN: 9900001001</w:t>
            </w:r>
          </w:p>
        </w:tc>
      </w:tr>
      <w:tr>
        <w:tc>
          <w:tcPr>
            <w:tcW w:type="dxa" w:w="8640"/>
          </w:tcPr>
          <w:p>
            <w:r>
              <w:t>Şirkət: Demo Caspian Networks LLC</w:t>
            </w:r>
          </w:p>
        </w:tc>
      </w:tr>
      <w:tr>
        <w:tc>
          <w:tcPr>
            <w:tcW w:type="dxa" w:w="8640"/>
          </w:tcPr>
          <w:p>
            <w:r>
              <w:t>Qeydiyyat: electronic</w:t>
            </w:r>
          </w:p>
        </w:tc>
      </w:tr>
      <w:tr>
        <w:tc>
          <w:tcPr>
            <w:tcW w:type="dxa" w:w="8640"/>
          </w:tcPr>
          <w:p>
            <w:r>
              <w:t>Möhür: no</w:t>
            </w:r>
          </w:p>
        </w:tc>
      </w:tr>
    </w:tbl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