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demonstration procedure</w:t>
      </w:r>
    </w:p>
    <w:p>
      <w:r>
        <w:t>Fictional company data and demonstration policy. No real subscriber, supplier or financial records.</w:t>
      </w:r>
    </w:p>
    <w:p>
      <w:r>
        <w:t>Compare application, legal-entity extract, representative identification and authority with the registry snapshot. Request the representative identification specifically when it is missing. Power of attorney must authorize a subscriber contract.</w:t>
      </w:r>
    </w:p>
    <w:p>
      <w:r>
        <w:t>Electronic registration extracts have no stamp and must be compared with registry data. A contract signed by the company head requires a company stamp. A contract signed by an authorized representative does not require a stamp. Optional bank and tax-certificate documents are not mandatory in this fictional procedure.</w:t>
      </w:r>
    </w:p>
    <w:p>
      <w:r>
        <w:t>Only unexpired identification is accepted as of snapshot date 2026-10-09. Signature authenticity and original authority remain employee checks. Employee approval is mandatory before a simulated provisioning entry.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