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0BF409" wp14:paraId="5C1A07E2" wp14:textId="6B64456D">
      <w:pPr>
        <w:pStyle w:val="Heading2"/>
      </w:pPr>
      <w:r w:rsidR="1B34A45F">
        <w:rPr/>
        <w:t>Descripción del problema</w:t>
      </w:r>
    </w:p>
    <w:p w:rsidR="1B34A45F" w:rsidP="000BF409" w:rsidRDefault="1B34A45F" w14:paraId="41BACA05" w14:textId="4AFC12E3">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ES"/>
        </w:rPr>
      </w:pPr>
      <w:r w:rsidRPr="000BF409" w:rsidR="1B34A45F">
        <w:rPr>
          <w:rFonts w:ascii="Arial" w:hAnsi="Arial" w:eastAsia="Arial" w:cs="Arial"/>
          <w:b w:val="0"/>
          <w:bCs w:val="0"/>
          <w:i w:val="0"/>
          <w:iCs w:val="0"/>
          <w:caps w:val="0"/>
          <w:smallCaps w:val="0"/>
          <w:noProof w:val="0"/>
          <w:color w:val="000000" w:themeColor="text1" w:themeTint="FF" w:themeShade="FF"/>
          <w:sz w:val="24"/>
          <w:szCs w:val="24"/>
          <w:lang w:val="es-419"/>
        </w:rPr>
        <w:t>En el sistema penal, los jueces deben analizar una gran cantidad de información jurídica para resolver los casos sometidos a su consideración. Entre esta información se encuentran leyes, jurisprudencia, sentencias anteriores y criterios utilizados en casos similares.</w:t>
      </w:r>
    </w:p>
    <w:p w:rsidR="1B34A45F" w:rsidP="000BF409" w:rsidRDefault="1B34A45F" w14:paraId="5DF0892A" w14:textId="26E2CDE7">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ES"/>
        </w:rPr>
      </w:pPr>
      <w:r w:rsidRPr="000BF409" w:rsidR="1B34A45F">
        <w:rPr>
          <w:rFonts w:ascii="Arial" w:hAnsi="Arial" w:eastAsia="Arial" w:cs="Arial"/>
          <w:b w:val="0"/>
          <w:bCs w:val="0"/>
          <w:i w:val="0"/>
          <w:iCs w:val="0"/>
          <w:caps w:val="0"/>
          <w:smallCaps w:val="0"/>
          <w:noProof w:val="0"/>
          <w:color w:val="000000" w:themeColor="text1" w:themeTint="FF" w:themeShade="FF"/>
          <w:sz w:val="24"/>
          <w:szCs w:val="24"/>
          <w:lang w:val="es-419"/>
        </w:rPr>
        <w:t xml:space="preserve">La búsqueda manual de precedentes puede requerir revisar numerosos documentos y realizar diferentes consultas utilizando palabras clave que no necesariamente representan adecuadamente la similitud jurídica entre los casos. Además, dos casos pueden presentar hechos similares, aunque utilicen una terminología jurídica diferente. Esta situación puede dificultar la identificación oportuna de </w:t>
      </w:r>
      <w:r w:rsidRPr="000BF409" w:rsidR="1B34A45F">
        <w:rPr>
          <w:rFonts w:ascii="Arial" w:hAnsi="Arial" w:eastAsia="Arial" w:cs="Arial"/>
          <w:b w:val="1"/>
          <w:bCs w:val="1"/>
          <w:i w:val="0"/>
          <w:iCs w:val="0"/>
          <w:caps w:val="0"/>
          <w:smallCaps w:val="0"/>
          <w:noProof w:val="0"/>
          <w:color w:val="000000" w:themeColor="text1" w:themeTint="FF" w:themeShade="FF"/>
          <w:sz w:val="24"/>
          <w:szCs w:val="24"/>
          <w:lang w:val="es-419"/>
        </w:rPr>
        <w:t>precedentes relevantes</w:t>
      </w:r>
      <w:r w:rsidRPr="000BF409" w:rsidR="1B34A45F">
        <w:rPr>
          <w:rFonts w:ascii="Arial" w:hAnsi="Arial" w:eastAsia="Arial" w:cs="Arial"/>
          <w:b w:val="0"/>
          <w:bCs w:val="0"/>
          <w:i w:val="0"/>
          <w:iCs w:val="0"/>
          <w:caps w:val="0"/>
          <w:smallCaps w:val="0"/>
          <w:noProof w:val="0"/>
          <w:color w:val="000000" w:themeColor="text1" w:themeTint="FF" w:themeShade="FF"/>
          <w:sz w:val="24"/>
          <w:szCs w:val="24"/>
          <w:lang w:val="es-419"/>
        </w:rPr>
        <w:t>, así como la comparación de los hechos, argumentos y decisiones adoptadas en casos anteriores.</w:t>
      </w:r>
    </w:p>
    <w:p w:rsidR="1B34A45F" w:rsidP="000BF409" w:rsidRDefault="1B34A45F" w14:paraId="27744CD9" w14:textId="2AC6D594">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ES"/>
        </w:rPr>
      </w:pPr>
      <w:r w:rsidRPr="000BF409" w:rsidR="1B34A45F">
        <w:rPr>
          <w:rFonts w:ascii="Arial" w:hAnsi="Arial" w:eastAsia="Arial" w:cs="Arial"/>
          <w:b w:val="0"/>
          <w:bCs w:val="0"/>
          <w:i w:val="0"/>
          <w:iCs w:val="0"/>
          <w:caps w:val="0"/>
          <w:smallCaps w:val="0"/>
          <w:noProof w:val="0"/>
          <w:color w:val="000000" w:themeColor="text1" w:themeTint="FF" w:themeShade="FF"/>
          <w:sz w:val="24"/>
          <w:szCs w:val="24"/>
          <w:lang w:val="es-419"/>
        </w:rPr>
        <w:t xml:space="preserve">Por ello, surge la necesidad de desarrollar una herramienta basada en inteligencia artificial que permita </w:t>
      </w:r>
      <w:r w:rsidRPr="000BF409" w:rsidR="1B34A45F">
        <w:rPr>
          <w:rFonts w:ascii="Arial" w:hAnsi="Arial" w:eastAsia="Arial" w:cs="Arial"/>
          <w:b w:val="1"/>
          <w:bCs w:val="1"/>
          <w:i w:val="0"/>
          <w:iCs w:val="0"/>
          <w:caps w:val="0"/>
          <w:smallCaps w:val="0"/>
          <w:noProof w:val="0"/>
          <w:color w:val="000000" w:themeColor="text1" w:themeTint="FF" w:themeShade="FF"/>
          <w:sz w:val="24"/>
          <w:szCs w:val="24"/>
          <w:lang w:val="es-419"/>
        </w:rPr>
        <w:t>identificar casos penales similares y presentar de manera estructurada las decisiones y actuaciones adoptadas en ellos</w:t>
      </w:r>
      <w:r w:rsidRPr="000BF409" w:rsidR="1B34A45F">
        <w:rPr>
          <w:rFonts w:ascii="Arial" w:hAnsi="Arial" w:eastAsia="Arial" w:cs="Arial"/>
          <w:b w:val="0"/>
          <w:bCs w:val="0"/>
          <w:i w:val="0"/>
          <w:iCs w:val="0"/>
          <w:caps w:val="0"/>
          <w:smallCaps w:val="0"/>
          <w:noProof w:val="0"/>
          <w:color w:val="000000" w:themeColor="text1" w:themeTint="FF" w:themeShade="FF"/>
          <w:sz w:val="24"/>
          <w:szCs w:val="24"/>
          <w:lang w:val="es-419"/>
        </w:rPr>
        <w:t>, facilitando al juez el acceso a información relevante durante su proceso de análisis.</w:t>
      </w:r>
    </w:p>
    <w:p w:rsidR="000BF409" w:rsidP="000BF409" w:rsidRDefault="000BF409" w14:paraId="165213D9" w14:textId="571BC7C1">
      <w:pPr>
        <w:pStyle w:val="Normal"/>
      </w:pPr>
    </w:p>
    <w:p w:rsidR="000BF409" w:rsidRDefault="000BF409" w14:paraId="49EFB164" w14:textId="720C3545"/>
    <w:p w:rsidR="4DB19C6F" w:rsidRDefault="4DB19C6F" w14:paraId="0F243731" w14:textId="05C17577">
      <w:r w:rsidR="4DB19C6F">
        <w:rPr/>
        <w:t>Canva</w:t>
      </w:r>
      <w:r w:rsidR="4DB19C6F">
        <w:rPr/>
        <w:t xml:space="preserve"> – Prototipo de media fidelidad: </w:t>
      </w:r>
      <w:hyperlink r:id="R6b5f8016e49f4323">
        <w:r w:rsidRPr="000BF409" w:rsidR="5CA3C943">
          <w:rPr>
            <w:rStyle w:val="Hyperlink"/>
          </w:rPr>
          <w:t>https://</w:t>
        </w:r>
        <w:r w:rsidRPr="000BF409" w:rsidR="5CA3C943">
          <w:rPr>
            <w:rStyle w:val="Hyperlink"/>
          </w:rPr>
          <w:t>canva.link</w:t>
        </w:r>
        <w:r w:rsidRPr="000BF409" w:rsidR="5CA3C943">
          <w:rPr>
            <w:rStyle w:val="Hyperlink"/>
          </w:rPr>
          <w:t>/ghldqcphs0v0ff2</w:t>
        </w:r>
      </w:hyperlink>
    </w:p>
    <w:p w:rsidR="000BF409" w:rsidRDefault="000BF409" w14:paraId="276C5AB2" w14:textId="3FB2918C"/>
    <w:p w:rsidR="4D87812A" w:rsidP="000BF409" w:rsidRDefault="4D87812A" w14:paraId="42056CEC" w14:textId="57CF4689">
      <w:pPr>
        <w:pStyle w:val="Heading1"/>
        <w:keepNext w:val="1"/>
        <w:keepLines w:val="1"/>
        <w:spacing w:before="360" w:after="80"/>
        <w:ind w:left="0"/>
        <w:rPr>
          <w:rFonts w:ascii="Arial" w:hAnsi="Arial" w:eastAsia="Arial" w:cs="Arial"/>
          <w:b w:val="1"/>
          <w:bCs w:val="1"/>
          <w:i w:val="0"/>
          <w:iCs w:val="0"/>
          <w:caps w:val="0"/>
          <w:smallCaps w:val="0"/>
          <w:noProof w:val="0"/>
          <w:color w:val="auto"/>
          <w:sz w:val="24"/>
          <w:szCs w:val="24"/>
          <w:lang w:val="es-ES"/>
        </w:rPr>
      </w:pPr>
      <w:r w:rsidRPr="000BF409" w:rsidR="4D87812A">
        <w:rPr>
          <w:rFonts w:ascii="Arial" w:hAnsi="Arial" w:eastAsia="Arial" w:cs="Arial"/>
          <w:b w:val="1"/>
          <w:bCs w:val="1"/>
          <w:i w:val="0"/>
          <w:iCs w:val="0"/>
          <w:caps w:val="0"/>
          <w:smallCaps w:val="0"/>
          <w:noProof w:val="0"/>
          <w:color w:val="auto"/>
          <w:sz w:val="24"/>
          <w:szCs w:val="24"/>
          <w:lang w:val="es-419"/>
        </w:rPr>
        <w:t>Problem</w:t>
      </w:r>
      <w:r w:rsidRPr="000BF409" w:rsidR="4D87812A">
        <w:rPr>
          <w:rFonts w:ascii="Arial" w:hAnsi="Arial" w:eastAsia="Arial" w:cs="Arial"/>
          <w:b w:val="1"/>
          <w:bCs w:val="1"/>
          <w:i w:val="0"/>
          <w:iCs w:val="0"/>
          <w:caps w:val="0"/>
          <w:smallCaps w:val="0"/>
          <w:noProof w:val="0"/>
          <w:color w:val="auto"/>
          <w:sz w:val="24"/>
          <w:szCs w:val="24"/>
          <w:lang w:val="es-419"/>
        </w:rPr>
        <w:t xml:space="preserve"> Statement</w:t>
      </w:r>
    </w:p>
    <w:p w:rsidR="4D87812A" w:rsidP="000BF409" w:rsidRDefault="4D87812A" w14:paraId="5795C23A" w14:textId="641A4939">
      <w:pPr>
        <w:spacing w:before="240" w:beforeAutospacing="off" w:after="240" w:afterAutospacing="off"/>
      </w:pPr>
      <w:r w:rsidRPr="000BF409" w:rsidR="4D87812A">
        <w:rPr>
          <w:rFonts w:ascii="Arial" w:hAnsi="Arial" w:eastAsia="Arial" w:cs="Arial"/>
          <w:b w:val="0"/>
          <w:bCs w:val="0"/>
          <w:i w:val="0"/>
          <w:iCs w:val="0"/>
          <w:caps w:val="0"/>
          <w:smallCaps w:val="0"/>
          <w:noProof w:val="0"/>
          <w:color w:val="000000" w:themeColor="text1" w:themeTint="FF" w:themeShade="FF"/>
          <w:sz w:val="24"/>
          <w:szCs w:val="24"/>
          <w:lang w:val="es-419"/>
        </w:rPr>
        <w:t>Abogados penalistas y jueces en Colombia enfrentan dificultades para identificar jurisprudencia penal comparable de manera eficiente en el contexto del sistema penal colombiano, debido a limitaciones de búsqueda por palabras clave, volumen jurisprudencial creciente (7.862 decisiones de Sala Penal en 2024) y complejidad del lenguaje jurídico, lo que genera aumento del tiempo de investigación y riesgo de omitir precedentes relevantes. Actualmente se aborda mediante repositorios oficiales y herramientas con búsqueda léxica, pero ninguna solución ha sido validada rigurosamente con expertos del dominio penal colombiano y ningún método ha emergido como definitivamente superior según revisiones sistemáticas.</w:t>
      </w:r>
    </w:p>
    <w:p w:rsidR="000BF409" w:rsidP="000BF409" w:rsidRDefault="000BF409" w14:paraId="118D0470" w14:textId="5E6EBE46">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419"/>
        </w:rPr>
      </w:pPr>
    </w:p>
    <w:p w:rsidR="000BF409" w:rsidP="000BF409" w:rsidRDefault="000BF409" w14:paraId="6911594D" w14:textId="4AEC5F87">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419"/>
        </w:rPr>
      </w:pPr>
    </w:p>
    <w:p w:rsidR="000BF409" w:rsidP="000BF409" w:rsidRDefault="000BF409" w14:paraId="09F09E2B" w14:textId="4B8DC750">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419"/>
        </w:rPr>
      </w:pPr>
    </w:p>
    <w:p w:rsidR="000BF409" w:rsidP="000BF409" w:rsidRDefault="000BF409" w14:paraId="19DE5B6A" w14:textId="7F1E53BF">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419"/>
        </w:rPr>
      </w:pPr>
    </w:p>
    <w:p w:rsidR="6509B1B8" w:rsidP="000BF409" w:rsidRDefault="6509B1B8" w14:paraId="59434957" w14:textId="5B19DF85">
      <w:pPr>
        <w:spacing w:before="240" w:beforeAutospacing="off" w:after="240" w:afterAutospacing="off"/>
      </w:pPr>
      <w:r w:rsidRPr="000BF409" w:rsidR="6509B1B8">
        <w:rPr>
          <w:rFonts w:ascii="Arial" w:hAnsi="Arial" w:eastAsia="Arial" w:cs="Arial"/>
          <w:b w:val="0"/>
          <w:bCs w:val="0"/>
          <w:i w:val="0"/>
          <w:iCs w:val="0"/>
          <w:caps w:val="0"/>
          <w:smallCaps w:val="0"/>
          <w:noProof w:val="0"/>
          <w:color w:val="000000" w:themeColor="text1" w:themeTint="FF" w:themeShade="FF"/>
          <w:sz w:val="24"/>
          <w:szCs w:val="24"/>
          <w:lang w:val="es-419"/>
        </w:rPr>
        <w:t>Herramientas y modelos</w:t>
      </w:r>
    </w:p>
    <w:p w:rsidR="000BF409" w:rsidP="000BF409" w:rsidRDefault="000BF409" w14:paraId="2A39C2EC" w14:textId="53F81A3D">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419"/>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250"/>
        <w:gridCol w:w="2265"/>
        <w:gridCol w:w="3645"/>
        <w:gridCol w:w="855"/>
      </w:tblGrid>
      <w:tr w:rsidR="000BF409" w:rsidTr="000BF409" w14:paraId="45EE56EB">
        <w:trPr>
          <w:trHeight w:val="300"/>
        </w:trPr>
        <w:tc>
          <w:tcPr>
            <w:tcW w:w="2250" w:type="dxa"/>
            <w:tcMar/>
            <w:vAlign w:val="center"/>
          </w:tcPr>
          <w:p w:rsidR="000BF409" w:rsidP="000BF409" w:rsidRDefault="000BF409" w14:paraId="756EDAB7" w14:textId="38A5E709">
            <w:pPr>
              <w:spacing w:before="0" w:beforeAutospacing="off" w:after="0" w:afterAutospacing="off"/>
              <w:jc w:val="center"/>
            </w:pPr>
            <w:r w:rsidRPr="000BF409" w:rsidR="000BF409">
              <w:rPr>
                <w:b w:val="1"/>
                <w:bCs w:val="1"/>
              </w:rPr>
              <w:t>Herramienta</w:t>
            </w:r>
          </w:p>
        </w:tc>
        <w:tc>
          <w:tcPr>
            <w:tcW w:w="2265" w:type="dxa"/>
            <w:tcMar/>
            <w:vAlign w:val="center"/>
          </w:tcPr>
          <w:p w:rsidR="000BF409" w:rsidP="000BF409" w:rsidRDefault="000BF409" w14:paraId="78EC5388" w14:textId="2685B037">
            <w:pPr>
              <w:spacing w:before="0" w:beforeAutospacing="off" w:after="0" w:afterAutospacing="off"/>
              <w:jc w:val="center"/>
            </w:pPr>
            <w:r w:rsidRPr="000BF409" w:rsidR="000BF409">
              <w:rPr>
                <w:b w:val="1"/>
                <w:bCs w:val="1"/>
              </w:rPr>
              <w:t>Función en el MVP</w:t>
            </w:r>
          </w:p>
        </w:tc>
        <w:tc>
          <w:tcPr>
            <w:tcW w:w="3645" w:type="dxa"/>
            <w:tcMar/>
            <w:vAlign w:val="center"/>
          </w:tcPr>
          <w:p w:rsidR="000BF409" w:rsidP="000BF409" w:rsidRDefault="000BF409" w14:paraId="40E7808B" w14:textId="1350F4D5">
            <w:pPr>
              <w:spacing w:before="0" w:beforeAutospacing="off" w:after="0" w:afterAutospacing="off"/>
              <w:jc w:val="center"/>
            </w:pPr>
            <w:r w:rsidRPr="000BF409" w:rsidR="000BF409">
              <w:rPr>
                <w:b w:val="1"/>
                <w:bCs w:val="1"/>
              </w:rPr>
              <w:t>Razón de elección</w:t>
            </w:r>
          </w:p>
        </w:tc>
        <w:tc>
          <w:tcPr>
            <w:tcW w:w="855" w:type="dxa"/>
            <w:tcMar/>
            <w:vAlign w:val="center"/>
          </w:tcPr>
          <w:p w:rsidR="000BF409" w:rsidP="000BF409" w:rsidRDefault="000BF409" w14:paraId="625CB40D" w14:textId="0DE57685">
            <w:pPr>
              <w:spacing w:before="0" w:beforeAutospacing="off" w:after="0" w:afterAutospacing="off"/>
              <w:jc w:val="center"/>
            </w:pPr>
            <w:r w:rsidRPr="000BF409" w:rsidR="000BF409">
              <w:rPr>
                <w:b w:val="1"/>
                <w:bCs w:val="1"/>
              </w:rPr>
              <w:t>Valor</w:t>
            </w:r>
          </w:p>
        </w:tc>
      </w:tr>
      <w:tr w:rsidR="000BF409" w:rsidTr="000BF409" w14:paraId="6D3CCA26">
        <w:trPr>
          <w:trHeight w:val="300"/>
        </w:trPr>
        <w:tc>
          <w:tcPr>
            <w:tcW w:w="2250" w:type="dxa"/>
            <w:tcMar/>
            <w:vAlign w:val="center"/>
          </w:tcPr>
          <w:p w:rsidR="000BF409" w:rsidP="000BF409" w:rsidRDefault="000BF409" w14:paraId="245B363A" w14:textId="559FF11A">
            <w:pPr>
              <w:spacing w:before="0" w:beforeAutospacing="off" w:after="0" w:afterAutospacing="off"/>
            </w:pPr>
            <w:r w:rsidR="000BF409">
              <w:rPr/>
              <w:t>Relatoría y Consulta de Jurisprudencia CSJ</w:t>
            </w:r>
          </w:p>
        </w:tc>
        <w:tc>
          <w:tcPr>
            <w:tcW w:w="2265" w:type="dxa"/>
            <w:tcMar/>
            <w:vAlign w:val="center"/>
          </w:tcPr>
          <w:p w:rsidR="000BF409" w:rsidP="000BF409" w:rsidRDefault="000BF409" w14:paraId="13FBDF39" w14:textId="4BE50DF6">
            <w:pPr>
              <w:spacing w:before="0" w:beforeAutospacing="off" w:after="0" w:afterAutospacing="off"/>
            </w:pPr>
            <w:r w:rsidR="000BF409">
              <w:rPr/>
              <w:t>Fuente del corpus (3 delitos, 300–800 sentencias)</w:t>
            </w:r>
          </w:p>
        </w:tc>
        <w:tc>
          <w:tcPr>
            <w:tcW w:w="3645" w:type="dxa"/>
            <w:tcMar/>
            <w:vAlign w:val="center"/>
          </w:tcPr>
          <w:p w:rsidR="000BF409" w:rsidP="000BF409" w:rsidRDefault="000BF409" w14:paraId="70331479" w14:textId="5F010F3C">
            <w:pPr>
              <w:spacing w:before="0" w:beforeAutospacing="off" w:after="0" w:afterAutospacing="off"/>
            </w:pPr>
            <w:r w:rsidR="000BF409">
              <w:rPr/>
              <w:t>Es una fuente oficial, pública y verificable, y aporta los enlaces para las citas</w:t>
            </w:r>
          </w:p>
        </w:tc>
        <w:tc>
          <w:tcPr>
            <w:tcW w:w="855" w:type="dxa"/>
            <w:tcMar/>
            <w:vAlign w:val="center"/>
          </w:tcPr>
          <w:p w:rsidR="000BF409" w:rsidP="000BF409" w:rsidRDefault="000BF409" w14:paraId="2CE6C7A1" w14:textId="12D5BEA7">
            <w:pPr>
              <w:spacing w:before="0" w:beforeAutospacing="off" w:after="0" w:afterAutospacing="off"/>
            </w:pPr>
            <w:r w:rsidR="000BF409">
              <w:rPr/>
              <w:t>$0 COP</w:t>
            </w:r>
          </w:p>
        </w:tc>
      </w:tr>
      <w:tr w:rsidR="000BF409" w:rsidTr="000BF409" w14:paraId="2BD7244C">
        <w:trPr>
          <w:trHeight w:val="300"/>
        </w:trPr>
        <w:tc>
          <w:tcPr>
            <w:tcW w:w="2250" w:type="dxa"/>
            <w:tcMar/>
            <w:vAlign w:val="center"/>
          </w:tcPr>
          <w:p w:rsidR="000BF409" w:rsidP="000BF409" w:rsidRDefault="000BF409" w14:paraId="502CC27F" w14:textId="21064EEC">
            <w:pPr>
              <w:spacing w:before="0" w:beforeAutospacing="off" w:after="0" w:afterAutospacing="off"/>
            </w:pPr>
            <w:r w:rsidR="000BF409">
              <w:rPr/>
              <w:t>PyMuPDF</w:t>
            </w:r>
          </w:p>
        </w:tc>
        <w:tc>
          <w:tcPr>
            <w:tcW w:w="2265" w:type="dxa"/>
            <w:tcMar/>
            <w:vAlign w:val="center"/>
          </w:tcPr>
          <w:p w:rsidR="000BF409" w:rsidP="000BF409" w:rsidRDefault="000BF409" w14:paraId="4509FFCC" w14:textId="47C6046A">
            <w:pPr>
              <w:spacing w:before="0" w:beforeAutospacing="off" w:after="0" w:afterAutospacing="off"/>
            </w:pPr>
            <w:r w:rsidR="000BF409">
              <w:rPr/>
              <w:t>Extraer texto y metadatos de los PDFs</w:t>
            </w:r>
          </w:p>
        </w:tc>
        <w:tc>
          <w:tcPr>
            <w:tcW w:w="3645" w:type="dxa"/>
            <w:tcMar/>
            <w:vAlign w:val="center"/>
          </w:tcPr>
          <w:p w:rsidR="000BF409" w:rsidP="000BF409" w:rsidRDefault="000BF409" w14:paraId="1C54A9AE" w14:textId="3C4F509C">
            <w:pPr>
              <w:spacing w:before="0" w:beforeAutospacing="off" w:after="0" w:afterAutospacing="off"/>
            </w:pPr>
            <w:r w:rsidR="000BF409">
              <w:rPr/>
              <w:t>Es rápido, simple y suficiente para PDFs con texto seleccionable</w:t>
            </w:r>
          </w:p>
        </w:tc>
        <w:tc>
          <w:tcPr>
            <w:tcW w:w="855" w:type="dxa"/>
            <w:tcMar/>
            <w:vAlign w:val="center"/>
          </w:tcPr>
          <w:p w:rsidR="000BF409" w:rsidP="000BF409" w:rsidRDefault="000BF409" w14:paraId="7BB2B2EA" w14:textId="170DA094">
            <w:pPr>
              <w:spacing w:before="0" w:beforeAutospacing="off" w:after="0" w:afterAutospacing="off"/>
            </w:pPr>
            <w:r w:rsidR="000BF409">
              <w:rPr/>
              <w:t>$0 COP</w:t>
            </w:r>
          </w:p>
        </w:tc>
      </w:tr>
      <w:tr w:rsidR="000BF409" w:rsidTr="000BF409" w14:paraId="63A9F9F6">
        <w:trPr>
          <w:trHeight w:val="300"/>
        </w:trPr>
        <w:tc>
          <w:tcPr>
            <w:tcW w:w="2250" w:type="dxa"/>
            <w:tcMar/>
            <w:vAlign w:val="center"/>
          </w:tcPr>
          <w:p w:rsidR="000BF409" w:rsidP="000BF409" w:rsidRDefault="000BF409" w14:paraId="63CDEFAA" w14:textId="58DDA226">
            <w:pPr>
              <w:spacing w:before="0" w:beforeAutospacing="off" w:after="0" w:afterAutospacing="off"/>
            </w:pPr>
            <w:r w:rsidR="000BF409">
              <w:rPr/>
              <w:t>Tesseract OCR</w:t>
            </w:r>
          </w:p>
        </w:tc>
        <w:tc>
          <w:tcPr>
            <w:tcW w:w="2265" w:type="dxa"/>
            <w:tcMar/>
            <w:vAlign w:val="center"/>
          </w:tcPr>
          <w:p w:rsidR="000BF409" w:rsidP="000BF409" w:rsidRDefault="000BF409" w14:paraId="4AB28A5E" w14:textId="26A7E30C">
            <w:pPr>
              <w:spacing w:before="0" w:beforeAutospacing="off" w:after="0" w:afterAutospacing="off"/>
            </w:pPr>
            <w:r w:rsidR="000BF409">
              <w:rPr/>
              <w:t>Convertir PDFs escaneados en texto (solo si aparecen)</w:t>
            </w:r>
          </w:p>
        </w:tc>
        <w:tc>
          <w:tcPr>
            <w:tcW w:w="3645" w:type="dxa"/>
            <w:tcMar/>
            <w:vAlign w:val="center"/>
          </w:tcPr>
          <w:p w:rsidR="000BF409" w:rsidP="000BF409" w:rsidRDefault="000BF409" w14:paraId="23D6C908" w14:textId="782FE395">
            <w:pPr>
              <w:spacing w:before="0" w:beforeAutospacing="off" w:after="0" w:afterAutospacing="off"/>
            </w:pPr>
            <w:r w:rsidR="000BF409">
              <w:rPr/>
              <w:t>Cubre la contingencia sin costo; no es una etapa fija</w:t>
            </w:r>
          </w:p>
        </w:tc>
        <w:tc>
          <w:tcPr>
            <w:tcW w:w="855" w:type="dxa"/>
            <w:tcMar/>
            <w:vAlign w:val="center"/>
          </w:tcPr>
          <w:p w:rsidR="000BF409" w:rsidP="000BF409" w:rsidRDefault="000BF409" w14:paraId="25DA2A15" w14:textId="6D3048F5">
            <w:pPr>
              <w:spacing w:before="0" w:beforeAutospacing="off" w:after="0" w:afterAutospacing="off"/>
            </w:pPr>
            <w:r w:rsidR="000BF409">
              <w:rPr/>
              <w:t>$0 COP</w:t>
            </w:r>
          </w:p>
        </w:tc>
      </w:tr>
      <w:tr w:rsidR="000BF409" w:rsidTr="000BF409" w14:paraId="01E80021">
        <w:trPr>
          <w:trHeight w:val="300"/>
        </w:trPr>
        <w:tc>
          <w:tcPr>
            <w:tcW w:w="2250" w:type="dxa"/>
            <w:tcMar/>
            <w:vAlign w:val="center"/>
          </w:tcPr>
          <w:p w:rsidR="000BF409" w:rsidP="000BF409" w:rsidRDefault="000BF409" w14:paraId="274C3B8A" w14:textId="760C5FDE">
            <w:pPr>
              <w:spacing w:before="0" w:beforeAutospacing="off" w:after="0" w:afterAutospacing="off"/>
            </w:pPr>
            <w:r w:rsidR="000BF409">
              <w:rPr/>
              <w:t>PostgreSQL</w:t>
            </w:r>
          </w:p>
        </w:tc>
        <w:tc>
          <w:tcPr>
            <w:tcW w:w="2265" w:type="dxa"/>
            <w:tcMar/>
            <w:vAlign w:val="center"/>
          </w:tcPr>
          <w:p w:rsidR="000BF409" w:rsidP="000BF409" w:rsidRDefault="000BF409" w14:paraId="38E79C9F" w14:textId="1AB49BE6">
            <w:pPr>
              <w:spacing w:before="0" w:beforeAutospacing="off" w:after="0" w:afterAutospacing="off"/>
            </w:pPr>
            <w:r w:rsidR="000BF409">
              <w:rPr/>
              <w:t>Guardar sentencias, secciones, metadatos y campos extraídos</w:t>
            </w:r>
          </w:p>
        </w:tc>
        <w:tc>
          <w:tcPr>
            <w:tcW w:w="3645" w:type="dxa"/>
            <w:tcMar/>
            <w:vAlign w:val="center"/>
          </w:tcPr>
          <w:p w:rsidR="000BF409" w:rsidP="000BF409" w:rsidRDefault="000BF409" w14:paraId="6DBE44C6" w14:textId="0DC8364D">
            <w:pPr>
              <w:spacing w:before="0" w:beforeAutospacing="off" w:after="0" w:afterAutospacing="off"/>
            </w:pPr>
            <w:r w:rsidR="000BF409">
              <w:rPr/>
              <w:t>Mantiene todo el sistema en una sola base, estable y conocida</w:t>
            </w:r>
          </w:p>
        </w:tc>
        <w:tc>
          <w:tcPr>
            <w:tcW w:w="855" w:type="dxa"/>
            <w:tcMar/>
            <w:vAlign w:val="center"/>
          </w:tcPr>
          <w:p w:rsidR="000BF409" w:rsidP="000BF409" w:rsidRDefault="000BF409" w14:paraId="56A70AE3" w14:textId="1A00107F">
            <w:pPr>
              <w:spacing w:before="0" w:beforeAutospacing="off" w:after="0" w:afterAutospacing="off"/>
            </w:pPr>
            <w:r w:rsidR="000BF409">
              <w:rPr/>
              <w:t>$0 COP</w:t>
            </w:r>
          </w:p>
        </w:tc>
      </w:tr>
      <w:tr w:rsidR="000BF409" w:rsidTr="000BF409" w14:paraId="2368565A">
        <w:trPr>
          <w:trHeight w:val="300"/>
        </w:trPr>
        <w:tc>
          <w:tcPr>
            <w:tcW w:w="2250" w:type="dxa"/>
            <w:tcMar/>
            <w:vAlign w:val="center"/>
          </w:tcPr>
          <w:p w:rsidR="000BF409" w:rsidP="000BF409" w:rsidRDefault="000BF409" w14:paraId="0E6125B7" w14:textId="2DD4AE26">
            <w:pPr>
              <w:spacing w:before="0" w:beforeAutospacing="off" w:after="0" w:afterAutospacing="off"/>
            </w:pPr>
            <w:r w:rsidR="000BF409">
              <w:rPr/>
              <w:t>pgvector</w:t>
            </w:r>
          </w:p>
        </w:tc>
        <w:tc>
          <w:tcPr>
            <w:tcW w:w="2265" w:type="dxa"/>
            <w:tcMar/>
            <w:vAlign w:val="center"/>
          </w:tcPr>
          <w:p w:rsidR="000BF409" w:rsidP="000BF409" w:rsidRDefault="000BF409" w14:paraId="1B886D89" w14:textId="5074738E">
            <w:pPr>
              <w:spacing w:before="0" w:beforeAutospacing="off" w:after="0" w:afterAutospacing="off"/>
            </w:pPr>
            <w:r w:rsidR="000BF409">
              <w:rPr/>
              <w:t>Almacenar y consultar embeddings</w:t>
            </w:r>
          </w:p>
        </w:tc>
        <w:tc>
          <w:tcPr>
            <w:tcW w:w="3645" w:type="dxa"/>
            <w:tcMar/>
            <w:vAlign w:val="center"/>
          </w:tcPr>
          <w:p w:rsidR="000BF409" w:rsidP="000BF409" w:rsidRDefault="000BF409" w14:paraId="00C001B8" w14:textId="177BE78B">
            <w:pPr>
              <w:spacing w:before="0" w:beforeAutospacing="off" w:after="0" w:afterAutospacing="off"/>
            </w:pPr>
            <w:r w:rsidR="000BF409">
              <w:rPr/>
              <w:t>Permite combinar búsqueda vectorial con filtros SQL (delito, año, sala)</w:t>
            </w:r>
          </w:p>
        </w:tc>
        <w:tc>
          <w:tcPr>
            <w:tcW w:w="855" w:type="dxa"/>
            <w:tcMar/>
            <w:vAlign w:val="center"/>
          </w:tcPr>
          <w:p w:rsidR="000BF409" w:rsidP="000BF409" w:rsidRDefault="000BF409" w14:paraId="49DFDB29" w14:textId="55E0E61D">
            <w:pPr>
              <w:spacing w:before="0" w:beforeAutospacing="off" w:after="0" w:afterAutospacing="off"/>
            </w:pPr>
            <w:r w:rsidR="000BF409">
              <w:rPr/>
              <w:t>$0 COP</w:t>
            </w:r>
          </w:p>
        </w:tc>
      </w:tr>
      <w:tr w:rsidR="000BF409" w:rsidTr="000BF409" w14:paraId="11B6C708">
        <w:trPr>
          <w:trHeight w:val="300"/>
        </w:trPr>
        <w:tc>
          <w:tcPr>
            <w:tcW w:w="2250" w:type="dxa"/>
            <w:tcMar/>
            <w:vAlign w:val="center"/>
          </w:tcPr>
          <w:p w:rsidR="000BF409" w:rsidP="000BF409" w:rsidRDefault="000BF409" w14:paraId="5C6A49CE" w14:textId="5D41A4FF">
            <w:pPr>
              <w:spacing w:before="0" w:beforeAutospacing="off" w:after="0" w:afterAutospacing="off"/>
            </w:pPr>
            <w:r w:rsidR="000BF409">
              <w:rPr/>
              <w:t>rank_bm25 (Python)</w:t>
            </w:r>
          </w:p>
        </w:tc>
        <w:tc>
          <w:tcPr>
            <w:tcW w:w="2265" w:type="dxa"/>
            <w:tcMar/>
            <w:vAlign w:val="center"/>
          </w:tcPr>
          <w:p w:rsidR="000BF409" w:rsidP="000BF409" w:rsidRDefault="000BF409" w14:paraId="4B4329BF" w14:textId="3B2C4D53">
            <w:pPr>
              <w:spacing w:before="0" w:beforeAutospacing="off" w:after="0" w:afterAutospacing="off"/>
            </w:pPr>
            <w:r w:rsidR="000BF409">
              <w:rPr/>
              <w:t>Búsqueda por palabras clave (línea base)</w:t>
            </w:r>
          </w:p>
        </w:tc>
        <w:tc>
          <w:tcPr>
            <w:tcW w:w="3645" w:type="dxa"/>
            <w:tcMar/>
            <w:vAlign w:val="center"/>
          </w:tcPr>
          <w:p w:rsidR="000BF409" w:rsidP="000BF409" w:rsidRDefault="000BF409" w14:paraId="0D443F46" w14:textId="3B8B294F">
            <w:pPr>
              <w:spacing w:before="0" w:beforeAutospacing="off" w:after="0" w:afterAutospacing="off"/>
            </w:pPr>
            <w:r w:rsidR="000BF409">
              <w:rPr/>
              <w:t>Es un BM25 real y fácil de implementar; es la referencia contra la que se prueba la hipótesis</w:t>
            </w:r>
          </w:p>
        </w:tc>
        <w:tc>
          <w:tcPr>
            <w:tcW w:w="855" w:type="dxa"/>
            <w:tcMar/>
            <w:vAlign w:val="center"/>
          </w:tcPr>
          <w:p w:rsidR="000BF409" w:rsidP="000BF409" w:rsidRDefault="000BF409" w14:paraId="130D7889" w14:textId="21E253BE">
            <w:pPr>
              <w:spacing w:before="0" w:beforeAutospacing="off" w:after="0" w:afterAutospacing="off"/>
            </w:pPr>
            <w:r w:rsidR="000BF409">
              <w:rPr/>
              <w:t>$0 COP</w:t>
            </w:r>
          </w:p>
        </w:tc>
      </w:tr>
      <w:tr w:rsidR="000BF409" w:rsidTr="000BF409" w14:paraId="229F7E13">
        <w:trPr>
          <w:trHeight w:val="300"/>
        </w:trPr>
        <w:tc>
          <w:tcPr>
            <w:tcW w:w="2250" w:type="dxa"/>
            <w:tcMar/>
            <w:vAlign w:val="center"/>
          </w:tcPr>
          <w:p w:rsidR="000BF409" w:rsidP="000BF409" w:rsidRDefault="000BF409" w14:paraId="4D90B69B" w14:textId="4CFD17CC">
            <w:pPr>
              <w:spacing w:before="0" w:beforeAutospacing="off" w:after="0" w:afterAutospacing="off"/>
            </w:pPr>
            <w:r w:rsidR="000BF409">
              <w:rPr/>
              <w:t>BGE-M3</w:t>
            </w:r>
          </w:p>
        </w:tc>
        <w:tc>
          <w:tcPr>
            <w:tcW w:w="2265" w:type="dxa"/>
            <w:tcMar/>
            <w:vAlign w:val="center"/>
          </w:tcPr>
          <w:p w:rsidR="000BF409" w:rsidP="000BF409" w:rsidRDefault="000BF409" w14:paraId="3FE170A0" w14:textId="16D985CF">
            <w:pPr>
              <w:spacing w:before="0" w:beforeAutospacing="off" w:after="0" w:afterAutospacing="off"/>
            </w:pPr>
            <w:r w:rsidR="000BF409">
              <w:rPr/>
              <w:t>Generar embeddings semánticos de consultas y sentencias</w:t>
            </w:r>
          </w:p>
        </w:tc>
        <w:tc>
          <w:tcPr>
            <w:tcW w:w="3645" w:type="dxa"/>
            <w:tcMar/>
            <w:vAlign w:val="center"/>
          </w:tcPr>
          <w:p w:rsidR="000BF409" w:rsidP="000BF409" w:rsidRDefault="000BF409" w14:paraId="5CA8B36B" w14:textId="1E2E3403">
            <w:pPr>
              <w:spacing w:before="0" w:beforeAutospacing="off" w:after="0" w:afterAutospacing="off"/>
            </w:pPr>
            <w:r w:rsidR="000BF409">
              <w:rPr/>
              <w:t>Es multilingüe, admite textos largos y corre en Colab</w:t>
            </w:r>
          </w:p>
        </w:tc>
        <w:tc>
          <w:tcPr>
            <w:tcW w:w="855" w:type="dxa"/>
            <w:tcMar/>
            <w:vAlign w:val="center"/>
          </w:tcPr>
          <w:p w:rsidR="000BF409" w:rsidP="000BF409" w:rsidRDefault="000BF409" w14:paraId="18759759" w14:textId="5E1AE20F">
            <w:pPr>
              <w:spacing w:before="0" w:beforeAutospacing="off" w:after="0" w:afterAutospacing="off"/>
            </w:pPr>
            <w:r w:rsidR="000BF409">
              <w:rPr/>
              <w:t>$0 COP</w:t>
            </w:r>
          </w:p>
        </w:tc>
      </w:tr>
      <w:tr w:rsidR="000BF409" w:rsidTr="000BF409" w14:paraId="0624870A">
        <w:trPr>
          <w:trHeight w:val="300"/>
        </w:trPr>
        <w:tc>
          <w:tcPr>
            <w:tcW w:w="2250" w:type="dxa"/>
            <w:tcMar/>
            <w:vAlign w:val="center"/>
          </w:tcPr>
          <w:p w:rsidR="000BF409" w:rsidP="000BF409" w:rsidRDefault="000BF409" w14:paraId="2F1F1A54" w14:textId="058CC4F3">
            <w:pPr>
              <w:spacing w:before="0" w:beforeAutospacing="off" w:after="0" w:afterAutospacing="off"/>
            </w:pPr>
            <w:r w:rsidR="000BF409">
              <w:rPr/>
              <w:t>Búsqueda híbrida con RRF</w:t>
            </w:r>
          </w:p>
        </w:tc>
        <w:tc>
          <w:tcPr>
            <w:tcW w:w="2265" w:type="dxa"/>
            <w:tcMar/>
            <w:vAlign w:val="center"/>
          </w:tcPr>
          <w:p w:rsidR="000BF409" w:rsidP="000BF409" w:rsidRDefault="000BF409" w14:paraId="2094A8DD" w14:textId="4BFE7A48">
            <w:pPr>
              <w:spacing w:before="0" w:beforeAutospacing="off" w:after="0" w:afterAutospacing="off"/>
            </w:pPr>
            <w:r w:rsidR="000BF409">
              <w:rPr/>
              <w:t>Fusionar los resultados de BM25 y los vectoriales</w:t>
            </w:r>
          </w:p>
        </w:tc>
        <w:tc>
          <w:tcPr>
            <w:tcW w:w="3645" w:type="dxa"/>
            <w:tcMar/>
            <w:vAlign w:val="center"/>
          </w:tcPr>
          <w:p w:rsidR="000BF409" w:rsidP="000BF409" w:rsidRDefault="000BF409" w14:paraId="2D3315C9" w14:textId="227D4763">
            <w:pPr>
              <w:spacing w:before="0" w:beforeAutospacing="off" w:after="0" w:afterAutospacing="off"/>
            </w:pPr>
            <w:r w:rsidR="000BF409">
              <w:rPr/>
              <w:t>Es el motor principal y combina precisión léxica con similitud semántica</w:t>
            </w:r>
          </w:p>
        </w:tc>
        <w:tc>
          <w:tcPr>
            <w:tcW w:w="855" w:type="dxa"/>
            <w:tcMar/>
            <w:vAlign w:val="center"/>
          </w:tcPr>
          <w:p w:rsidR="000BF409" w:rsidP="000BF409" w:rsidRDefault="000BF409" w14:paraId="09BACC47" w14:textId="0A34D76B">
            <w:pPr>
              <w:spacing w:before="0" w:beforeAutospacing="off" w:after="0" w:afterAutospacing="off"/>
            </w:pPr>
            <w:r w:rsidR="000BF409">
              <w:rPr/>
              <w:t>$0 COP</w:t>
            </w:r>
          </w:p>
        </w:tc>
      </w:tr>
      <w:tr w:rsidR="000BF409" w:rsidTr="000BF409" w14:paraId="56E6A39D">
        <w:trPr>
          <w:trHeight w:val="300"/>
        </w:trPr>
        <w:tc>
          <w:tcPr>
            <w:tcW w:w="2250" w:type="dxa"/>
            <w:tcMar/>
            <w:vAlign w:val="center"/>
          </w:tcPr>
          <w:p w:rsidR="000BF409" w:rsidP="000BF409" w:rsidRDefault="000BF409" w14:paraId="5F7746C4" w14:textId="47D1E9C1">
            <w:pPr>
              <w:spacing w:before="0" w:beforeAutospacing="off" w:after="0" w:afterAutospacing="off"/>
            </w:pPr>
            <w:r w:rsidR="000BF409">
              <w:rPr/>
              <w:t>BGE Reranker</w:t>
            </w:r>
          </w:p>
        </w:tc>
        <w:tc>
          <w:tcPr>
            <w:tcW w:w="2265" w:type="dxa"/>
            <w:tcMar/>
            <w:vAlign w:val="center"/>
          </w:tcPr>
          <w:p w:rsidR="000BF409" w:rsidP="000BF409" w:rsidRDefault="000BF409" w14:paraId="7A747865" w14:textId="53431D2C">
            <w:pPr>
              <w:spacing w:before="0" w:beforeAutospacing="off" w:after="0" w:afterAutospacing="off"/>
            </w:pPr>
            <w:r w:rsidR="000BF409">
              <w:rPr/>
              <w:t>Reordenar el top de resultados</w:t>
            </w:r>
          </w:p>
        </w:tc>
        <w:tc>
          <w:tcPr>
            <w:tcW w:w="3645" w:type="dxa"/>
            <w:tcMar/>
            <w:vAlign w:val="center"/>
          </w:tcPr>
          <w:p w:rsidR="000BF409" w:rsidP="000BF409" w:rsidRDefault="000BF409" w14:paraId="603ECE94" w14:textId="73977244">
            <w:pPr>
              <w:spacing w:before="0" w:beforeAutospacing="off" w:after="0" w:afterAutospacing="off"/>
            </w:pPr>
            <w:r w:rsidR="000BF409">
              <w:rPr/>
              <w:t>Mejora la precisión con poco esfuerzo adicional</w:t>
            </w:r>
          </w:p>
        </w:tc>
        <w:tc>
          <w:tcPr>
            <w:tcW w:w="855" w:type="dxa"/>
            <w:tcMar/>
            <w:vAlign w:val="center"/>
          </w:tcPr>
          <w:p w:rsidR="000BF409" w:rsidP="000BF409" w:rsidRDefault="000BF409" w14:paraId="0A943044" w14:textId="5FC1DE8F">
            <w:pPr>
              <w:spacing w:before="0" w:beforeAutospacing="off" w:after="0" w:afterAutospacing="off"/>
            </w:pPr>
            <w:r w:rsidR="000BF409">
              <w:rPr/>
              <w:t>$0 COP</w:t>
            </w:r>
          </w:p>
        </w:tc>
      </w:tr>
      <w:tr w:rsidR="000BF409" w:rsidTr="000BF409" w14:paraId="55E0F8BF">
        <w:trPr>
          <w:trHeight w:val="300"/>
        </w:trPr>
        <w:tc>
          <w:tcPr>
            <w:tcW w:w="2250" w:type="dxa"/>
            <w:tcMar/>
            <w:vAlign w:val="center"/>
          </w:tcPr>
          <w:p w:rsidR="000BF409" w:rsidP="000BF409" w:rsidRDefault="000BF409" w14:paraId="606FC6B6" w14:textId="4B257E6F">
            <w:pPr>
              <w:spacing w:before="0" w:beforeAutospacing="off" w:after="0" w:afterAutospacing="off"/>
            </w:pPr>
            <w:r w:rsidR="000BF409">
              <w:rPr/>
              <w:t>Gemini API (plan gratuito)</w:t>
            </w:r>
          </w:p>
        </w:tc>
        <w:tc>
          <w:tcPr>
            <w:tcW w:w="2265" w:type="dxa"/>
            <w:tcMar/>
            <w:vAlign w:val="center"/>
          </w:tcPr>
          <w:p w:rsidR="000BF409" w:rsidP="000BF409" w:rsidRDefault="000BF409" w14:paraId="5B3DEC76" w14:textId="4CA78BF0">
            <w:pPr>
              <w:spacing w:before="0" w:beforeAutospacing="off" w:after="0" w:afterAutospacing="off"/>
            </w:pPr>
            <w:r w:rsidR="000BF409">
              <w:rPr/>
              <w:t>Extraer campos estructurados (JSON) y generar las respuestas RAG</w:t>
            </w:r>
          </w:p>
        </w:tc>
        <w:tc>
          <w:tcPr>
            <w:tcW w:w="3645" w:type="dxa"/>
            <w:tcMar/>
            <w:vAlign w:val="center"/>
          </w:tcPr>
          <w:p w:rsidR="000BF409" w:rsidP="000BF409" w:rsidRDefault="000BF409" w14:paraId="5E7E6CD0" w14:textId="79F5C1D0">
            <w:pPr>
              <w:spacing w:before="0" w:beforeAutospacing="off" w:after="0" w:afterAutospacing="off"/>
            </w:pPr>
            <w:r w:rsidR="000BF409">
              <w:rPr/>
              <w:t>Tiene buena calidad en español y textos largos sin pagar</w:t>
            </w:r>
          </w:p>
        </w:tc>
        <w:tc>
          <w:tcPr>
            <w:tcW w:w="855" w:type="dxa"/>
            <w:tcMar/>
            <w:vAlign w:val="center"/>
          </w:tcPr>
          <w:p w:rsidR="000BF409" w:rsidP="000BF409" w:rsidRDefault="000BF409" w14:paraId="2C91D095" w14:textId="11BDB745">
            <w:pPr>
              <w:spacing w:before="0" w:beforeAutospacing="off" w:after="0" w:afterAutospacing="off"/>
            </w:pPr>
            <w:r w:rsidR="000BF409">
              <w:rPr/>
              <w:t>$0 COP (con límites de uso)</w:t>
            </w:r>
          </w:p>
        </w:tc>
      </w:tr>
      <w:tr w:rsidR="000BF409" w:rsidTr="000BF409" w14:paraId="4F857563">
        <w:trPr>
          <w:trHeight w:val="300"/>
        </w:trPr>
        <w:tc>
          <w:tcPr>
            <w:tcW w:w="2250" w:type="dxa"/>
            <w:tcMar/>
            <w:vAlign w:val="center"/>
          </w:tcPr>
          <w:p w:rsidR="000BF409" w:rsidP="000BF409" w:rsidRDefault="000BF409" w14:paraId="092B91B1" w14:textId="6F3CE9C0">
            <w:pPr>
              <w:spacing w:before="0" w:beforeAutospacing="off" w:after="0" w:afterAutospacing="off"/>
            </w:pPr>
            <w:r w:rsidR="000BF409">
              <w:rPr/>
              <w:t>Ollama + Llama/Mistral</w:t>
            </w:r>
          </w:p>
        </w:tc>
        <w:tc>
          <w:tcPr>
            <w:tcW w:w="2265" w:type="dxa"/>
            <w:tcMar/>
            <w:vAlign w:val="center"/>
          </w:tcPr>
          <w:p w:rsidR="000BF409" w:rsidP="000BF409" w:rsidRDefault="000BF409" w14:paraId="7CD760D0" w14:textId="03945B2A">
            <w:pPr>
              <w:spacing w:before="0" w:beforeAutospacing="off" w:after="0" w:afterAutospacing="off"/>
            </w:pPr>
            <w:r w:rsidR="000BF409">
              <w:rPr/>
              <w:t>Alternativa local al LLM si se agotan los límites o para casos sensibles</w:t>
            </w:r>
          </w:p>
        </w:tc>
        <w:tc>
          <w:tcPr>
            <w:tcW w:w="3645" w:type="dxa"/>
            <w:tcMar/>
            <w:vAlign w:val="center"/>
          </w:tcPr>
          <w:p w:rsidR="000BF409" w:rsidP="000BF409" w:rsidRDefault="000BF409" w14:paraId="79B247EE" w14:textId="0A91CE02">
            <w:pPr>
              <w:spacing w:before="0" w:beforeAutospacing="off" w:after="0" w:afterAutospacing="off"/>
            </w:pPr>
            <w:r w:rsidR="000BF409">
              <w:rPr/>
              <w:t>No envía datos a terceros</w:t>
            </w:r>
          </w:p>
        </w:tc>
        <w:tc>
          <w:tcPr>
            <w:tcW w:w="855" w:type="dxa"/>
            <w:tcMar/>
            <w:vAlign w:val="center"/>
          </w:tcPr>
          <w:p w:rsidR="000BF409" w:rsidP="000BF409" w:rsidRDefault="000BF409" w14:paraId="232ED594" w14:textId="63D07B3D">
            <w:pPr>
              <w:spacing w:before="0" w:beforeAutospacing="off" w:after="0" w:afterAutospacing="off"/>
            </w:pPr>
            <w:r w:rsidR="000BF409">
              <w:rPr/>
              <w:t>$0 COP</w:t>
            </w:r>
          </w:p>
        </w:tc>
      </w:tr>
      <w:tr w:rsidR="000BF409" w:rsidTr="000BF409" w14:paraId="59EA3A53">
        <w:trPr>
          <w:trHeight w:val="300"/>
        </w:trPr>
        <w:tc>
          <w:tcPr>
            <w:tcW w:w="2250" w:type="dxa"/>
            <w:tcMar/>
            <w:vAlign w:val="center"/>
          </w:tcPr>
          <w:p w:rsidR="000BF409" w:rsidP="000BF409" w:rsidRDefault="000BF409" w14:paraId="37BD3CD1" w14:textId="77CFDDF3">
            <w:pPr>
              <w:spacing w:before="0" w:beforeAutospacing="off" w:after="0" w:afterAutospacing="off"/>
            </w:pPr>
            <w:r w:rsidR="000BF409">
              <w:rPr/>
              <w:t>RAG + sistema de citas</w:t>
            </w:r>
          </w:p>
        </w:tc>
        <w:tc>
          <w:tcPr>
            <w:tcW w:w="2265" w:type="dxa"/>
            <w:tcMar/>
            <w:vAlign w:val="center"/>
          </w:tcPr>
          <w:p w:rsidR="000BF409" w:rsidP="000BF409" w:rsidRDefault="000BF409" w14:paraId="4029F908" w14:textId="52E67B54">
            <w:pPr>
              <w:spacing w:before="0" w:beforeAutospacing="off" w:after="0" w:afterAutospacing="off"/>
            </w:pPr>
            <w:r w:rsidR="000BF409">
              <w:rPr/>
              <w:t>Obligar a que cada respuesta cite sentencias del corpus con su enlace oficial</w:t>
            </w:r>
          </w:p>
        </w:tc>
        <w:tc>
          <w:tcPr>
            <w:tcW w:w="3645" w:type="dxa"/>
            <w:tcMar/>
            <w:vAlign w:val="center"/>
          </w:tcPr>
          <w:p w:rsidR="000BF409" w:rsidP="000BF409" w:rsidRDefault="000BF409" w14:paraId="3F7A207D" w14:textId="6AD7448D">
            <w:pPr>
              <w:spacing w:before="0" w:beforeAutospacing="off" w:after="0" w:afterAutospacing="off"/>
            </w:pPr>
            <w:r w:rsidR="000BF409">
              <w:rPr/>
              <w:t>Garantiza la trazabilidad y reduce las alucinaciones</w:t>
            </w:r>
          </w:p>
        </w:tc>
        <w:tc>
          <w:tcPr>
            <w:tcW w:w="855" w:type="dxa"/>
            <w:tcMar/>
            <w:vAlign w:val="center"/>
          </w:tcPr>
          <w:p w:rsidR="000BF409" w:rsidP="000BF409" w:rsidRDefault="000BF409" w14:paraId="204AA8B6" w14:textId="49519991">
            <w:pPr>
              <w:spacing w:before="0" w:beforeAutospacing="off" w:after="0" w:afterAutospacing="off"/>
            </w:pPr>
            <w:r w:rsidR="000BF409">
              <w:rPr/>
              <w:t>$0 COP</w:t>
            </w:r>
          </w:p>
        </w:tc>
      </w:tr>
      <w:tr w:rsidR="000BF409" w:rsidTr="000BF409" w14:paraId="19178436">
        <w:trPr>
          <w:trHeight w:val="300"/>
        </w:trPr>
        <w:tc>
          <w:tcPr>
            <w:tcW w:w="2250" w:type="dxa"/>
            <w:tcMar/>
            <w:vAlign w:val="center"/>
          </w:tcPr>
          <w:p w:rsidR="000BF409" w:rsidP="000BF409" w:rsidRDefault="000BF409" w14:paraId="5C009133" w14:textId="3EFE1BF1">
            <w:pPr>
              <w:spacing w:before="0" w:beforeAutospacing="off" w:after="0" w:afterAutospacing="off"/>
            </w:pPr>
            <w:r w:rsidR="000BF409">
              <w:rPr/>
              <w:t>Streamlit</w:t>
            </w:r>
          </w:p>
        </w:tc>
        <w:tc>
          <w:tcPr>
            <w:tcW w:w="2265" w:type="dxa"/>
            <w:tcMar/>
            <w:vAlign w:val="center"/>
          </w:tcPr>
          <w:p w:rsidR="000BF409" w:rsidP="000BF409" w:rsidRDefault="000BF409" w14:paraId="213B5B16" w14:textId="5AE74B0E">
            <w:pPr>
              <w:spacing w:before="0" w:beforeAutospacing="off" w:after="0" w:afterAutospacing="off"/>
            </w:pPr>
            <w:r w:rsidR="000BF409">
              <w:rPr/>
              <w:t>Interfaz de consulta, filtros y comparación</w:t>
            </w:r>
          </w:p>
        </w:tc>
        <w:tc>
          <w:tcPr>
            <w:tcW w:w="3645" w:type="dxa"/>
            <w:tcMar/>
            <w:vAlign w:val="center"/>
          </w:tcPr>
          <w:p w:rsidR="000BF409" w:rsidP="000BF409" w:rsidRDefault="000BF409" w14:paraId="126200CB" w14:textId="30150512">
            <w:pPr>
              <w:spacing w:before="0" w:beforeAutospacing="off" w:after="0" w:afterAutospacing="off"/>
            </w:pPr>
            <w:r w:rsidR="000BF409">
              <w:rPr/>
              <w:t>Permite tener un prototipo funcional en días, solo con Python</w:t>
            </w:r>
          </w:p>
        </w:tc>
        <w:tc>
          <w:tcPr>
            <w:tcW w:w="855" w:type="dxa"/>
            <w:tcMar/>
            <w:vAlign w:val="center"/>
          </w:tcPr>
          <w:p w:rsidR="000BF409" w:rsidP="000BF409" w:rsidRDefault="000BF409" w14:paraId="39BDC060" w14:textId="12508D5A">
            <w:pPr>
              <w:spacing w:before="0" w:beforeAutospacing="off" w:after="0" w:afterAutospacing="off"/>
            </w:pPr>
            <w:r w:rsidR="000BF409">
              <w:rPr/>
              <w:t>$0 COP</w:t>
            </w:r>
          </w:p>
        </w:tc>
      </w:tr>
      <w:tr w:rsidR="000BF409" w:rsidTr="000BF409" w14:paraId="47E25F81">
        <w:trPr>
          <w:trHeight w:val="300"/>
        </w:trPr>
        <w:tc>
          <w:tcPr>
            <w:tcW w:w="2250" w:type="dxa"/>
            <w:tcMar/>
            <w:vAlign w:val="center"/>
          </w:tcPr>
          <w:p w:rsidR="000BF409" w:rsidP="000BF409" w:rsidRDefault="000BF409" w14:paraId="0F1B9ECB" w14:textId="3F17566F">
            <w:pPr>
              <w:spacing w:before="0" w:beforeAutospacing="off" w:after="0" w:afterAutospacing="off"/>
            </w:pPr>
            <w:r w:rsidR="000BF409">
              <w:rPr/>
              <w:t>Google Colab Free</w:t>
            </w:r>
          </w:p>
        </w:tc>
        <w:tc>
          <w:tcPr>
            <w:tcW w:w="2265" w:type="dxa"/>
            <w:tcMar/>
            <w:vAlign w:val="center"/>
          </w:tcPr>
          <w:p w:rsidR="000BF409" w:rsidP="000BF409" w:rsidRDefault="000BF409" w14:paraId="3EE3DDC5" w14:textId="71258CB3">
            <w:pPr>
              <w:spacing w:before="0" w:beforeAutospacing="off" w:after="0" w:afterAutospacing="off"/>
            </w:pPr>
            <w:r w:rsidR="000BF409">
              <w:rPr/>
              <w:t>Cómputo con GPU para embeddings y reranker</w:t>
            </w:r>
          </w:p>
        </w:tc>
        <w:tc>
          <w:tcPr>
            <w:tcW w:w="3645" w:type="dxa"/>
            <w:tcMar/>
            <w:vAlign w:val="center"/>
          </w:tcPr>
          <w:p w:rsidR="000BF409" w:rsidP="000BF409" w:rsidRDefault="000BF409" w14:paraId="55996BDE" w14:textId="04E34019">
            <w:pPr>
              <w:spacing w:before="0" w:beforeAutospacing="off" w:after="0" w:afterAutospacing="off"/>
            </w:pPr>
            <w:r w:rsidR="000BF409">
              <w:rPr/>
              <w:t>Da acceso a GPU sin infraestructura propia</w:t>
            </w:r>
          </w:p>
        </w:tc>
        <w:tc>
          <w:tcPr>
            <w:tcW w:w="855" w:type="dxa"/>
            <w:tcMar/>
            <w:vAlign w:val="center"/>
          </w:tcPr>
          <w:p w:rsidR="000BF409" w:rsidP="000BF409" w:rsidRDefault="000BF409" w14:paraId="4A802A5E" w14:textId="3AF0B304">
            <w:pPr>
              <w:spacing w:before="0" w:beforeAutospacing="off" w:after="0" w:afterAutospacing="off"/>
            </w:pPr>
            <w:r w:rsidR="000BF409">
              <w:rPr/>
              <w:t>$0 COP</w:t>
            </w:r>
          </w:p>
        </w:tc>
      </w:tr>
      <w:tr w:rsidR="000BF409" w:rsidTr="000BF409" w14:paraId="4486DD60">
        <w:trPr>
          <w:trHeight w:val="300"/>
        </w:trPr>
        <w:tc>
          <w:tcPr>
            <w:tcW w:w="2250" w:type="dxa"/>
            <w:tcMar/>
            <w:vAlign w:val="center"/>
          </w:tcPr>
          <w:p w:rsidR="000BF409" w:rsidP="000BF409" w:rsidRDefault="000BF409" w14:paraId="28A49876" w14:textId="5270394F">
            <w:pPr>
              <w:spacing w:before="0" w:beforeAutospacing="off" w:after="0" w:afterAutospacing="off"/>
            </w:pPr>
            <w:r w:rsidR="000BF409">
              <w:rPr/>
              <w:t>scikit-learn / ranx</w:t>
            </w:r>
          </w:p>
        </w:tc>
        <w:tc>
          <w:tcPr>
            <w:tcW w:w="2265" w:type="dxa"/>
            <w:tcMar/>
            <w:vAlign w:val="center"/>
          </w:tcPr>
          <w:p w:rsidR="000BF409" w:rsidP="000BF409" w:rsidRDefault="000BF409" w14:paraId="3655458D" w14:textId="44AFCBAB">
            <w:pPr>
              <w:spacing w:before="0" w:beforeAutospacing="off" w:after="0" w:afterAutospacing="off"/>
            </w:pPr>
            <w:r w:rsidR="000BF409">
              <w:rPr/>
              <w:t>Calcular las métricas de evaluación (Recall@10, nDCG@10, MRR)</w:t>
            </w:r>
          </w:p>
        </w:tc>
        <w:tc>
          <w:tcPr>
            <w:tcW w:w="3645" w:type="dxa"/>
            <w:tcMar/>
            <w:vAlign w:val="center"/>
          </w:tcPr>
          <w:p w:rsidR="000BF409" w:rsidP="000BF409" w:rsidRDefault="000BF409" w14:paraId="35E89AE3" w14:textId="7AC148B8">
            <w:pPr>
              <w:spacing w:before="0" w:beforeAutospacing="off" w:after="0" w:afterAutospacing="off"/>
            </w:pPr>
            <w:r w:rsidR="000BF409">
              <w:rPr/>
              <w:t>Es la forma de comprobar si la hipótesis se cumple</w:t>
            </w:r>
          </w:p>
        </w:tc>
        <w:tc>
          <w:tcPr>
            <w:tcW w:w="855" w:type="dxa"/>
            <w:tcMar/>
            <w:vAlign w:val="center"/>
          </w:tcPr>
          <w:p w:rsidR="000BF409" w:rsidP="000BF409" w:rsidRDefault="000BF409" w14:paraId="4A284CF6" w14:textId="3FFECB82">
            <w:pPr>
              <w:spacing w:before="0" w:beforeAutospacing="off" w:after="0" w:afterAutospacing="off"/>
            </w:pPr>
            <w:r w:rsidR="000BF409">
              <w:rPr/>
              <w:t>$0 COP</w:t>
            </w:r>
          </w:p>
        </w:tc>
      </w:tr>
      <w:tr w:rsidR="000BF409" w:rsidTr="000BF409" w14:paraId="3B018DC6">
        <w:trPr>
          <w:trHeight w:val="300"/>
        </w:trPr>
        <w:tc>
          <w:tcPr>
            <w:tcW w:w="2250" w:type="dxa"/>
            <w:tcMar/>
            <w:vAlign w:val="center"/>
          </w:tcPr>
          <w:p w:rsidR="000BF409" w:rsidP="000BF409" w:rsidRDefault="000BF409" w14:paraId="793FDCBA" w14:textId="57E185D7">
            <w:pPr>
              <w:spacing w:before="0" w:beforeAutospacing="off" w:after="0" w:afterAutospacing="off"/>
            </w:pPr>
            <w:r w:rsidR="000BF409">
              <w:rPr/>
              <w:t>Google Sheets</w:t>
            </w:r>
          </w:p>
        </w:tc>
        <w:tc>
          <w:tcPr>
            <w:tcW w:w="2265" w:type="dxa"/>
            <w:tcMar/>
            <w:vAlign w:val="center"/>
          </w:tcPr>
          <w:p w:rsidR="000BF409" w:rsidP="000BF409" w:rsidRDefault="000BF409" w14:paraId="3643D7B5" w14:textId="23280704">
            <w:pPr>
              <w:spacing w:before="0" w:beforeAutospacing="off" w:after="0" w:afterAutospacing="off"/>
            </w:pPr>
            <w:r w:rsidR="000BF409">
              <w:rPr/>
              <w:t>Registrar los casos de prueba y los juicios de relevancia de los expertos</w:t>
            </w:r>
          </w:p>
        </w:tc>
        <w:tc>
          <w:tcPr>
            <w:tcW w:w="3645" w:type="dxa"/>
            <w:tcMar/>
            <w:vAlign w:val="center"/>
          </w:tcPr>
          <w:p w:rsidR="000BF409" w:rsidP="000BF409" w:rsidRDefault="000BF409" w14:paraId="16E057C5" w14:textId="3E633E89">
            <w:pPr>
              <w:spacing w:before="0" w:beforeAutospacing="off" w:after="0" w:afterAutospacing="off"/>
            </w:pPr>
            <w:r w:rsidR="000BF409">
              <w:rPr/>
              <w:t>Es fácil de compartir con los abogados evaluadores</w:t>
            </w:r>
          </w:p>
        </w:tc>
        <w:tc>
          <w:tcPr>
            <w:tcW w:w="855" w:type="dxa"/>
            <w:tcMar/>
            <w:vAlign w:val="center"/>
          </w:tcPr>
          <w:p w:rsidR="000BF409" w:rsidP="000BF409" w:rsidRDefault="000BF409" w14:paraId="770866CB" w14:textId="23AC9060">
            <w:pPr>
              <w:spacing w:before="0" w:beforeAutospacing="off" w:after="0" w:afterAutospacing="off"/>
            </w:pPr>
            <w:r w:rsidR="000BF409">
              <w:rPr/>
              <w:t>$0 COP</w:t>
            </w:r>
          </w:p>
        </w:tc>
      </w:tr>
    </w:tbl>
    <w:p w:rsidR="000BF409" w:rsidRDefault="000BF409" w14:paraId="492D64D6" w14:textId="0105BD05"/>
    <w:p w:rsidR="26B81971" w:rsidP="000BF409" w:rsidRDefault="26B81971" w14:paraId="039450BF" w14:textId="4F5CFFD1">
      <w:pPr>
        <w:bidi w:val="0"/>
        <w:spacing w:before="240" w:beforeAutospacing="off" w:after="240" w:afterAutospacing="off"/>
      </w:pPr>
      <w:r w:rsidRPr="000BF409" w:rsidR="26B81971">
        <w:rPr>
          <w:rFonts w:ascii="Arial" w:hAnsi="Arial" w:eastAsia="Arial" w:cs="Arial"/>
          <w:noProof w:val="0"/>
          <w:sz w:val="24"/>
          <w:szCs w:val="24"/>
          <w:lang w:val="es-419"/>
        </w:rPr>
        <w:t>Límites de esta versión 100 % gratuita:</w:t>
      </w:r>
    </w:p>
    <w:p w:rsidR="26B81971" w:rsidP="000BF409" w:rsidRDefault="26B81971" w14:paraId="54574B5D" w14:textId="176F8B73">
      <w:pPr>
        <w:pStyle w:val="ListParagraph"/>
        <w:numPr>
          <w:ilvl w:val="0"/>
          <w:numId w:val="2"/>
        </w:numPr>
        <w:bidi w:val="0"/>
        <w:spacing w:before="0" w:beforeAutospacing="off" w:after="0" w:afterAutospacing="off"/>
        <w:rPr>
          <w:rFonts w:ascii="Arial" w:hAnsi="Arial" w:eastAsia="Arial" w:cs="Arial"/>
          <w:noProof w:val="0"/>
          <w:sz w:val="24"/>
          <w:szCs w:val="24"/>
          <w:lang w:val="es-419"/>
        </w:rPr>
      </w:pPr>
      <w:r w:rsidRPr="000BF409" w:rsidR="26B81971">
        <w:rPr>
          <w:rFonts w:ascii="Arial" w:hAnsi="Arial" w:eastAsia="Arial" w:cs="Arial"/>
          <w:b w:val="1"/>
          <w:bCs w:val="1"/>
          <w:noProof w:val="0"/>
          <w:sz w:val="24"/>
          <w:szCs w:val="24"/>
          <w:lang w:val="es-419"/>
        </w:rPr>
        <w:t>Datos en la API gratuita:</w:t>
      </w:r>
      <w:r w:rsidRPr="000BF409" w:rsidR="26B81971">
        <w:rPr>
          <w:rFonts w:ascii="Arial" w:hAnsi="Arial" w:eastAsia="Arial" w:cs="Arial"/>
          <w:noProof w:val="0"/>
          <w:sz w:val="24"/>
          <w:szCs w:val="24"/>
          <w:lang w:val="es-419"/>
        </w:rPr>
        <w:t xml:space="preserve"> el plan gratuito de Gemini puede usar los datos enviados para mejorar sus productos. Con sentencias públicas no hay problema, pero para casos consultados usen solo casos ficticios o anonimizados, o Ollama.</w:t>
      </w:r>
    </w:p>
    <w:p w:rsidR="26B81971" w:rsidP="000BF409" w:rsidRDefault="26B81971" w14:paraId="31F84973" w14:textId="448CD535">
      <w:pPr>
        <w:pStyle w:val="ListParagraph"/>
        <w:numPr>
          <w:ilvl w:val="0"/>
          <w:numId w:val="2"/>
        </w:numPr>
        <w:bidi w:val="0"/>
        <w:spacing w:before="0" w:beforeAutospacing="off" w:after="0" w:afterAutospacing="off"/>
        <w:rPr>
          <w:rFonts w:ascii="Arial" w:hAnsi="Arial" w:eastAsia="Arial" w:cs="Arial"/>
          <w:noProof w:val="0"/>
          <w:sz w:val="24"/>
          <w:szCs w:val="24"/>
          <w:lang w:val="es-419"/>
        </w:rPr>
      </w:pPr>
      <w:r w:rsidRPr="000BF409" w:rsidR="26B81971">
        <w:rPr>
          <w:rFonts w:ascii="Arial" w:hAnsi="Arial" w:eastAsia="Arial" w:cs="Arial"/>
          <w:b w:val="1"/>
          <w:bCs w:val="1"/>
          <w:noProof w:val="0"/>
          <w:sz w:val="24"/>
          <w:szCs w:val="24"/>
          <w:lang w:val="es-419"/>
        </w:rPr>
        <w:t>Límites de uso:</w:t>
      </w:r>
      <w:r w:rsidRPr="000BF409" w:rsidR="26B81971">
        <w:rPr>
          <w:rFonts w:ascii="Arial" w:hAnsi="Arial" w:eastAsia="Arial" w:cs="Arial"/>
          <w:noProof w:val="0"/>
          <w:sz w:val="24"/>
          <w:szCs w:val="24"/>
          <w:lang w:val="es-419"/>
        </w:rPr>
        <w:t xml:space="preserve"> tanto Gemini gratuito como Colab tienen límites diarios y cortes de sesión. Conviene procesar el corpus por lotes y guardar los resultados en la base para no repetir trabajo.</w:t>
      </w:r>
    </w:p>
    <w:p w:rsidR="26B81971" w:rsidP="000BF409" w:rsidRDefault="26B81971" w14:paraId="51CD1106" w14:textId="047E6B81">
      <w:pPr>
        <w:pStyle w:val="ListParagraph"/>
        <w:numPr>
          <w:ilvl w:val="0"/>
          <w:numId w:val="2"/>
        </w:numPr>
        <w:bidi w:val="0"/>
        <w:spacing w:before="0" w:beforeAutospacing="off" w:after="0" w:afterAutospacing="off"/>
        <w:rPr>
          <w:rFonts w:ascii="Arial" w:hAnsi="Arial" w:eastAsia="Arial" w:cs="Arial"/>
          <w:noProof w:val="0"/>
          <w:sz w:val="24"/>
          <w:szCs w:val="24"/>
          <w:lang w:val="es-419"/>
        </w:rPr>
      </w:pPr>
      <w:r w:rsidRPr="000BF409" w:rsidR="26B81971">
        <w:rPr>
          <w:rFonts w:ascii="Arial" w:hAnsi="Arial" w:eastAsia="Arial" w:cs="Arial"/>
          <w:b w:val="1"/>
          <w:bCs w:val="1"/>
          <w:noProof w:val="0"/>
          <w:sz w:val="24"/>
          <w:szCs w:val="24"/>
          <w:lang w:val="es-419"/>
        </w:rPr>
        <w:t>Calidad de los modelos locales:</w:t>
      </w:r>
      <w:r w:rsidRPr="000BF409" w:rsidR="26B81971">
        <w:rPr>
          <w:rFonts w:ascii="Arial" w:hAnsi="Arial" w:eastAsia="Arial" w:cs="Arial"/>
          <w:noProof w:val="0"/>
          <w:sz w:val="24"/>
          <w:szCs w:val="24"/>
          <w:lang w:val="es-419"/>
        </w:rPr>
        <w:t xml:space="preserve"> los modelos que corre Ollama en equipos comunes (7–8B) son más débiles leyendo sentencias largas. Por eso los dejé como respaldo y no como opción principal.</w:t>
      </w:r>
    </w:p>
    <w:p w:rsidR="000BF409" w:rsidP="000BF409" w:rsidRDefault="000BF409" w14:paraId="6A35F2FC" w14:textId="00CDDEA5">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s-419"/>
        </w:rPr>
      </w:pPr>
    </w:p>
    <w:p w:rsidR="5803FB51" w:rsidRDefault="5803FB51" w14:paraId="6751A55E" w14:textId="7BF84E9A">
      <w:r w:rsidR="5803FB51">
        <w:drawing>
          <wp:inline wp14:editId="231D5753" wp14:anchorId="54F60891">
            <wp:extent cx="5724525" cy="3943350"/>
            <wp:effectExtent l="0" t="0" r="0" b="0"/>
            <wp:docPr id="1888592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592745" name="Picture 1888592745"/>
                    <pic:cNvPicPr/>
                  </pic:nvPicPr>
                  <pic:blipFill>
                    <a:blip xmlns:r="http://schemas.openxmlformats.org/officeDocument/2006/relationships" r:embed="rId296369617">
                      <a:extLst>
                        <a:ext uri="{28A0092B-C50C-407E-A947-70E740481C1C}">
                          <a14:useLocalDpi xmlns:a14="http://schemas.microsoft.com/office/drawing/2010/main"/>
                        </a:ext>
                      </a:extLst>
                    </a:blip>
                    <a:stretch>
                      <a:fillRect/>
                    </a:stretch>
                  </pic:blipFill>
                  <pic:spPr>
                    <a:xfrm>
                      <a:off x="0" y="0"/>
                      <a:ext cx="5724525" cy="394335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136a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e2e463"/>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3F1454"/>
    <w:rsid w:val="000BF409"/>
    <w:rsid w:val="043F1454"/>
    <w:rsid w:val="1B34A45F"/>
    <w:rsid w:val="26B81971"/>
    <w:rsid w:val="39CEE406"/>
    <w:rsid w:val="3E8B5604"/>
    <w:rsid w:val="40FEF2B7"/>
    <w:rsid w:val="4D87812A"/>
    <w:rsid w:val="4DB19C6F"/>
    <w:rsid w:val="4E6E7771"/>
    <w:rsid w:val="5803FB51"/>
    <w:rsid w:val="5823EC32"/>
    <w:rsid w:val="5CA3C943"/>
    <w:rsid w:val="6509B1B8"/>
    <w:rsid w:val="7FCB4F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9CD8"/>
  <w15:chartTrackingRefBased/>
  <w15:docId w15:val="{5D03769E-EDF4-4D77-BB97-BFB2F99440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00BF40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00BF409"/>
    <w:rPr>
      <w:color w:val="467886"/>
      <w:u w:val="single"/>
    </w:rPr>
  </w:style>
  <w:style w:type="paragraph" w:styleId="Heading1">
    <w:uiPriority w:val="9"/>
    <w:name w:val="heading 1"/>
    <w:basedOn w:val="Normal"/>
    <w:next w:val="Normal"/>
    <w:qFormat/>
    <w:rsid w:val="000BF40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00BF40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anva.link/ghldqcphs0v0ff2" TargetMode="External" Id="R6b5f8016e49f4323" /><Relationship Type="http://schemas.openxmlformats.org/officeDocument/2006/relationships/image" Target="/media/image.png" Id="rId296369617" /><Relationship Type="http://schemas.openxmlformats.org/officeDocument/2006/relationships/numbering" Target="numbering.xml" Id="R5b0412f408b048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2026-09-22T21:49:42.2888479Z</dcterms:created>
  <dcterms:modified xsi:type="dcterms:W3CDTF">2026-09-22T22:42:00.2227272Z</dcterms:modified>
  <dc:creator>MARIA PAULA PEREZ VILLAREAL.</dc:creator>
  <lastModifiedBy>SOFIA ISABELLA GARZON ALDANA.E -67</lastModifiedBy>
</coreProperties>
</file>