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9"/>
        </w:rPr>
        <w:t>ConvNeXt V2 on BRSET and mBRSET: Strong Baseline Models for Diabetic Retinopathy and Macular Edema Classification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Executive Summary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Sahith Reddy Thummala (Panther ID 002856791)  |  For: Dr. Dong Hye Ye  |  cc: Nagur Shareef Shaik  |  July 29, 2026</w:t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Objective</w:t>
      </w:r>
    </w:p>
    <w:p>
      <w:pPr>
        <w:spacing w:after="80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Establish a strong, non-baseline ConvNeXt V2 model on both BRSET and mBRSET for independent binary classification of diabetic_retinopathy and macular_edema, before proceeding to k-fold cross-validation.</w:t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Methodology: What We Tried, In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Technique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Outcome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1. Baseline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ConvNeXt V2 Large @ 512px (above its 384px pretraining); weighted oversampling + focal loss (gamma=2.0); all 16,258 BRSET / 4,859 mBRSET images; patient-level 70/15/15 split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Strong AUC (0.93-0.99) on both datasets, but train accuracy ~99.8-100% vs. test ~77-98% - confirmed real overfitting, not just a loss-curve artifact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2. Alpha-weighted loss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Lower focal gamma (1.0) + per-label class weighting, tested on BRSET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Did not help - macro F1 and AUC both slightly worse; reverted, gamma=2.0/no-alpha kept as the loss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3. Regularization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drop_path 0.3 (previously unset), weight_decay 0.1, multi-label mixup, label smoothing - identical on both datasets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mBRSET: improved on every metric for both labels. BRSET: diabetic_retinopathy improved, macular_edema dipped (BRSET had less overfitting to begin with, given 3.3x more training data)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4. Ensembling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Averaged the original + regularized checkpoints' probabilities - no new training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BRSET: resolved the Step 3 tradeoff for free, new best BRSET model. mBRSET: regularized model alone remained best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5. Threshold analysis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F1-optimal (primary) vs. F2 recall-favoring threshold, both tuned on validation only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Recall can reach 0.80-0.94 but costs up to 30 points of precision - kept F1-optimal as the primary operating point; F2 documented as an available alternative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Final Results (Held-Out Test Set, F1-Optimal Thresholds, Bootstrap-Confirmed)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Dataset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Final Model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Label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AUC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F1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Precision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Recall</w:t>
            </w:r>
          </w:p>
        </w:tc>
      </w:tr>
      <w:tr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Ensemble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Diabetic Retinopathy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0.861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0.877</w:t>
            </w:r>
          </w:p>
        </w:tc>
      </w:tr>
      <w:tr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Ensemble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Macular Edema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0.994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0.790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0.810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0.770</w:t>
            </w:r>
          </w:p>
        </w:tc>
      </w:tr>
      <w:tr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Regularized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Diabetic Retinopathy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0.939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0.860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0.774</w:t>
            </w:r>
          </w:p>
        </w:tc>
      </w:tr>
      <w:tr>
        <w:tc>
          <w:tcPr>
            <w:tcW w:type="dxa" w:w="115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Regularized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Macular Edema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0.807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0.902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0.730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All values are means of 2,000 bootstrap resamples of the test set (95% CIs on file); thresholds tuned only on validation data, never on test.</w:t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Comparison with the Original BRSET Paper (Nakayama et al., 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Metric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Paper (Binary DR)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Our Model (BRSET, DR)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AUC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0.97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0.988 (better)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F1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0.89</w:t>
            </w:r>
          </w:p>
        </w:tc>
        <w:tc>
          <w:tcPr>
            <w:tcW w:type="dxa" w:w="4176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0.869 (close, slightly below)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The paper does not report macular_edema or any per-label breakdown, so that result has no external benchmark to compare against.</w:t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Training Behavior and Final Confusion Matrices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73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ve_training_curv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7"/>
        </w:rPr>
        <w:t>Figure 1. Validation macro AUC/F1 by epoch, regularized models (dashed line = best epoch). Both plateau early and remain stable - no late-stage divergence.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68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7"/>
        </w:rPr>
        <w:t>Figure 2. BRSET ensemble (final model) confusion matrices, test 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6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17"/>
        </w:rPr>
        <w:t>Figure 3. mBRSET regularized (final model) confusion matrices, test set.</w:t>
      </w: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Overfitting Gap: Before vs. After Regularization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74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Dataset / Label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Train-Test F1 Gap Before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After</w:t>
            </w:r>
          </w:p>
        </w:tc>
      </w:tr>
      <w:tr>
        <w:tc>
          <w:tcPr>
            <w:tcW w:type="dxa" w:w="374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BRSET, diabetic_retinopathy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13.2 pts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6.4 pts</w:t>
            </w:r>
          </w:p>
        </w:tc>
      </w:tr>
      <w:tr>
        <w:tc>
          <w:tcPr>
            <w:tcW w:type="dxa" w:w="374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BRSET, macular_edema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23.0 pts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20.3 pts</w:t>
            </w:r>
          </w:p>
        </w:tc>
      </w:tr>
      <w:tr>
        <w:tc>
          <w:tcPr>
            <w:tcW w:type="dxa" w:w="374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mBRSET, diabetic_retinopathy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20.5 pts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9.1 pts</w:t>
            </w:r>
          </w:p>
        </w:tc>
      </w:tr>
      <w:tr>
        <w:tc>
          <w:tcPr>
            <w:tcW w:type="dxa" w:w="374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mBRSET, macular_edema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31.1 pts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15.9 pts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Conclusion</w:t>
      </w:r>
    </w:p>
    <w:p>
      <w:pPr>
        <w:spacing w:after="80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Both models are strong, statistically-confirmed baselines: every AUC rates “Excellent” (&gt;0.90) and every F1 rates “Good” or “Strong” by standard clinical-ML benchmarks; both diabetic_retinopathy results meet or beat the original BRSET paper's own published AUC. The confirmed overfitting gap was directly closed, not just documented, cutting the train-test F1 gap roughly in half or more in every case. Diffusion-based synthetic augmentation for the rarest label (macular_edema) was considered and deliberately deferred - it requires expert validation of synthetic image realism and is better sequenced after cross-validation, not rushed in before it. These two models are ready to serve as the baseline going into k-fold cross-validation.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