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14 September 2026 | Current state: Step 4 transform refit and preflight complete</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evidence establishes a strong joint BRSET–mBRSET baseline and closes the balance/exposure investigation. Step 4 tests target-calibrated source-image transformations after a training-only label-composition audit. A novel method has not yet been established. Numerical claims are linked to audited aggregate artifacts, and known limitations are retained rather than removed from later updates.</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 repeated joint-training advantage, and a closed balance/exposure analysis. A paper-level novelty claim remains conditional on the preservation-constrained appearance experiments and closest-method evidence.</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Step 3 complete; natural joint B1 retained for Step 4. No Step-3 test assessment has been performed.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Validation DR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0.9904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0.8768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0.9490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0.8636</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0.8772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0.9551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0.9914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0.8739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0.9559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0.8507</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bl>
    <w:p>
      <w:pPr>
        <w:spacing w:after="20"/>
      </w:pPr>
    </w:p>
    <w:p>
      <w:pPr>
        <w:spacing w:before="0" w:after="80" w:line="240" w:lineRule="auto"/>
        <w:jc w:val="both"/>
      </w:pPr>
      <w:r>
        <w:rPr>
          <w:rFonts w:ascii="Times New Roman" w:hAnsi="Times New Roman" w:eastAsia="Times New Roman"/>
          <w:b w:val="0"/>
          <w:i w:val="0"/>
          <w:color w:val="000000"/>
          <w:sz w:val="20"/>
        </w:rPr>
        <w:t>These are validation-screening values. They must be verified and cannot be reported as test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0.8768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+0.0065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0.8636</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+0.0147</w:t>
            </w:r>
          </w:p>
        </w:tc>
      </w:tr>
      <w:tr>
        <w:tc>
          <w:tcPr>
            <w:tcW w:type="dxa" w:w="144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0.8727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0.8652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-0.0076</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+0.0006</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0.8678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0.8795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+0.0117</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0.8421</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+0.0083</w:t>
            </w:r>
          </w:p>
        </w:tc>
      </w:tr>
    </w:tbl>
    <w:p>
      <w:pPr>
        <w:spacing w:after="20"/>
      </w:pPr>
    </w:p>
    <w:p>
      <w:pPr>
        <w:spacing w:before="0" w:after="80" w:line="240" w:lineRule="auto"/>
        <w:jc w:val="both"/>
      </w:pPr>
      <w:r>
        <w:rPr>
          <w:rFonts w:ascii="Times New Roman" w:hAnsi="Times New Roman" w:eastAsia="Times New Roman"/>
          <w:b w:val="0"/>
          <w:i w:val="0"/>
          <w:color w:val="000000"/>
          <w:sz w:val="20"/>
        </w:rPr>
        <w:t>C1 cross-seed values are validation-only evidence used to choose the Step-4 baseline. They are not an external test result.</w:t>
      </w:r>
    </w:p>
    <w:p>
      <w:pPr>
        <w:spacing w:before="0" w:after="80" w:line="240" w:lineRule="auto"/>
        <w:jc w:val="both"/>
      </w:pPr>
      <w:r>
        <w:rPr>
          <w:rFonts w:ascii="Times New Roman" w:hAnsi="Times New Roman" w:eastAsia="Times New Roman"/>
          <w:b/>
          <w:i w:val="0"/>
          <w:color w:val="000000"/>
          <w:sz w:val="20"/>
        </w:rPr>
        <w:t>Step-3 decision:</w:t>
      </w:r>
      <w:r>
        <w:rPr>
          <w:rFonts w:ascii="Times New Roman" w:hAnsi="Times New Roman" w:eastAsia="Times New Roman"/>
          <w:b w:val="0"/>
          <w:i w:val="0"/>
          <w:color w:val="000000"/>
          <w:sz w:val="20"/>
        </w:rPr>
        <w:t xml:space="preserve"> retain natural B1. Mean C1−B1 validation differences were +0.0035 DR F1 and +0.0079 ME F1. DR changed direction across seeds, while C1 mean AUROC was lower for both labels. All six B1/C1 runs peaked before the final quarter and declined thereafter, so the conditional longer-exposure run is not justified.</w:t>
      </w:r>
    </w:p>
    <w:p>
      <w:pPr>
        <w:spacing w:before="160" w:after="60" w:line="240" w:lineRule="auto"/>
      </w:pPr>
      <w:r>
        <w:rPr>
          <w:rFonts w:ascii="Times New Roman" w:hAnsi="Times New Roman" w:eastAsia="Times New Roman"/>
          <w:b/>
          <w:i w:val="0"/>
          <w:color w:val="000000"/>
          <w:sz w:val="22"/>
        </w:rPr>
        <w:t>VII.  STEP-4 TRAINING-ONLY APPEARANCE AUDIT</w:t>
      </w:r>
    </w:p>
    <w:p>
      <w:pPr>
        <w:spacing w:before="0" w:after="80" w:line="240" w:lineRule="auto"/>
        <w:jc w:val="both"/>
      </w:pPr>
      <w:r>
        <w:rPr>
          <w:rFonts w:ascii="Times New Roman" w:hAnsi="Times New Roman" w:eastAsia="Times New Roman"/>
          <w:b w:val="0"/>
          <w:i w:val="0"/>
          <w:color w:val="000000"/>
          <w:sz w:val="20"/>
        </w:rPr>
        <w:t>Purpose: check whether unequal DR/ME prevalence materially changes the five measured BRSET–mBRSET appearance gaps before refitting the degradation transform.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Statistic</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Raw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Common-composition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Change</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Sharpness</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+2.0943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+2.1209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+0.0266</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Brightness</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-0.3962</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-0.3693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+0.0269</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Contrast</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+1.3073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+1.3436</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+0.0363</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Falloff</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+0.1678</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+0.1701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+0.0022</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Saturation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-0.4149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-0.4587</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-0.0438</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all 14,774 original-training images were measured. Standardizing both domains to the same pooled joint-label composition reversed no direction and changed each gap by less than 0.05 mBRSET standard deviations. Proceed with a global training-only refit; a label-standardized classifier arm is not justified.</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this is descriptive sensitivity analysis. Recorded DR/ME labels do not separate camera effects from population, site, image quality, other disease or unmeasured differences, and global appearance summaries do not establish lesion preservation.</w:t>
      </w:r>
    </w:p>
    <w:p>
      <w:pPr>
        <w:spacing w:before="100" w:after="60" w:line="240" w:lineRule="auto"/>
      </w:pPr>
      <w:r>
        <w:rPr>
          <w:rFonts w:ascii="Times New Roman" w:hAnsi="Times New Roman" w:eastAsia="Times New Roman"/>
          <w:b/>
          <w:i/>
          <w:color w:val="000000"/>
          <w:sz w:val="20"/>
        </w:rPr>
        <w:t>VII-A.  STEP-4 TRANSFORM REFIT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Validation transform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Appearance distance mean</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Range across 3 draws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Unchanged source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6.066–6.066</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Historical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4.211</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4.200–4.229</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Refitted full</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0.902</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0.894–0.914</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Refitted no overlays</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0.942</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0.936–0.948</w:t>
            </w:r>
          </w:p>
        </w:tc>
      </w:tr>
    </w:tbl>
    <w:p>
      <w:pPr>
        <w:spacing w:after="20"/>
      </w:pPr>
    </w:p>
    <w:p>
      <w:pPr>
        <w:spacing w:before="0" w:after="80" w:line="240" w:lineRule="auto"/>
        <w:jc w:val="both"/>
      </w:pPr>
      <w:r>
        <w:rPr>
          <w:rFonts w:ascii="Times New Roman" w:hAnsi="Times New Roman" w:eastAsia="Times New Roman"/>
          <w:b w:val="0"/>
          <w:i w:val="0"/>
          <w:color w:val="000000"/>
          <w:sz w:val="20"/>
        </w:rPr>
        <w:t>The refit used target means/scales from all 3,402 target-training images and two patient-disjoint 96-image source subsets for fitting and validation. These distances measure five global statistics; they do not certify lesions or camera physics.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Parameter</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full</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no overlays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Blur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0.5628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0.4367</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Illumination strength</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0.2936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0.1195</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Spot / hole count; halo</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 / 0; 0.1218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 / 0; 0</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Brightness / contrast / saturation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0.8623 / 1.8712 / 0.6660</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0.7451 / 1.8679 / 0.5687</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Sensor-noise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0.00436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0.00500</w:t>
            </w:r>
          </w:p>
        </w:tc>
      </w:tr>
    </w:tbl>
    <w:p>
      <w:pPr>
        <w:spacing w:after="20"/>
      </w:pPr>
    </w:p>
    <w:p>
      <w:pPr>
        <w:spacing w:before="0" w:after="80" w:line="240" w:lineRule="auto"/>
        <w:jc w:val="both"/>
      </w:pPr>
      <w:r>
        <w:rPr>
          <w:rFonts w:ascii="Times New Roman" w:hAnsi="Times New Roman" w:eastAsia="Times New Roman"/>
          <w:b/>
          <w:i w:val="0"/>
          <w:color w:val="000000"/>
          <w:sz w:val="20"/>
        </w:rPr>
        <w:t>Implementation gate:</w:t>
      </w:r>
      <w:r>
        <w:rPr>
          <w:rFonts w:ascii="Times New Roman" w:hAnsi="Times New Roman" w:eastAsia="Times New Roman"/>
          <w:b w:val="0"/>
          <w:i w:val="0"/>
          <w:color w:val="000000"/>
          <w:sz w:val="20"/>
        </w:rPr>
        <w:t xml:space="preserve"> passed. The target-domain training transform is bitwise identical to B1, fitted parameters are valid, and a private four-row qualitative gallery was generated. The gallery is excluded from this report under the privacy policy.</w:t>
      </w:r>
    </w:p>
    <w:p>
      <w:pPr>
        <w:spacing w:before="160" w:after="60" w:line="240" w:lineRule="auto"/>
      </w:pPr>
      <w:r>
        <w:rPr>
          <w:rFonts w:ascii="Times New Roman" w:hAnsi="Times New Roman" w:eastAsia="Times New Roman"/>
          <w:b/>
          <w:i w:val="0"/>
          <w:color w:val="000000"/>
          <w:sz w:val="22"/>
        </w:rPr>
        <w:t>VIII.  NOVELTY GATE, WORLD MODEL AND PAPER DIRECTION</w:t>
      </w:r>
    </w:p>
    <w:p>
      <w:pPr>
        <w:spacing w:before="0" w:after="80" w:line="240" w:lineRule="auto"/>
        <w:jc w:val="both"/>
      </w:pPr>
      <w:r>
        <w:rPr>
          <w:rFonts w:ascii="Times New Roman" w:hAnsi="Times New Roman" w:eastAsia="Times New Roman"/>
          <w:b w:val="0"/>
          <w:i w:val="0"/>
          <w:color w:val="000000"/>
          <w:sz w:val="20"/>
        </w:rPr>
        <w:t>Candidate method: a lightweight target-appearance augmentation fitted on training data, combined with an explicit diagnostic-damage or lesion-preservation constraint. Appearance matching alone is insufficient because transformations can improve global statistics while obscuring lesions.</w:t>
      </w:r>
    </w:p>
    <w:p>
      <w:pPr>
        <w:spacing w:before="0" w:after="80" w:line="240" w:lineRule="auto"/>
        <w:jc w:val="both"/>
      </w:pPr>
      <w:r>
        <w:rPr>
          <w:rFonts w:ascii="Times New Roman" w:hAnsi="Times New Roman" w:eastAsia="Times New Roman"/>
          <w:b w:val="0"/>
          <w:i w:val="0"/>
          <w:color w:val="000000"/>
          <w:sz w:val="20"/>
        </w:rPr>
        <w:t>The novelty claim becomes supportable only if the method is distinct from the closest augmentation, consistency, synthesis and structural-preservation methods; improves over the strongest fair baseline across seeds; survives an ablation that isolates the preservation constraint; and passes a qualified preservation review or a validated lesion-sensitive proxy.</w:t>
      </w:r>
    </w:p>
    <w:p>
      <w:pPr>
        <w:spacing w:before="0" w:after="80" w:line="240" w:lineRule="auto"/>
        <w:jc w:val="both"/>
      </w:pPr>
      <w:r>
        <w:rPr>
          <w:rFonts w:ascii="Times New Roman" w:hAnsi="Times New Roman" w:eastAsia="Times New Roman"/>
          <w:b w:val="0"/>
          <w:i w:val="0"/>
          <w:color w:val="000000"/>
          <w:sz w:val="20"/>
        </w:rPr>
        <w:t>Falsification rule: if balance controls explain the apparent gain, or fitted degradation fails to improve validation performance consistently, the mechanism will not be presented as an effective method. The paper direction must then shift to the strongest supported diagnostic finding rather than inventing a positive result.</w:t>
      </w:r>
    </w:p>
    <w:p>
      <w:pPr>
        <w:spacing w:before="0" w:after="80" w:line="240" w:lineRule="auto"/>
        <w:jc w:val="both"/>
      </w:pPr>
      <w:r>
        <w:rPr>
          <w:rFonts w:ascii="Times New Roman" w:hAnsi="Times New Roman" w:eastAsia="Times New Roman"/>
          <w:b/>
          <w:i w:val="0"/>
          <w:color w:val="000000"/>
          <w:sz w:val="20"/>
        </w:rPr>
        <w:t>World-model decision:</w:t>
      </w:r>
      <w:r>
        <w:rPr>
          <w:rFonts w:ascii="Times New Roman" w:hAnsi="Times New Roman" w:eastAsia="Times New Roman"/>
          <w:b w:val="0"/>
          <w:i w:val="0"/>
          <w:color w:val="000000"/>
          <w:sz w:val="20"/>
        </w:rPr>
        <w:t xml:space="preserve"> CheXWorld (CVPR 2025) is the most plausible reference behind the meeting discussion. It predicts target latent features from transformed context features conditioned on known blur/color parameters. Its official example uses ViT-Base for 300 epochs on eight RTX 4090 GPUs. A smaller fundus latent-transition objective is a conditional Step-5 candidate; full CheXWorld or GenDeg training is not justified before Step 4 validates the acquisition-variation premise.</w:t>
      </w:r>
    </w:p>
    <w:p>
      <w:pPr>
        <w:spacing w:before="0" w:after="80" w:line="240" w:lineRule="auto"/>
        <w:jc w:val="both"/>
      </w:pPr>
      <w:r>
        <w:rPr>
          <w:rFonts w:ascii="Times New Roman" w:hAnsi="Times New Roman" w:eastAsia="Times New Roman"/>
          <w:b/>
          <w:i w:val="0"/>
          <w:color w:val="000000"/>
          <w:sz w:val="20"/>
        </w:rPr>
        <w:t>Advisor coverage:</w:t>
      </w:r>
      <w:r>
        <w:rPr>
          <w:rFonts w:ascii="Times New Roman" w:hAnsi="Times New Roman" w:eastAsia="Times New Roman"/>
          <w:b w:val="0"/>
          <w:i w:val="0"/>
          <w:color w:val="000000"/>
          <w:sz w:val="20"/>
        </w:rPr>
        <w:t xml:space="preserve"> same-configuration comparisons, class prevalence, sampling controls and qualitative degradation examples are addressed. Diagnostic-preservation validation, the classifier effect of fitted degradation and a fair longer-budget routing revisit remain open. The transcript also contains a user-owned request to disclose this external collaboration to the new employer; completion has not been documented.</w:t>
      </w:r>
    </w:p>
    <w:p>
      <w:pPr>
        <w:spacing w:before="160" w:after="60" w:line="240" w:lineRule="auto"/>
      </w:pPr>
      <w:r>
        <w:rPr>
          <w:rFonts w:ascii="Times New Roman" w:hAnsi="Times New Roman" w:eastAsia="Times New Roman"/>
          <w:b/>
          <w:i w:val="0"/>
          <w:color w:val="000000"/>
          <w:sz w:val="22"/>
        </w:rPr>
        <w:t>IX.  NEXT ACTIONS</w:t>
      </w:r>
    </w:p>
    <w:p>
      <w:pPr>
        <w:spacing w:before="0" w:after="40" w:line="240" w:lineRule="auto"/>
        <w:ind w:left="288" w:hanging="216"/>
      </w:pPr>
      <w:r>
        <w:rPr>
          <w:rFonts w:ascii="Times New Roman" w:hAnsi="Times New Roman" w:eastAsia="Times New Roman"/>
          <w:b w:val="0"/>
          <w:i w:val="0"/>
          <w:color w:val="000000"/>
          <w:sz w:val="20"/>
        </w:rPr>
        <w:t>•  Freeze Step-4 operators, probabilities, parameter ranges, FIT-only estimation data, compute budget and falsification rule.</w:t>
      </w:r>
    </w:p>
    <w:p>
      <w:pPr>
        <w:spacing w:before="0" w:after="40" w:line="240" w:lineRule="auto"/>
        <w:ind w:left="288" w:hanging="216"/>
      </w:pPr>
      <w:r>
        <w:rPr>
          <w:rFonts w:ascii="Times New Roman" w:hAnsi="Times New Roman" w:eastAsia="Times New Roman"/>
          <w:b w:val="0"/>
          <w:i w:val="0"/>
          <w:color w:val="000000"/>
          <w:sz w:val="20"/>
        </w:rPr>
        <w:t>•  Compare ordinary B1 augmentation, an independently implemented release-range FundusAug artifact component and FIT-only fitted degradation on validation.</w:t>
      </w:r>
    </w:p>
    <w:p>
      <w:pPr>
        <w:spacing w:before="0" w:after="40" w:line="240" w:lineRule="auto"/>
        <w:ind w:left="288" w:hanging="216"/>
      </w:pPr>
      <w:r>
        <w:rPr>
          <w:rFonts w:ascii="Times New Roman" w:hAnsi="Times New Roman" w:eastAsia="Times New Roman"/>
          <w:b w:val="0"/>
          <w:i w:val="0"/>
          <w:color w:val="000000"/>
          <w:sz w:val="20"/>
        </w:rPr>
        <w:t>•  Measure diagnostic preservation; add the preservation constraint only if the fitted transform first shows a promising classifier effect.</w:t>
      </w:r>
    </w:p>
    <w:p>
      <w:pPr>
        <w:spacing w:before="0" w:after="40" w:line="240" w:lineRule="auto"/>
        <w:ind w:left="288" w:hanging="216"/>
      </w:pPr>
      <w:r>
        <w:rPr>
          <w:rFonts w:ascii="Times New Roman" w:hAnsi="Times New Roman" w:eastAsia="Times New Roman"/>
          <w:b w:val="0"/>
          <w:i w:val="0"/>
          <w:color w:val="000000"/>
          <w:sz w:val="20"/>
        </w:rPr>
        <w:t>•  Replicate only a promising Step-4 arm and complete the closest-method novelty comparison before writing a contribution claim.</w:t>
      </w:r>
    </w:p>
    <w:p>
      <w:pPr>
        <w:spacing w:before="0" w:after="40" w:line="240" w:lineRule="auto"/>
        <w:ind w:left="288" w:hanging="216"/>
      </w:pPr>
      <w:r>
        <w:rPr>
          <w:rFonts w:ascii="Times New Roman" w:hAnsi="Times New Roman" w:eastAsia="Times New Roman"/>
          <w:b w:val="0"/>
          <w:i w:val="0"/>
          <w:color w:val="000000"/>
          <w:sz w:val="20"/>
        </w:rPr>
        <w:t>•  Ask Dong to confirm the exact world-model paper title and venue when he responds; this does not block the controlled Step-4 experiment.</w:t>
      </w:r>
    </w:p>
    <w:p>
      <w:pPr>
        <w:spacing w:before="160" w:after="60" w:line="240" w:lineRule="auto"/>
      </w:pPr>
      <w:r>
        <w:rPr>
          <w:rFonts w:ascii="Times New Roman" w:hAnsi="Times New Roman" w:eastAsia="Times New Roman"/>
          <w:b/>
          <w:i w:val="0"/>
          <w:color w:val="000000"/>
          <w:sz w:val="22"/>
        </w:rPr>
        <w:t>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13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Step-3 controls, C1 replication and curve decision complete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c1_validation_three_seeds.json; final_curve_review.json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training-only label-composition audit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appearance_label_audit.json; APPEARANCE_LABEL_AUDIT_REVIEW.md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Meeting/world-model direction audited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DONG_TRANSCRIPT_AUDIT_2026-09.md; STEP4_WORLD_MODEL_DIRECTION_REVIEW.md</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