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Times New Roman" w:hAnsi="Times New Roman"/>
          <w:b/>
          <w:i w:val="0"/>
          <w:color w:val="000000"/>
          <w:sz w:val="28"/>
        </w:rPr>
        <w:t>Improving BRSET to mBRSET Transfer: Literature Review and Proposed Direction</w:t>
      </w:r>
    </w:p>
    <w:p>
      <w:pPr>
        <w:spacing w:after="180" w:before="0"/>
      </w:pPr>
      <w:r>
        <w:rPr>
          <w:rFonts w:ascii="Times New Roman" w:hAnsi="Times New Roman"/>
          <w:b w:val="0"/>
          <w:i w:val="0"/>
          <w:color w:val="000000"/>
          <w:sz w:val="19"/>
        </w:rPr>
        <w:t>Sahith Reddy Thummala.  Prepared for Prof. Dong Hye Ye.  21 August 2026.</w:t>
      </w:r>
    </w:p>
    <w:p>
      <w:pPr>
        <w:spacing w:after="60" w:before="0"/>
      </w:pPr>
      <w:r>
        <w:rPr>
          <w:rFonts w:ascii="Times New Roman" w:hAnsi="Times New Roman"/>
          <w:b/>
          <w:i w:val="0"/>
          <w:color w:val="000000"/>
          <w:sz w:val="23"/>
        </w:rPr>
        <w:t>1. The problem</w:t>
      </w:r>
    </w:p>
    <w:p>
      <w:pPr>
        <w:spacing w:after="100" w:before="0"/>
      </w:pPr>
      <w:r>
        <w:rPr>
          <w:rFonts w:ascii="Times New Roman" w:hAnsi="Times New Roman"/>
          <w:b w:val="0"/>
          <w:i w:val="0"/>
          <w:color w:val="000000"/>
          <w:sz w:val="21"/>
        </w:rPr>
        <w:t>The ConvNeXt V2 baseline reaches AUC 0.9906 and class-macro F1 0.9374 on BRSET, which is tabletop-camera data from a hospital eye clinic. Applied unchanged to mBRSET, handheld phone-camera data from a community diabetes screening campaign, it misses 50 of 159 diseased patients instead of 10 of 162. No mBRSET image is used in training.</w:t>
      </w:r>
    </w:p>
    <w:tbl>
      <w:tblPr>
        <w:tblStyle w:val="TableGrid"/>
        <w:tblW w:type="auto" w:w="0"/>
        <w:jc w:val="center"/>
        <w:tblLook w:firstColumn="1" w:firstRow="1" w:lastColumn="0" w:lastRow="0" w:noHBand="0" w:noVBand="1" w:val="04A0"/>
      </w:tblPr>
      <w:tblGrid>
        <w:gridCol w:w="3312"/>
        <w:gridCol w:w="3312"/>
        <w:gridCol w:w="3312"/>
      </w:tblGrid>
      <w:tr>
        <w:tc>
          <w:tcPr>
            <w:tcW w:type="dxa" w:w="3456"/>
          </w:tcPr>
          <w:p>
            <w:pPr>
              <w:spacing w:before="30" w:after="30"/>
            </w:pPr>
            <w:r/>
            <w:r>
              <w:rPr>
                <w:rFonts w:ascii="Times New Roman" w:hAnsi="Times New Roman"/>
                <w:b/>
                <w:i w:val="0"/>
                <w:color w:val="000000"/>
                <w:sz w:val="19"/>
              </w:rPr>
              <w:t>Diabetic retinopathy</w:t>
            </w:r>
          </w:p>
        </w:tc>
        <w:tc>
          <w:tcPr>
            <w:tcW w:type="dxa" w:w="3312"/>
          </w:tcPr>
          <w:p>
            <w:pPr>
              <w:spacing w:before="30" w:after="30"/>
            </w:pPr>
            <w:r/>
            <w:r>
              <w:rPr>
                <w:rFonts w:ascii="Times New Roman" w:hAnsi="Times New Roman"/>
                <w:b/>
                <w:i w:val="0"/>
                <w:color w:val="000000"/>
                <w:sz w:val="19"/>
              </w:rPr>
              <w:t>On BRSET</w:t>
            </w:r>
          </w:p>
        </w:tc>
        <w:tc>
          <w:tcPr>
            <w:tcW w:type="dxa" w:w="3312"/>
          </w:tcPr>
          <w:p>
            <w:pPr>
              <w:spacing w:before="30" w:after="30"/>
            </w:pPr>
            <w:r/>
            <w:r>
              <w:rPr>
                <w:rFonts w:ascii="Times New Roman" w:hAnsi="Times New Roman"/>
                <w:b/>
                <w:i w:val="0"/>
                <w:color w:val="000000"/>
                <w:sz w:val="19"/>
              </w:rPr>
              <w:t>On mBRSET</w:t>
            </w:r>
          </w:p>
        </w:tc>
      </w:tr>
      <w:tr>
        <w:tc>
          <w:tcPr>
            <w:tcW w:type="dxa" w:w="3456"/>
          </w:tcPr>
          <w:p>
            <w:pPr>
              <w:spacing w:before="30" w:after="30"/>
            </w:pPr>
            <w:r/>
            <w:r>
              <w:rPr>
                <w:rFonts w:ascii="Times New Roman" w:hAnsi="Times New Roman"/>
                <w:b w:val="0"/>
                <w:i w:val="0"/>
                <w:color w:val="000000"/>
                <w:sz w:val="19"/>
              </w:rPr>
              <w:t>AUC (ranking ability)</w:t>
            </w:r>
          </w:p>
        </w:tc>
        <w:tc>
          <w:tcPr>
            <w:tcW w:type="dxa" w:w="3312"/>
          </w:tcPr>
          <w:p>
            <w:pPr>
              <w:spacing w:before="30" w:after="30"/>
              <w:jc w:val="center"/>
            </w:pPr>
            <w:r/>
            <w:r>
              <w:rPr>
                <w:rFonts w:ascii="Times New Roman" w:hAnsi="Times New Roman"/>
                <w:b w:val="0"/>
                <w:i w:val="0"/>
                <w:color w:val="000000"/>
                <w:sz w:val="19"/>
              </w:rPr>
              <w:t>0.9906</w:t>
            </w:r>
          </w:p>
        </w:tc>
        <w:tc>
          <w:tcPr>
            <w:tcW w:type="dxa" w:w="3312"/>
          </w:tcPr>
          <w:p>
            <w:pPr>
              <w:spacing w:before="30" w:after="30"/>
              <w:jc w:val="center"/>
            </w:pPr>
            <w:r/>
            <w:r>
              <w:rPr>
                <w:rFonts w:ascii="Times New Roman" w:hAnsi="Times New Roman"/>
                <w:b w:val="0"/>
                <w:i w:val="0"/>
                <w:color w:val="000000"/>
                <w:sz w:val="19"/>
              </w:rPr>
              <w:t>0.9060</w:t>
            </w:r>
          </w:p>
        </w:tc>
      </w:tr>
      <w:tr>
        <w:tc>
          <w:tcPr>
            <w:tcW w:type="dxa" w:w="3456"/>
          </w:tcPr>
          <w:p>
            <w:pPr>
              <w:spacing w:before="30" w:after="30"/>
            </w:pPr>
            <w:r/>
            <w:r>
              <w:rPr>
                <w:rFonts w:ascii="Times New Roman" w:hAnsi="Times New Roman"/>
                <w:b w:val="0"/>
                <w:i w:val="0"/>
                <w:color w:val="000000"/>
                <w:sz w:val="19"/>
              </w:rPr>
              <w:t>F1, class-macro</w:t>
            </w:r>
          </w:p>
        </w:tc>
        <w:tc>
          <w:tcPr>
            <w:tcW w:type="dxa" w:w="3312"/>
          </w:tcPr>
          <w:p>
            <w:pPr>
              <w:spacing w:before="30" w:after="30"/>
              <w:jc w:val="center"/>
            </w:pPr>
            <w:r/>
            <w:r>
              <w:rPr>
                <w:rFonts w:ascii="Times New Roman" w:hAnsi="Times New Roman"/>
                <w:b w:val="0"/>
                <w:i w:val="0"/>
                <w:color w:val="000000"/>
                <w:sz w:val="19"/>
              </w:rPr>
              <w:t>0.9374</w:t>
            </w:r>
          </w:p>
        </w:tc>
        <w:tc>
          <w:tcPr>
            <w:tcW w:type="dxa" w:w="3312"/>
          </w:tcPr>
          <w:p>
            <w:pPr>
              <w:spacing w:before="30" w:after="30"/>
              <w:jc w:val="center"/>
            </w:pPr>
            <w:r/>
            <w:r>
              <w:rPr>
                <w:rFonts w:ascii="Times New Roman" w:hAnsi="Times New Roman"/>
                <w:b w:val="0"/>
                <w:i w:val="0"/>
                <w:color w:val="000000"/>
                <w:sz w:val="19"/>
              </w:rPr>
              <w:t>0.8668</w:t>
            </w:r>
          </w:p>
        </w:tc>
      </w:tr>
      <w:tr>
        <w:tc>
          <w:tcPr>
            <w:tcW w:type="dxa" w:w="3456"/>
          </w:tcPr>
          <w:p>
            <w:pPr>
              <w:spacing w:before="30" w:after="30"/>
            </w:pPr>
            <w:r/>
            <w:r>
              <w:rPr>
                <w:rFonts w:ascii="Times New Roman" w:hAnsi="Times New Roman"/>
                <w:b w:val="0"/>
                <w:i w:val="0"/>
                <w:color w:val="000000"/>
                <w:sz w:val="19"/>
              </w:rPr>
              <w:t>Recall, diseased class</w:t>
            </w:r>
          </w:p>
        </w:tc>
        <w:tc>
          <w:tcPr>
            <w:tcW w:type="dxa" w:w="3312"/>
          </w:tcPr>
          <w:p>
            <w:pPr>
              <w:spacing w:before="30" w:after="30"/>
              <w:jc w:val="center"/>
            </w:pPr>
            <w:r/>
            <w:r>
              <w:rPr>
                <w:rFonts w:ascii="Times New Roman" w:hAnsi="Times New Roman"/>
                <w:b w:val="0"/>
                <w:i w:val="0"/>
                <w:color w:val="000000"/>
                <w:sz w:val="19"/>
              </w:rPr>
              <w:t>0.9383</w:t>
            </w:r>
          </w:p>
        </w:tc>
        <w:tc>
          <w:tcPr>
            <w:tcW w:type="dxa" w:w="3312"/>
          </w:tcPr>
          <w:p>
            <w:pPr>
              <w:spacing w:before="30" w:after="30"/>
              <w:jc w:val="center"/>
            </w:pPr>
            <w:r/>
            <w:r>
              <w:rPr>
                <w:rFonts w:ascii="Times New Roman" w:hAnsi="Times New Roman"/>
                <w:b w:val="0"/>
                <w:i w:val="0"/>
                <w:color w:val="000000"/>
                <w:sz w:val="19"/>
              </w:rPr>
              <w:t>0.6855</w:t>
            </w:r>
          </w:p>
        </w:tc>
      </w:tr>
      <w:tr>
        <w:tc>
          <w:tcPr>
            <w:tcW w:type="dxa" w:w="3456"/>
          </w:tcPr>
          <w:p>
            <w:pPr>
              <w:spacing w:before="30" w:after="30"/>
            </w:pPr>
            <w:r/>
            <w:r>
              <w:rPr>
                <w:rFonts w:ascii="Times New Roman" w:hAnsi="Times New Roman"/>
                <w:b w:val="0"/>
                <w:i w:val="0"/>
                <w:color w:val="000000"/>
                <w:sz w:val="19"/>
              </w:rPr>
              <w:t>Diseased cases missed</w:t>
            </w:r>
          </w:p>
        </w:tc>
        <w:tc>
          <w:tcPr>
            <w:tcW w:type="dxa" w:w="3312"/>
          </w:tcPr>
          <w:p>
            <w:pPr>
              <w:spacing w:before="30" w:after="30"/>
              <w:jc w:val="center"/>
            </w:pPr>
            <w:r/>
            <w:r>
              <w:rPr>
                <w:rFonts w:ascii="Times New Roman" w:hAnsi="Times New Roman"/>
                <w:b w:val="0"/>
                <w:i w:val="0"/>
                <w:color w:val="000000"/>
                <w:sz w:val="19"/>
              </w:rPr>
              <w:t>10 of 162</w:t>
            </w:r>
          </w:p>
        </w:tc>
        <w:tc>
          <w:tcPr>
            <w:tcW w:type="dxa" w:w="3312"/>
          </w:tcPr>
          <w:p>
            <w:pPr>
              <w:spacing w:before="30" w:after="30"/>
              <w:jc w:val="center"/>
            </w:pPr>
            <w:r/>
            <w:r>
              <w:rPr>
                <w:rFonts w:ascii="Times New Roman" w:hAnsi="Times New Roman"/>
                <w:b w:val="0"/>
                <w:i w:val="0"/>
                <w:color w:val="000000"/>
                <w:sz w:val="19"/>
              </w:rPr>
              <w:t>50 of 159</w:t>
            </w:r>
          </w:p>
        </w:tc>
      </w:tr>
    </w:tbl>
    <w:p>
      <w:pPr>
        <w:spacing w:after="20"/>
      </w:pPr>
    </w:p>
    <w:p>
      <w:pPr>
        <w:spacing w:after="100" w:before="0"/>
      </w:pPr>
      <w:r>
        <w:rPr>
          <w:rFonts w:ascii="Times New Roman" w:hAnsi="Times New Roman"/>
          <w:b w:val="0"/>
          <w:i w:val="0"/>
          <w:color w:val="000000"/>
          <w:sz w:val="21"/>
        </w:rPr>
        <w:t>Ranking barely suffers; the decision collapses. Two things change at once. The camera degrades, with 83 percent of mBRSET images carrying an artifact, and the population changes, from 6.6 percent with DR to 23.3 percent. Most published cross-device work changes only one of these.</w:t>
      </w:r>
    </w:p>
    <w:p>
      <w:pPr>
        <w:spacing w:after="60" w:before="180"/>
      </w:pPr>
      <w:r>
        <w:rPr>
          <w:rFonts w:ascii="Times New Roman" w:hAnsi="Times New Roman"/>
          <w:b/>
          <w:i w:val="0"/>
          <w:color w:val="000000"/>
          <w:sz w:val="23"/>
        </w:rPr>
        <w:t>2. Where the gap lives, measured rather than assumed</w:t>
      </w:r>
    </w:p>
    <w:tbl>
      <w:tblPr>
        <w:tblStyle w:val="TableGrid"/>
        <w:tblW w:type="auto" w:w="0"/>
        <w:jc w:val="center"/>
        <w:tblLook w:firstColumn="1" w:firstRow="1" w:lastColumn="0" w:lastRow="0" w:noHBand="0" w:noVBand="1" w:val="04A0"/>
      </w:tblPr>
      <w:tblGrid>
        <w:gridCol w:w="4968"/>
        <w:gridCol w:w="4968"/>
      </w:tblGrid>
      <w:tr>
        <w:tc>
          <w:tcPr>
            <w:tcW w:type="dxa" w:w="6768"/>
          </w:tcPr>
          <w:p>
            <w:pPr>
              <w:spacing w:before="30" w:after="30"/>
            </w:pPr>
            <w:r/>
            <w:r>
              <w:rPr>
                <w:rFonts w:ascii="Times New Roman" w:hAnsi="Times New Roman"/>
                <w:b/>
                <w:i w:val="0"/>
                <w:color w:val="000000"/>
                <w:sz w:val="19"/>
              </w:rPr>
              <w:t>Diabetic retinopathy, diseased-class F1 on mBRSET</w:t>
            </w:r>
          </w:p>
        </w:tc>
        <w:tc>
          <w:tcPr>
            <w:tcW w:type="dxa" w:w="3312"/>
          </w:tcPr>
          <w:p>
            <w:pPr>
              <w:spacing w:before="30" w:after="30"/>
            </w:pPr>
            <w:r/>
            <w:r>
              <w:rPr>
                <w:rFonts w:ascii="Times New Roman" w:hAnsi="Times New Roman"/>
                <w:b/>
                <w:i w:val="0"/>
                <w:color w:val="000000"/>
                <w:sz w:val="19"/>
              </w:rPr>
              <w:t>F1</w:t>
            </w:r>
          </w:p>
        </w:tc>
      </w:tr>
      <w:tr>
        <w:tc>
          <w:tcPr>
            <w:tcW w:type="dxa" w:w="6768"/>
          </w:tcPr>
          <w:p>
            <w:pPr>
              <w:spacing w:before="30" w:after="30"/>
            </w:pPr>
            <w:r/>
            <w:r>
              <w:rPr>
                <w:rFonts w:ascii="Times New Roman" w:hAnsi="Times New Roman"/>
                <w:b w:val="0"/>
                <w:i w:val="0"/>
                <w:color w:val="000000"/>
                <w:sz w:val="19"/>
              </w:rPr>
              <w:t>Transferred as is</w:t>
            </w:r>
          </w:p>
        </w:tc>
        <w:tc>
          <w:tcPr>
            <w:tcW w:type="dxa" w:w="3312"/>
          </w:tcPr>
          <w:p>
            <w:pPr>
              <w:spacing w:before="30" w:after="30"/>
              <w:jc w:val="center"/>
            </w:pPr>
            <w:r/>
            <w:r>
              <w:rPr>
                <w:rFonts w:ascii="Times New Roman" w:hAnsi="Times New Roman"/>
                <w:b w:val="0"/>
                <w:i w:val="0"/>
                <w:color w:val="000000"/>
                <w:sz w:val="19"/>
              </w:rPr>
              <w:t>0.7842</w:t>
            </w:r>
          </w:p>
        </w:tc>
      </w:tr>
      <w:tr>
        <w:tc>
          <w:tcPr>
            <w:tcW w:type="dxa" w:w="6768"/>
          </w:tcPr>
          <w:p>
            <w:pPr>
              <w:spacing w:before="30" w:after="30"/>
            </w:pPr>
            <w:r/>
            <w:r>
              <w:rPr>
                <w:rFonts w:ascii="Times New Roman" w:hAnsi="Times New Roman"/>
                <w:b w:val="0"/>
                <w:i w:val="0"/>
                <w:color w:val="000000"/>
                <w:sz w:val="19"/>
              </w:rPr>
              <w:t>Best reachable at any decision threshold</w:t>
            </w:r>
          </w:p>
        </w:tc>
        <w:tc>
          <w:tcPr>
            <w:tcW w:type="dxa" w:w="3312"/>
          </w:tcPr>
          <w:p>
            <w:pPr>
              <w:spacing w:before="30" w:after="30"/>
              <w:jc w:val="center"/>
            </w:pPr>
            <w:r/>
            <w:r>
              <w:rPr>
                <w:rFonts w:ascii="Times New Roman" w:hAnsi="Times New Roman"/>
                <w:b w:val="0"/>
                <w:i w:val="0"/>
                <w:color w:val="000000"/>
                <w:sz w:val="19"/>
              </w:rPr>
              <w:t>0.7927</w:t>
            </w:r>
          </w:p>
        </w:tc>
      </w:tr>
      <w:tr>
        <w:tc>
          <w:tcPr>
            <w:tcW w:type="dxa" w:w="6768"/>
          </w:tcPr>
          <w:p>
            <w:pPr>
              <w:spacing w:before="30" w:after="30"/>
            </w:pPr>
            <w:r/>
            <w:r>
              <w:rPr>
                <w:rFonts w:ascii="Times New Roman" w:hAnsi="Times New Roman"/>
                <w:b w:val="0"/>
                <w:i w:val="0"/>
                <w:color w:val="000000"/>
                <w:sz w:val="19"/>
              </w:rPr>
              <w:t>Fine-tuned on labelled mBRSET</w:t>
            </w:r>
          </w:p>
        </w:tc>
        <w:tc>
          <w:tcPr>
            <w:tcW w:type="dxa" w:w="3312"/>
          </w:tcPr>
          <w:p>
            <w:pPr>
              <w:spacing w:before="30" w:after="30"/>
              <w:jc w:val="center"/>
            </w:pPr>
            <w:r/>
            <w:r>
              <w:rPr>
                <w:rFonts w:ascii="Times New Roman" w:hAnsi="Times New Roman"/>
                <w:b w:val="0"/>
                <w:i w:val="0"/>
                <w:color w:val="000000"/>
                <w:sz w:val="19"/>
              </w:rPr>
              <w:t>0.8317</w:t>
            </w:r>
          </w:p>
        </w:tc>
      </w:tr>
    </w:tbl>
    <w:p>
      <w:pPr>
        <w:spacing w:after="20"/>
      </w:pPr>
    </w:p>
    <w:p>
      <w:pPr>
        <w:spacing w:after="100" w:before="0"/>
      </w:pPr>
      <w:r>
        <w:rPr>
          <w:rFonts w:ascii="Times New Roman" w:hAnsi="Times New Roman"/>
          <w:b w:val="0"/>
          <w:i w:val="0"/>
          <w:color w:val="000000"/>
          <w:sz w:val="21"/>
        </w:rPr>
        <w:t>Sweeping every threshold from 0.005 to 0.995 shows the best any threshold can reach is 0.7927. Calibration, temperature scaling and label-shift correction only rescale scores, so each selects a point on that same curve and none can exceed it. That family is ruled out by measurement rather than by trial. Of the remaining gap, 18 percent is the decision threshold and 82 percent is the representation.</w:t>
      </w:r>
    </w:p>
    <w:p>
      <w:pPr>
        <w:spacing w:after="100" w:before="0"/>
      </w:pPr>
      <w:r>
        <w:rPr>
          <w:rFonts w:ascii="Times New Roman" w:hAnsi="Times New Roman"/>
          <w:b w:val="0"/>
          <w:i w:val="0"/>
          <w:color w:val="000000"/>
          <w:sz w:val="21"/>
        </w:rPr>
        <w:t>The shift is not only a change in prevalence. ROC is invariant to class balance [11], so if only the disease rate had moved, AUC would have held. It fell from 0.9906 to 0.9060, which means the images themselves differ.</w:t>
      </w:r>
    </w:p>
    <w:p>
      <w:pPr>
        <w:spacing w:after="60" w:before="180"/>
      </w:pPr>
      <w:r>
        <w:rPr>
          <w:rFonts w:ascii="Times New Roman" w:hAnsi="Times New Roman"/>
          <w:b/>
          <w:i w:val="0"/>
          <w:color w:val="000000"/>
          <w:sz w:val="23"/>
        </w:rPr>
        <w:t>3. What the review decides</w:t>
      </w:r>
    </w:p>
    <w:p>
      <w:pPr>
        <w:spacing w:after="100" w:before="0"/>
      </w:pPr>
      <w:r>
        <w:rPr>
          <w:rFonts w:ascii="Times New Roman" w:hAnsi="Times New Roman"/>
          <w:b w:val="0"/>
          <w:i w:val="0"/>
          <w:color w:val="000000"/>
          <w:sz w:val="19"/>
        </w:rPr>
        <w:t>Peer-reviewed versions only, never preprints. Citation counts retrieved from the Semantic Scholar API by DOI on 21 August 2026; four counts could not be retrieved because of rate limiting and are marked so rather than estimated. Six themes were searched independently.</w:t>
      </w:r>
    </w:p>
    <w:tbl>
      <w:tblPr>
        <w:tblStyle w:val="TableGrid"/>
        <w:tblW w:type="auto" w:w="0"/>
        <w:jc w:val="center"/>
        <w:tblLook w:firstColumn="1" w:firstRow="1" w:lastColumn="0" w:lastRow="0" w:noHBand="0" w:noVBand="1" w:val="04A0"/>
      </w:tblPr>
      <w:tblGrid>
        <w:gridCol w:w="3312"/>
        <w:gridCol w:w="3312"/>
        <w:gridCol w:w="3312"/>
      </w:tblGrid>
      <w:tr>
        <w:tc>
          <w:tcPr>
            <w:tcW w:type="dxa" w:w="2160"/>
          </w:tcPr>
          <w:p>
            <w:pPr>
              <w:spacing w:before="30" w:after="30"/>
            </w:pPr>
            <w:r/>
            <w:r>
              <w:rPr>
                <w:rFonts w:ascii="Times New Roman" w:hAnsi="Times New Roman"/>
                <w:b/>
                <w:i w:val="0"/>
                <w:color w:val="000000"/>
                <w:sz w:val="19"/>
              </w:rPr>
              <w:t>Approach</w:t>
            </w:r>
          </w:p>
        </w:tc>
        <w:tc>
          <w:tcPr>
            <w:tcW w:type="dxa" w:w="3744"/>
          </w:tcPr>
          <w:p>
            <w:pPr>
              <w:spacing w:before="30" w:after="30"/>
            </w:pPr>
            <w:r/>
            <w:r>
              <w:rPr>
                <w:rFonts w:ascii="Times New Roman" w:hAnsi="Times New Roman"/>
                <w:b/>
                <w:i w:val="0"/>
                <w:color w:val="000000"/>
                <w:sz w:val="19"/>
              </w:rPr>
              <w:t>Evidence</w:t>
            </w:r>
          </w:p>
        </w:tc>
        <w:tc>
          <w:tcPr>
            <w:tcW w:type="dxa" w:w="4176"/>
          </w:tcPr>
          <w:p>
            <w:pPr>
              <w:spacing w:before="30" w:after="30"/>
            </w:pPr>
            <w:r/>
            <w:r>
              <w:rPr>
                <w:rFonts w:ascii="Times New Roman" w:hAnsi="Times New Roman"/>
                <w:b/>
                <w:i w:val="0"/>
                <w:color w:val="000000"/>
                <w:sz w:val="19"/>
              </w:rPr>
              <w:t>Verdict for this project</w:t>
            </w:r>
          </w:p>
        </w:tc>
      </w:tr>
      <w:tr>
        <w:tc>
          <w:tcPr>
            <w:tcW w:type="dxa" w:w="2160"/>
          </w:tcPr>
          <w:p>
            <w:pPr>
              <w:spacing w:before="30" w:after="30"/>
            </w:pPr>
            <w:r/>
            <w:r>
              <w:rPr>
                <w:rFonts w:ascii="Times New Roman" w:hAnsi="Times New Roman"/>
                <w:b w:val="0"/>
                <w:i w:val="0"/>
                <w:color w:val="000000"/>
                <w:sz w:val="19"/>
              </w:rPr>
              <w:t>Degradation and appearance</w:t>
              <w:br/>
              <w:t>augmentation</w:t>
            </w:r>
          </w:p>
        </w:tc>
        <w:tc>
          <w:tcPr>
            <w:tcW w:type="dxa" w:w="3744"/>
          </w:tcPr>
          <w:p>
            <w:pPr>
              <w:spacing w:before="30" w:after="30"/>
              <w:jc w:val="left"/>
            </w:pPr>
            <w:r/>
            <w:r>
              <w:rPr>
                <w:rFonts w:ascii="Times New Roman" w:hAnsi="Times New Roman"/>
                <w:b w:val="0"/>
                <w:i w:val="0"/>
                <w:color w:val="000000"/>
                <w:sz w:val="19"/>
              </w:rPr>
              <w:t>Tellez, Med. Image Anal. 2019, 665 cites [1];</w:t>
              <w:br/>
              <w:t>Che, MICCAI 2023, 46 cites [2]</w:t>
            </w:r>
          </w:p>
        </w:tc>
        <w:tc>
          <w:tcPr>
            <w:tcW w:type="dxa" w:w="4176"/>
          </w:tcPr>
          <w:p>
            <w:pPr>
              <w:spacing w:before="30" w:after="30"/>
              <w:jc w:val="left"/>
            </w:pPr>
            <w:r/>
            <w:r>
              <w:rPr>
                <w:rFonts w:ascii="Times New Roman" w:hAnsi="Times New Roman"/>
                <w:b w:val="0"/>
                <w:i w:val="0"/>
                <w:color w:val="000000"/>
                <w:sz w:val="19"/>
              </w:rPr>
              <w:t>Adopt. The only intervention with peer-reviewed</w:t>
              <w:br/>
              <w:t>evidence of raising AUC under real fundus device shift</w:t>
            </w:r>
          </w:p>
        </w:tc>
      </w:tr>
      <w:tr>
        <w:tc>
          <w:tcPr>
            <w:tcW w:type="dxa" w:w="2160"/>
          </w:tcPr>
          <w:p>
            <w:pPr>
              <w:spacing w:before="30" w:after="30"/>
            </w:pPr>
            <w:r/>
            <w:r>
              <w:rPr>
                <w:rFonts w:ascii="Times New Roman" w:hAnsi="Times New Roman"/>
                <w:b w:val="0"/>
                <w:i w:val="0"/>
                <w:color w:val="000000"/>
                <w:sz w:val="19"/>
              </w:rPr>
              <w:t>Adversarial adaptation</w:t>
              <w:br/>
              <w:t>(DANN, MDD, CycleGAN)</w:t>
            </w:r>
          </w:p>
        </w:tc>
        <w:tc>
          <w:tcPr>
            <w:tcW w:type="dxa" w:w="3744"/>
          </w:tcPr>
          <w:p>
            <w:pPr>
              <w:spacing w:before="30" w:after="30"/>
              <w:jc w:val="left"/>
            </w:pPr>
            <w:r/>
            <w:r>
              <w:rPr>
                <w:rFonts w:ascii="Times New Roman" w:hAnsi="Times New Roman"/>
                <w:b w:val="0"/>
                <w:i w:val="0"/>
                <w:color w:val="000000"/>
                <w:sz w:val="19"/>
              </w:rPr>
              <w:t>Lin, MICCAI 2022, 5 cites [3]</w:t>
            </w:r>
          </w:p>
        </w:tc>
        <w:tc>
          <w:tcPr>
            <w:tcW w:type="dxa" w:w="4176"/>
          </w:tcPr>
          <w:p>
            <w:pPr>
              <w:spacing w:before="30" w:after="30"/>
              <w:jc w:val="left"/>
            </w:pPr>
            <w:r/>
            <w:r>
              <w:rPr>
                <w:rFonts w:ascii="Times New Roman" w:hAnsi="Times New Roman"/>
                <w:b w:val="0"/>
                <w:i w:val="0"/>
                <w:color w:val="000000"/>
                <w:sz w:val="19"/>
              </w:rPr>
              <w:t>Eliminated. Documented to collapse on real</w:t>
              <w:br/>
              <w:t>tabletop to portable fundus data</w:t>
            </w:r>
          </w:p>
        </w:tc>
      </w:tr>
      <w:tr>
        <w:tc>
          <w:tcPr>
            <w:tcW w:type="dxa" w:w="2160"/>
          </w:tcPr>
          <w:p>
            <w:pPr>
              <w:spacing w:before="30" w:after="30"/>
            </w:pPr>
            <w:r/>
            <w:r>
              <w:rPr>
                <w:rFonts w:ascii="Times New Roman" w:hAnsi="Times New Roman"/>
                <w:b w:val="0"/>
                <w:i w:val="0"/>
                <w:color w:val="000000"/>
                <w:sz w:val="19"/>
              </w:rPr>
              <w:t>Domain generalization</w:t>
              <w:br/>
              <w:t>methods</w:t>
            </w:r>
          </w:p>
        </w:tc>
        <w:tc>
          <w:tcPr>
            <w:tcW w:type="dxa" w:w="3744"/>
          </w:tcPr>
          <w:p>
            <w:pPr>
              <w:spacing w:before="30" w:after="30"/>
              <w:jc w:val="left"/>
            </w:pPr>
            <w:r/>
            <w:r>
              <w:rPr>
                <w:rFonts w:ascii="Times New Roman" w:hAnsi="Times New Roman"/>
                <w:b w:val="0"/>
                <w:i w:val="0"/>
                <w:color w:val="000000"/>
                <w:sz w:val="19"/>
              </w:rPr>
              <w:t>Gulrajani and Lopez-Paz, ICLR 2021,</w:t>
              <w:br/>
              <w:t>1,504 cites [4]</w:t>
            </w:r>
          </w:p>
        </w:tc>
        <w:tc>
          <w:tcPr>
            <w:tcW w:type="dxa" w:w="4176"/>
          </w:tcPr>
          <w:p>
            <w:pPr>
              <w:spacing w:before="30" w:after="30"/>
              <w:jc w:val="left"/>
            </w:pPr>
            <w:r/>
            <w:r>
              <w:rPr>
                <w:rFonts w:ascii="Times New Roman" w:hAnsi="Times New Roman"/>
                <w:b w:val="0"/>
                <w:i w:val="0"/>
                <w:color w:val="000000"/>
                <w:sz w:val="19"/>
              </w:rPr>
              <w:t>Treat with caution. None reliably beats a</w:t>
              <w:br/>
              <w:t>well-tuned plain baseline</w:t>
            </w:r>
          </w:p>
        </w:tc>
      </w:tr>
      <w:tr>
        <w:tc>
          <w:tcPr>
            <w:tcW w:type="dxa" w:w="2160"/>
          </w:tcPr>
          <w:p>
            <w:pPr>
              <w:spacing w:before="30" w:after="30"/>
            </w:pPr>
            <w:r/>
            <w:r>
              <w:rPr>
                <w:rFonts w:ascii="Times New Roman" w:hAnsi="Times New Roman"/>
                <w:b w:val="0"/>
                <w:i w:val="0"/>
                <w:color w:val="000000"/>
                <w:sz w:val="19"/>
              </w:rPr>
              <w:t>Test-time adaptation</w:t>
            </w:r>
          </w:p>
        </w:tc>
        <w:tc>
          <w:tcPr>
            <w:tcW w:type="dxa" w:w="3744"/>
          </w:tcPr>
          <w:p>
            <w:pPr>
              <w:spacing w:before="30" w:after="30"/>
              <w:jc w:val="left"/>
            </w:pPr>
            <w:r/>
            <w:r>
              <w:rPr>
                <w:rFonts w:ascii="Times New Roman" w:hAnsi="Times New Roman"/>
                <w:b w:val="0"/>
                <w:i w:val="0"/>
                <w:color w:val="000000"/>
                <w:sz w:val="19"/>
              </w:rPr>
              <w:t>Boudiaf, CVPR 2022, 257 cites [5]</w:t>
            </w:r>
          </w:p>
        </w:tc>
        <w:tc>
          <w:tcPr>
            <w:tcW w:type="dxa" w:w="4176"/>
          </w:tcPr>
          <w:p>
            <w:pPr>
              <w:spacing w:before="30" w:after="30"/>
              <w:jc w:val="left"/>
            </w:pPr>
            <w:r/>
            <w:r>
              <w:rPr>
                <w:rFonts w:ascii="Times New Roman" w:hAnsi="Times New Roman"/>
                <w:b w:val="0"/>
                <w:i w:val="0"/>
                <w:color w:val="000000"/>
                <w:sz w:val="19"/>
              </w:rPr>
              <w:t>Eliminated. Loses up to 66 points under prior</w:t>
              <w:br/>
              <w:t>shift, which is the regime here</w:t>
            </w:r>
          </w:p>
        </w:tc>
      </w:tr>
      <w:tr>
        <w:tc>
          <w:tcPr>
            <w:tcW w:type="dxa" w:w="2160"/>
          </w:tcPr>
          <w:p>
            <w:pPr>
              <w:spacing w:before="30" w:after="30"/>
            </w:pPr>
            <w:r/>
            <w:r>
              <w:rPr>
                <w:rFonts w:ascii="Times New Roman" w:hAnsi="Times New Roman"/>
                <w:b w:val="0"/>
                <w:i w:val="0"/>
                <w:color w:val="000000"/>
                <w:sz w:val="19"/>
              </w:rPr>
              <w:t>Threshold and calibration</w:t>
              <w:br/>
              <w:t>correction</w:t>
            </w:r>
          </w:p>
        </w:tc>
        <w:tc>
          <w:tcPr>
            <w:tcW w:type="dxa" w:w="3744"/>
          </w:tcPr>
          <w:p>
            <w:pPr>
              <w:spacing w:before="30" w:after="30"/>
              <w:jc w:val="left"/>
            </w:pPr>
            <w:r/>
            <w:r>
              <w:rPr>
                <w:rFonts w:ascii="Times New Roman" w:hAnsi="Times New Roman"/>
                <w:b w:val="0"/>
                <w:i w:val="0"/>
                <w:color w:val="000000"/>
                <w:sz w:val="19"/>
              </w:rPr>
              <w:t>Roschewitz, Nature Comms 2023, 43 cites [6];</w:t>
              <w:br/>
              <w:t>BBSE, ICML 2018, 679 cites [8]</w:t>
            </w:r>
          </w:p>
        </w:tc>
        <w:tc>
          <w:tcPr>
            <w:tcW w:type="dxa" w:w="4176"/>
          </w:tcPr>
          <w:p>
            <w:pPr>
              <w:spacing w:before="30" w:after="30"/>
              <w:jc w:val="left"/>
            </w:pPr>
            <w:r/>
            <w:r>
              <w:rPr>
                <w:rFonts w:ascii="Times New Roman" w:hAnsi="Times New Roman"/>
                <w:b w:val="0"/>
                <w:i w:val="0"/>
                <w:color w:val="000000"/>
                <w:sz w:val="19"/>
              </w:rPr>
              <w:t>Capped. Cheap, but provably limited to F1 0.7927</w:t>
              <w:br/>
              <w:t>here, and BBSE assumes a single-label softmax</w:t>
            </w:r>
          </w:p>
        </w:tc>
      </w:tr>
    </w:tbl>
    <w:p>
      <w:pPr>
        <w:spacing w:after="20"/>
      </w:pPr>
    </w:p>
    <w:p>
      <w:pPr>
        <w:spacing w:after="100" w:before="0"/>
      </w:pPr>
      <w:r>
        <w:rPr>
          <w:rFonts w:ascii="Times New Roman" w:hAnsi="Times New Roman"/>
          <w:b w:val="0"/>
          <w:i w:val="0"/>
          <w:color w:val="000000"/>
          <w:sz w:val="21"/>
        </w:rPr>
        <w:t>The value of the review was negative. Three of the four approaches I would have reached for first are published failures in this exact setting, which removed them before any implementation effort.</w:t>
      </w:r>
    </w:p>
    <w:p>
      <w:pPr>
        <w:spacing w:after="60" w:before="180"/>
      </w:pPr>
      <w:r>
        <w:rPr>
          <w:rFonts w:ascii="Times New Roman" w:hAnsi="Times New Roman"/>
          <w:b/>
          <w:i w:val="0"/>
          <w:color w:val="000000"/>
          <w:sz w:val="23"/>
        </w:rPr>
        <w:t>4. Proposed direction</w:t>
      </w:r>
    </w:p>
    <w:p>
      <w:pPr>
        <w:spacing w:after="100" w:before="0"/>
      </w:pPr>
      <w:r>
        <w:rPr>
          <w:rFonts w:ascii="Times New Roman" w:hAnsi="Times New Roman"/>
          <w:b w:val="0"/>
          <w:i w:val="0"/>
          <w:color w:val="000000"/>
          <w:sz w:val="21"/>
        </w:rPr>
        <w:t>GDRNet's FundusAug [2] applies nine operations, five colour transformations and four degradations, each at a fixed probability of 0.5 with hand-chosen magnitudes. It is generic damage for generic robustness, calibrated to no particular camera. However, 4,272 of the 5,164 mBRSET images already carry artifact annotations, so the handheld device's actual degradation statistics are measurable without using a single diagnostic label.</w:t>
      </w:r>
    </w:p>
    <w:p>
      <w:pPr>
        <w:spacing w:after="100" w:before="0"/>
      </w:pPr>
      <w:r>
        <w:rPr>
          <w:rFonts w:ascii="Times New Roman" w:hAnsi="Times New Roman"/>
          <w:b w:val="0"/>
          <w:i w:val="0"/>
          <w:color w:val="000000"/>
          <w:sz w:val="21"/>
        </w:rPr>
        <w:t>I propose fitting the augmentation to those measured statistics, using the physically grounded fundus degradation model of Shen et al. [7], which derives light transmission disturbance, blur and retinal artifacts from the optics rather than by hand. The required control is generic FundusAug at its published settings; if fitting to the target device does not beat guessing, the contribution fails and I will report that. The gap decomposition in Section 2 supplies the budget for each intervention before either is built.</w:t>
      </w:r>
    </w:p>
    <w:p>
      <w:pPr>
        <w:spacing w:after="100" w:before="0"/>
      </w:pPr>
      <w:r>
        <w:rPr>
          <w:rFonts w:ascii="Times New Roman" w:hAnsi="Times New Roman"/>
          <w:b w:val="0"/>
          <w:i w:val="0"/>
          <w:color w:val="000000"/>
          <w:sz w:val="21"/>
        </w:rPr>
        <w:t>Closest prior work, stated plainly. Joseph et al. [10] adapt images across cameras for portable DR screening, but in the opposite direction, translating target images toward the source, and never treat the decision cutoff. Roschewitz et al. [9] identify which kind of shift has occurred but do not quantify what each component costs, nor establish a ceiling. Park et al. [12] handle covariate and label shift jointly but only for single-label softmax outputs, whereas DR and macular edema co-occur here.</w:t>
      </w:r>
    </w:p>
    <w:p>
      <w:pPr>
        <w:spacing w:after="60" w:before="180"/>
      </w:pPr>
      <w:r>
        <w:rPr>
          <w:rFonts w:ascii="Times New Roman" w:hAnsi="Times New Roman"/>
          <w:b/>
          <w:i w:val="0"/>
          <w:color w:val="000000"/>
          <w:sz w:val="23"/>
        </w:rPr>
        <w:t>References</w:t>
      </w:r>
    </w:p>
    <w:p>
      <w:pPr>
        <w:spacing w:after="30"/>
        <w:ind w:left="432" w:hanging="432"/>
      </w:pPr>
      <w:r>
        <w:rPr>
          <w:rFonts w:ascii="Times New Roman" w:hAnsi="Times New Roman"/>
          <w:b w:val="0"/>
          <w:i w:val="0"/>
          <w:color w:val="000000"/>
          <w:sz w:val="17"/>
        </w:rPr>
        <w:t xml:space="preserve">[1] Tellez et al. Quantifying the effects of data augmentation and stain color normalization in CNNs for computational pathology. Medical Image Analysis 58:101544, 2019. 665 cites. </w:t>
      </w:r>
      <w:hyperlink r:id="rId9">
        <w:r>
          <w:rPr>
            <w:color w:val="000000"/>
            <w:u w:val="single"/>
            <w:rFonts w:ascii="Times New Roman" w:hAnsi="Times New Roman"/>
            <w:sz w:val="17"/>
          </w:rPr>
          <w:t>https://doi.org/10.1016/j.media.2019.101544</w:t>
        </w:r>
      </w:hyperlink>
    </w:p>
    <w:p>
      <w:pPr>
        <w:spacing w:after="30"/>
        <w:ind w:left="432" w:hanging="432"/>
      </w:pPr>
      <w:r>
        <w:rPr>
          <w:rFonts w:ascii="Times New Roman" w:hAnsi="Times New Roman"/>
          <w:b w:val="0"/>
          <w:i w:val="0"/>
          <w:color w:val="000000"/>
          <w:sz w:val="17"/>
        </w:rPr>
        <w:t xml:space="preserve">[2] Che, Cheng, Jin, Chen. Towards Generalizable Diabetic Retinopathy Grading in Unseen Domains (GDRNet). MICCAI 2023, 430-440. 46 cites. </w:t>
      </w:r>
      <w:hyperlink r:id="rId10">
        <w:r>
          <w:rPr>
            <w:color w:val="000000"/>
            <w:u w:val="single"/>
            <w:rFonts w:ascii="Times New Roman" w:hAnsi="Times New Roman"/>
            <w:sz w:val="17"/>
          </w:rPr>
          <w:t>https://doi.org/10.1007/978-3-031-43904-9_42</w:t>
        </w:r>
      </w:hyperlink>
    </w:p>
    <w:p>
      <w:pPr>
        <w:spacing w:after="30"/>
        <w:ind w:left="432" w:hanging="432"/>
      </w:pPr>
      <w:r>
        <w:rPr>
          <w:rFonts w:ascii="Times New Roman" w:hAnsi="Times New Roman"/>
          <w:b w:val="0"/>
          <w:i w:val="0"/>
          <w:color w:val="000000"/>
          <w:sz w:val="17"/>
        </w:rPr>
        <w:t xml:space="preserve">[3] Lin, Shi, Zhang, Shang, He, Ge. Camera Adaptation for Fundus-Image-Based CVD Risk Estimation. MICCAI 2022, 593-603. 5 cites. </w:t>
      </w:r>
      <w:hyperlink r:id="rId11">
        <w:r>
          <w:rPr>
            <w:color w:val="000000"/>
            <w:u w:val="single"/>
            <w:rFonts w:ascii="Times New Roman" w:hAnsi="Times New Roman"/>
            <w:sz w:val="17"/>
          </w:rPr>
          <w:t>https://doi.org/10.1007/978-3-031-16434-7_57</w:t>
        </w:r>
      </w:hyperlink>
    </w:p>
    <w:p>
      <w:pPr>
        <w:spacing w:after="30"/>
        <w:ind w:left="432" w:hanging="432"/>
      </w:pPr>
      <w:r>
        <w:rPr>
          <w:rFonts w:ascii="Times New Roman" w:hAnsi="Times New Roman"/>
          <w:b w:val="0"/>
          <w:i w:val="0"/>
          <w:color w:val="000000"/>
          <w:sz w:val="17"/>
        </w:rPr>
        <w:t xml:space="preserve">[4] Gulrajani, Lopez-Paz. In Search of Lost Domain Generalization. ICLR 2021. 1,504 cites. </w:t>
      </w:r>
      <w:hyperlink r:id="rId12">
        <w:r>
          <w:rPr>
            <w:color w:val="000000"/>
            <w:u w:val="single"/>
            <w:rFonts w:ascii="Times New Roman" w:hAnsi="Times New Roman"/>
            <w:sz w:val="17"/>
          </w:rPr>
          <w:t>https://openreview.net/forum?id=lQdXeXDoWtI</w:t>
        </w:r>
      </w:hyperlink>
    </w:p>
    <w:p>
      <w:pPr>
        <w:spacing w:after="30"/>
        <w:ind w:left="432" w:hanging="432"/>
      </w:pPr>
      <w:r>
        <w:rPr>
          <w:rFonts w:ascii="Times New Roman" w:hAnsi="Times New Roman"/>
          <w:b w:val="0"/>
          <w:i w:val="0"/>
          <w:color w:val="000000"/>
          <w:sz w:val="17"/>
        </w:rPr>
        <w:t xml:space="preserve">[5] Boudiaf, Mueller, Ben Ayed, Bertinetto. Parameter-free Online Test-time Adaptation (LAME). CVPR 2022, 8344-8353. 257 cites. </w:t>
      </w:r>
      <w:hyperlink r:id="rId13">
        <w:r>
          <w:rPr>
            <w:color w:val="000000"/>
            <w:u w:val="single"/>
            <w:rFonts w:ascii="Times New Roman" w:hAnsi="Times New Roman"/>
            <w:sz w:val="17"/>
          </w:rPr>
          <w:t>https://doi.org/10.1109/CVPR52688.2022.00816</w:t>
        </w:r>
      </w:hyperlink>
    </w:p>
    <w:p>
      <w:pPr>
        <w:spacing w:after="30"/>
        <w:ind w:left="432" w:hanging="432"/>
      </w:pPr>
      <w:r>
        <w:rPr>
          <w:rFonts w:ascii="Times New Roman" w:hAnsi="Times New Roman"/>
          <w:b w:val="0"/>
          <w:i w:val="0"/>
          <w:color w:val="000000"/>
          <w:sz w:val="17"/>
        </w:rPr>
        <w:t xml:space="preserve">[6] Roschewitz, Khara, Yearsley et al. Automatic correction of performance drift under acquisition shift in medical image classification. Nature Communications 14:6608, 2023. 43 cites. </w:t>
      </w:r>
      <w:hyperlink r:id="rId14">
        <w:r>
          <w:rPr>
            <w:color w:val="000000"/>
            <w:u w:val="single"/>
            <w:rFonts w:ascii="Times New Roman" w:hAnsi="Times New Roman"/>
            <w:sz w:val="17"/>
          </w:rPr>
          <w:t>https://doi.org/10.1038/s41467-023-42396-y</w:t>
        </w:r>
      </w:hyperlink>
    </w:p>
    <w:p>
      <w:pPr>
        <w:spacing w:after="30"/>
        <w:ind w:left="432" w:hanging="432"/>
      </w:pPr>
      <w:r>
        <w:rPr>
          <w:rFonts w:ascii="Times New Roman" w:hAnsi="Times New Roman"/>
          <w:b w:val="0"/>
          <w:i w:val="0"/>
          <w:color w:val="000000"/>
          <w:sz w:val="17"/>
        </w:rPr>
        <w:t xml:space="preserve">[7] Shen, Fu, Shen, Shao. Modeling and Enhancing Low-Quality Retinal Fundus Images (cofe-Net). IEEE Transactions on Medical Imaging 40(3), 2021. Count not retrieved. </w:t>
      </w:r>
      <w:hyperlink r:id="rId15">
        <w:r>
          <w:rPr>
            <w:color w:val="000000"/>
            <w:u w:val="single"/>
            <w:rFonts w:ascii="Times New Roman" w:hAnsi="Times New Roman"/>
            <w:sz w:val="17"/>
          </w:rPr>
          <w:t>https://arxiv.org/abs/2005.05594</w:t>
        </w:r>
      </w:hyperlink>
    </w:p>
    <w:p>
      <w:pPr>
        <w:spacing w:after="30"/>
        <w:ind w:left="432" w:hanging="432"/>
      </w:pPr>
      <w:r>
        <w:rPr>
          <w:rFonts w:ascii="Times New Roman" w:hAnsi="Times New Roman"/>
          <w:b w:val="0"/>
          <w:i w:val="0"/>
          <w:color w:val="000000"/>
          <w:sz w:val="17"/>
        </w:rPr>
        <w:t xml:space="preserve">[8] Lipton, Wang, Smola. Detecting and Correcting for Label Shift with Black Box Predictors (BBSE). ICML 2018. 679 cites. </w:t>
      </w:r>
      <w:hyperlink r:id="rId16">
        <w:r>
          <w:rPr>
            <w:color w:val="000000"/>
            <w:u w:val="single"/>
            <w:rFonts w:ascii="Times New Roman" w:hAnsi="Times New Roman"/>
            <w:sz w:val="17"/>
          </w:rPr>
          <w:t>https://proceedings.mlr.press/v80/lipton18a.html</w:t>
        </w:r>
      </w:hyperlink>
    </w:p>
    <w:p>
      <w:pPr>
        <w:spacing w:after="30"/>
        <w:ind w:left="432" w:hanging="432"/>
      </w:pPr>
      <w:r>
        <w:rPr>
          <w:rFonts w:ascii="Times New Roman" w:hAnsi="Times New Roman"/>
          <w:b w:val="0"/>
          <w:i w:val="0"/>
          <w:color w:val="000000"/>
          <w:sz w:val="17"/>
        </w:rPr>
        <w:t xml:space="preserve">[9] Roschewitz et al. Automatic Dataset Shift Identification to Support Safe Deployment of Medical Imaging AI. MICCAI 2025. Count not retrieved. </w:t>
      </w:r>
      <w:hyperlink r:id="rId17">
        <w:r>
          <w:rPr>
            <w:color w:val="000000"/>
            <w:u w:val="single"/>
            <w:rFonts w:ascii="Times New Roman" w:hAnsi="Times New Roman"/>
            <w:sz w:val="17"/>
          </w:rPr>
          <w:t>https://doi.org/10.1007/978-3-032-04981-0_7</w:t>
        </w:r>
      </w:hyperlink>
    </w:p>
    <w:p>
      <w:pPr>
        <w:spacing w:after="30"/>
        <w:ind w:left="432" w:hanging="432"/>
      </w:pPr>
      <w:r>
        <w:rPr>
          <w:rFonts w:ascii="Times New Roman" w:hAnsi="Times New Roman"/>
          <w:b w:val="0"/>
          <w:i w:val="0"/>
          <w:color w:val="000000"/>
          <w:sz w:val="17"/>
        </w:rPr>
        <w:t xml:space="preserve">[10] Joseph, Chen, Liu, Zhu, Ramasamy, Ravilla, Ge, He. Enhancing AI-based diabetic retinopathy diagnosis through universal cross-camera image adaptation. BMJ Open Ophthalmology 10(1), 2025. Count not retrieved. </w:t>
      </w:r>
      <w:hyperlink r:id="rId18">
        <w:r>
          <w:rPr>
            <w:color w:val="000000"/>
            <w:u w:val="single"/>
            <w:rFonts w:ascii="Times New Roman" w:hAnsi="Times New Roman"/>
            <w:sz w:val="17"/>
          </w:rPr>
          <w:t>https://doi.org/10.1136/bmjophth-2025-002238</w:t>
        </w:r>
      </w:hyperlink>
    </w:p>
    <w:p>
      <w:pPr>
        <w:spacing w:after="30"/>
        <w:ind w:left="432" w:hanging="432"/>
      </w:pPr>
      <w:r>
        <w:rPr>
          <w:rFonts w:ascii="Times New Roman" w:hAnsi="Times New Roman"/>
          <w:b w:val="0"/>
          <w:i w:val="0"/>
          <w:color w:val="000000"/>
          <w:sz w:val="17"/>
        </w:rPr>
        <w:t xml:space="preserve">[11] Fawcett. An introduction to ROC analysis. Pattern Recognition Letters 27(8):861-874, 2006. 21,726 cites. </w:t>
      </w:r>
      <w:hyperlink r:id="rId19">
        <w:r>
          <w:rPr>
            <w:color w:val="000000"/>
            <w:u w:val="single"/>
            <w:rFonts w:ascii="Times New Roman" w:hAnsi="Times New Roman"/>
            <w:sz w:val="17"/>
          </w:rPr>
          <w:t>https://doi.org/10.1016/j.patrec.2005.10.010</w:t>
        </w:r>
      </w:hyperlink>
    </w:p>
    <w:p>
      <w:pPr>
        <w:spacing w:after="30"/>
        <w:ind w:left="432" w:hanging="432"/>
      </w:pPr>
      <w:r>
        <w:rPr>
          <w:rFonts w:ascii="Times New Roman" w:hAnsi="Times New Roman"/>
          <w:b w:val="0"/>
          <w:i w:val="0"/>
          <w:color w:val="000000"/>
          <w:sz w:val="17"/>
        </w:rPr>
        <w:t xml:space="preserve">[12] Park, Yang, Choo, Yun. Label Shift Adapter for Test-Time Adaptation under Covariate and Label Shifts. ICCV 2023, 16421-16431. Count not retrieved. </w:t>
      </w:r>
      <w:hyperlink r:id="rId20">
        <w:r>
          <w:rPr>
            <w:color w:val="000000"/>
            <w:u w:val="single"/>
            <w:rFonts w:ascii="Times New Roman" w:hAnsi="Times New Roman"/>
            <w:sz w:val="17"/>
          </w:rPr>
          <w:t>https://arxiv.org/abs/2308.08810</w:t>
        </w:r>
      </w:hyperlink>
    </w:p>
    <w:p>
      <w:pPr>
        <w:spacing w:after="30"/>
        <w:ind w:left="432" w:hanging="432"/>
      </w:pPr>
      <w:r>
        <w:rPr>
          <w:rFonts w:ascii="Times New Roman" w:hAnsi="Times New Roman"/>
          <w:b w:val="0"/>
          <w:i w:val="0"/>
          <w:color w:val="000000"/>
          <w:sz w:val="17"/>
        </w:rPr>
        <w:t xml:space="preserve">[13] Nakayama, Restrepo et al. BRSET: A Brazilian Multilabel Ophthalmological Dataset. PLOS Digital Health 3(7):e0000454, 2024. </w:t>
      </w:r>
      <w:hyperlink r:id="rId21">
        <w:r>
          <w:rPr>
            <w:color w:val="000000"/>
            <w:u w:val="single"/>
            <w:rFonts w:ascii="Times New Roman" w:hAnsi="Times New Roman"/>
            <w:sz w:val="17"/>
          </w:rPr>
          <w:t>https://doi.org/10.1371/journal.pdig.0000454</w:t>
        </w:r>
      </w:hyperlink>
    </w:p>
    <w:p>
      <w:pPr>
        <w:spacing w:after="30"/>
        <w:ind w:left="432" w:hanging="432"/>
      </w:pPr>
      <w:r>
        <w:rPr>
          <w:rFonts w:ascii="Times New Roman" w:hAnsi="Times New Roman"/>
          <w:b w:val="0"/>
          <w:i w:val="0"/>
          <w:color w:val="000000"/>
          <w:sz w:val="17"/>
        </w:rPr>
        <w:t xml:space="preserve">[14] Wu, Restrepo, Nakayama et al. A portable retina fundus photos dataset (mBRSET). Scientific Data 12:340, 2025. </w:t>
      </w:r>
      <w:hyperlink r:id="rId22">
        <w:r>
          <w:rPr>
            <w:color w:val="000000"/>
            <w:u w:val="single"/>
            <w:rFonts w:ascii="Times New Roman" w:hAnsi="Times New Roman"/>
            <w:sz w:val="17"/>
          </w:rPr>
          <w:t>https://doi.org/10.1038/s41597-025-04627-3</w:t>
        </w:r>
      </w:hyperlink>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16/j.media.2019.101544" TargetMode="External"/><Relationship Id="rId10" Type="http://schemas.openxmlformats.org/officeDocument/2006/relationships/hyperlink" Target="https://doi.org/10.1007/978-3-031-43904-9_42" TargetMode="External"/><Relationship Id="rId11" Type="http://schemas.openxmlformats.org/officeDocument/2006/relationships/hyperlink" Target="https://doi.org/10.1007/978-3-031-16434-7_57" TargetMode="External"/><Relationship Id="rId12" Type="http://schemas.openxmlformats.org/officeDocument/2006/relationships/hyperlink" Target="https://openreview.net/forum?id=lQdXeXDoWtI" TargetMode="External"/><Relationship Id="rId13" Type="http://schemas.openxmlformats.org/officeDocument/2006/relationships/hyperlink" Target="https://doi.org/10.1109/CVPR52688.2022.00816" TargetMode="External"/><Relationship Id="rId14" Type="http://schemas.openxmlformats.org/officeDocument/2006/relationships/hyperlink" Target="https://doi.org/10.1038/s41467-023-42396-y" TargetMode="External"/><Relationship Id="rId15" Type="http://schemas.openxmlformats.org/officeDocument/2006/relationships/hyperlink" Target="https://arxiv.org/abs/2005.05594" TargetMode="External"/><Relationship Id="rId16" Type="http://schemas.openxmlformats.org/officeDocument/2006/relationships/hyperlink" Target="https://proceedings.mlr.press/v80/lipton18a.html" TargetMode="External"/><Relationship Id="rId17" Type="http://schemas.openxmlformats.org/officeDocument/2006/relationships/hyperlink" Target="https://doi.org/10.1007/978-3-032-04981-0_7" TargetMode="External"/><Relationship Id="rId18" Type="http://schemas.openxmlformats.org/officeDocument/2006/relationships/hyperlink" Target="https://doi.org/10.1136/bmjophth-2025-002238" TargetMode="External"/><Relationship Id="rId19" Type="http://schemas.openxmlformats.org/officeDocument/2006/relationships/hyperlink" Target="https://doi.org/10.1016/j.patrec.2005.10.010" TargetMode="External"/><Relationship Id="rId20" Type="http://schemas.openxmlformats.org/officeDocument/2006/relationships/hyperlink" Target="https://arxiv.org/abs/2308.08810" TargetMode="External"/><Relationship Id="rId21" Type="http://schemas.openxmlformats.org/officeDocument/2006/relationships/hyperlink" Target="https://doi.org/10.1371/journal.pdig.0000454" TargetMode="External"/><Relationship Id="rId22" Type="http://schemas.openxmlformats.org/officeDocument/2006/relationships/hyperlink" Target="https://doi.org/10.1038/s41597-025-0462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