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color w:val="000000"/>
          <w:sz w:val="29"/>
        </w:rPr>
        <w:t>ConvNeXt V2 on BRSET and mBRSET: Strong Baseline Models for Diabetic Retinopathy and Macular Edema Classification</w:t>
      </w:r>
    </w:p>
    <w:p>
      <w:pPr>
        <w:spacing w:after="160"/>
        <w:jc w:val="center"/>
      </w:pPr>
      <w:r>
        <w:rPr>
          <w:rFonts w:ascii="Times New Roman" w:hAnsi="Times New Roman" w:eastAsia="Times New Roman"/>
          <w:b w:val="0"/>
          <w:i/>
          <w:color w:val="000000"/>
          <w:sz w:val="22"/>
        </w:rPr>
        <w:t>Executive Summary</w:t>
      </w:r>
    </w:p>
    <w:p>
      <w:pPr>
        <w:spacing w:after="200"/>
        <w:jc w:val="center"/>
      </w:pPr>
      <w:r>
        <w:rPr>
          <w:rFonts w:ascii="Times New Roman" w:hAnsi="Times New Roman" w:eastAsia="Times New Roman"/>
          <w:b w:val="0"/>
          <w:i w:val="0"/>
          <w:color w:val="000000"/>
          <w:sz w:val="19"/>
        </w:rPr>
        <w:t>Sahith Reddy Thummala (Panther ID 002856791)  |  For: Dr. Dong Hye Ye  |  cc: Nagur Shareef Shaik  |  July 29, 2026</w:t>
      </w:r>
    </w:p>
    <w:p>
      <w:pPr>
        <w:spacing w:before="160" w:after="60"/>
      </w:pPr>
      <w:r>
        <w:rPr>
          <w:rFonts w:ascii="Times New Roman" w:hAnsi="Times New Roman" w:eastAsia="Times New Roman"/>
          <w:b/>
          <w:i w:val="0"/>
          <w:color w:val="000000"/>
          <w:sz w:val="25"/>
        </w:rPr>
        <w:t>Objective</w:t>
      </w:r>
    </w:p>
    <w:p>
      <w:pPr>
        <w:spacing w:after="80"/>
      </w:pPr>
      <w:r>
        <w:rPr>
          <w:rFonts w:ascii="Times New Roman" w:hAnsi="Times New Roman" w:eastAsia="Times New Roman"/>
          <w:b w:val="0"/>
          <w:i w:val="0"/>
          <w:color w:val="000000"/>
          <w:sz w:val="21"/>
        </w:rPr>
        <w:t>Establish a strong, non-baseline ConvNeXt V2 model on both BRSET and mBRSET for independent binary classification of diabetic_retinopathy and macular_edema, before proceeding to k-fold cross-validation.</w:t>
      </w:r>
    </w:p>
    <w:p>
      <w:pPr>
        <w:spacing w:before="160" w:after="60"/>
      </w:pPr>
      <w:r>
        <w:rPr>
          <w:rFonts w:ascii="Times New Roman" w:hAnsi="Times New Roman" w:eastAsia="Times New Roman"/>
          <w:b/>
          <w:i w:val="0"/>
          <w:color w:val="000000"/>
          <w:sz w:val="25"/>
        </w:rPr>
        <w:t>Methodology: What I Tried, In Order</w:t>
      </w:r>
    </w:p>
    <w:tbl>
      <w:tblPr>
        <w:tblStyle w:val="TableGrid"/>
        <w:tblW w:type="auto" w:w="0"/>
        <w:jc w:val="center"/>
        <w:tblLook w:firstColumn="1" w:firstRow="1" w:lastColumn="0" w:lastRow="0" w:noHBand="0" w:noVBand="1" w:val="04A0"/>
      </w:tblPr>
      <w:tblGrid>
        <w:gridCol w:w="3264"/>
        <w:gridCol w:w="3264"/>
        <w:gridCol w:w="3264"/>
      </w:tblGrid>
      <w:tr>
        <w:tc>
          <w:tcPr>
            <w:tcW w:type="dxa" w:w="1296"/>
          </w:tcPr>
          <w:p>
            <w:r>
              <w:rPr>
                <w:rFonts w:ascii="Times New Roman" w:hAnsi="Times New Roman" w:eastAsia="Times New Roman"/>
                <w:b/>
                <w:i w:val="0"/>
                <w:color w:val="000000"/>
                <w:sz w:val="17"/>
              </w:rPr>
              <w:t>Step</w:t>
            </w:r>
          </w:p>
        </w:tc>
        <w:tc>
          <w:tcPr>
            <w:tcW w:type="dxa" w:w="4320"/>
          </w:tcPr>
          <w:p>
            <w:r>
              <w:rPr>
                <w:rFonts w:ascii="Times New Roman" w:hAnsi="Times New Roman" w:eastAsia="Times New Roman"/>
                <w:b/>
                <w:i w:val="0"/>
                <w:color w:val="000000"/>
                <w:sz w:val="17"/>
              </w:rPr>
              <w:t>Technique</w:t>
            </w:r>
          </w:p>
        </w:tc>
        <w:tc>
          <w:tcPr>
            <w:tcW w:type="dxa" w:w="4176"/>
          </w:tcPr>
          <w:p>
            <w:r>
              <w:rPr>
                <w:rFonts w:ascii="Times New Roman" w:hAnsi="Times New Roman" w:eastAsia="Times New Roman"/>
                <w:b/>
                <w:i w:val="0"/>
                <w:color w:val="000000"/>
                <w:sz w:val="17"/>
              </w:rPr>
              <w:t>Outcome</w:t>
            </w:r>
          </w:p>
        </w:tc>
      </w:tr>
      <w:tr>
        <w:tc>
          <w:tcPr>
            <w:tcW w:type="dxa" w:w="1296"/>
          </w:tcPr>
          <w:p>
            <w:r>
              <w:rPr>
                <w:rFonts w:ascii="Times New Roman" w:hAnsi="Times New Roman" w:eastAsia="Times New Roman"/>
                <w:b w:val="0"/>
                <w:i w:val="0"/>
                <w:color w:val="000000"/>
                <w:sz w:val="17"/>
              </w:rPr>
              <w:t>1. Baseline</w:t>
            </w:r>
          </w:p>
        </w:tc>
        <w:tc>
          <w:tcPr>
            <w:tcW w:type="dxa" w:w="4320"/>
          </w:tcPr>
          <w:p>
            <w:r>
              <w:rPr>
                <w:rFonts w:ascii="Times New Roman" w:hAnsi="Times New Roman" w:eastAsia="Times New Roman"/>
                <w:b w:val="0"/>
                <w:i w:val="0"/>
                <w:color w:val="000000"/>
                <w:sz w:val="17"/>
              </w:rPr>
              <w:t>ConvNeXt V2 Large @ 512px (above its 384px pretraining); weighted oversampling + focal loss (gamma=2.0); all 16,258 BRSET / 4,859 mBRSET images; patient-level 70/15/15 split</w:t>
            </w:r>
          </w:p>
        </w:tc>
        <w:tc>
          <w:tcPr>
            <w:tcW w:type="dxa" w:w="4176"/>
          </w:tcPr>
          <w:p>
            <w:r>
              <w:rPr>
                <w:rFonts w:ascii="Times New Roman" w:hAnsi="Times New Roman" w:eastAsia="Times New Roman"/>
                <w:b w:val="0"/>
                <w:i w:val="0"/>
                <w:color w:val="000000"/>
                <w:sz w:val="17"/>
              </w:rPr>
              <w:t>Strong AUC (0.93-0.99) on both datasets, but train accuracy ~99.8-100% vs. test ~77-98% - confirmed real overfitting, not just a loss-curve artifact</w:t>
            </w:r>
          </w:p>
        </w:tc>
      </w:tr>
      <w:tr>
        <w:tc>
          <w:tcPr>
            <w:tcW w:type="dxa" w:w="1296"/>
          </w:tcPr>
          <w:p>
            <w:r>
              <w:rPr>
                <w:rFonts w:ascii="Times New Roman" w:hAnsi="Times New Roman" w:eastAsia="Times New Roman"/>
                <w:b w:val="0"/>
                <w:i w:val="0"/>
                <w:color w:val="000000"/>
                <w:sz w:val="17"/>
              </w:rPr>
              <w:t>2. Alpha-weighted loss</w:t>
            </w:r>
          </w:p>
        </w:tc>
        <w:tc>
          <w:tcPr>
            <w:tcW w:type="dxa" w:w="4320"/>
          </w:tcPr>
          <w:p>
            <w:r>
              <w:rPr>
                <w:rFonts w:ascii="Times New Roman" w:hAnsi="Times New Roman" w:eastAsia="Times New Roman"/>
                <w:b w:val="0"/>
                <w:i w:val="0"/>
                <w:color w:val="000000"/>
                <w:sz w:val="17"/>
              </w:rPr>
              <w:t>Lower focal gamma (1.0) + per-label class weighting, tested on BRSET</w:t>
            </w:r>
          </w:p>
        </w:tc>
        <w:tc>
          <w:tcPr>
            <w:tcW w:type="dxa" w:w="4176"/>
          </w:tcPr>
          <w:p>
            <w:r>
              <w:rPr>
                <w:rFonts w:ascii="Times New Roman" w:hAnsi="Times New Roman" w:eastAsia="Times New Roman"/>
                <w:b w:val="0"/>
                <w:i w:val="0"/>
                <w:color w:val="000000"/>
                <w:sz w:val="17"/>
              </w:rPr>
              <w:t>Did not help - macro F1 and AUC both slightly worse; reverted, gamma=2.0/no-alpha kept as the loss</w:t>
            </w:r>
          </w:p>
        </w:tc>
      </w:tr>
      <w:tr>
        <w:tc>
          <w:tcPr>
            <w:tcW w:type="dxa" w:w="1296"/>
          </w:tcPr>
          <w:p>
            <w:r>
              <w:rPr>
                <w:rFonts w:ascii="Times New Roman" w:hAnsi="Times New Roman" w:eastAsia="Times New Roman"/>
                <w:b w:val="0"/>
                <w:i w:val="0"/>
                <w:color w:val="000000"/>
                <w:sz w:val="17"/>
              </w:rPr>
              <w:t>3. Regularization</w:t>
            </w:r>
          </w:p>
        </w:tc>
        <w:tc>
          <w:tcPr>
            <w:tcW w:type="dxa" w:w="4320"/>
          </w:tcPr>
          <w:p>
            <w:r>
              <w:rPr>
                <w:rFonts w:ascii="Times New Roman" w:hAnsi="Times New Roman" w:eastAsia="Times New Roman"/>
                <w:b w:val="0"/>
                <w:i w:val="0"/>
                <w:color w:val="000000"/>
                <w:sz w:val="17"/>
              </w:rPr>
              <w:t>drop_path 0.3 (previously unset), weight_decay 0.1, multi-label mixup, label smoothing - identical on both datasets</w:t>
            </w:r>
          </w:p>
        </w:tc>
        <w:tc>
          <w:tcPr>
            <w:tcW w:type="dxa" w:w="4176"/>
          </w:tcPr>
          <w:p>
            <w:r>
              <w:rPr>
                <w:rFonts w:ascii="Times New Roman" w:hAnsi="Times New Roman" w:eastAsia="Times New Roman"/>
                <w:b w:val="0"/>
                <w:i w:val="0"/>
                <w:color w:val="000000"/>
                <w:sz w:val="17"/>
              </w:rPr>
              <w:t>mBRSET: improved on every metric for both labels. BRSET: diabetic_retinopathy improved, macular_edema dipped (BRSET had less overfitting to begin with, given 3.3x more training data)</w:t>
            </w:r>
          </w:p>
        </w:tc>
      </w:tr>
      <w:tr>
        <w:tc>
          <w:tcPr>
            <w:tcW w:type="dxa" w:w="1296"/>
          </w:tcPr>
          <w:p>
            <w:r>
              <w:rPr>
                <w:rFonts w:ascii="Times New Roman" w:hAnsi="Times New Roman" w:eastAsia="Times New Roman"/>
                <w:b w:val="0"/>
                <w:i w:val="0"/>
                <w:color w:val="000000"/>
                <w:sz w:val="17"/>
              </w:rPr>
              <w:t>4. Ensembling</w:t>
            </w:r>
          </w:p>
        </w:tc>
        <w:tc>
          <w:tcPr>
            <w:tcW w:type="dxa" w:w="4320"/>
          </w:tcPr>
          <w:p>
            <w:r>
              <w:rPr>
                <w:rFonts w:ascii="Times New Roman" w:hAnsi="Times New Roman" w:eastAsia="Times New Roman"/>
                <w:b w:val="0"/>
                <w:i w:val="0"/>
                <w:color w:val="000000"/>
                <w:sz w:val="17"/>
              </w:rPr>
              <w:t>Averaged the original + regularized checkpoints' probabilities - no new training</w:t>
            </w:r>
          </w:p>
        </w:tc>
        <w:tc>
          <w:tcPr>
            <w:tcW w:type="dxa" w:w="4176"/>
          </w:tcPr>
          <w:p>
            <w:r>
              <w:rPr>
                <w:rFonts w:ascii="Times New Roman" w:hAnsi="Times New Roman" w:eastAsia="Times New Roman"/>
                <w:b w:val="0"/>
                <w:i w:val="0"/>
                <w:color w:val="000000"/>
                <w:sz w:val="17"/>
              </w:rPr>
              <w:t>BRSET: resolved the Step 3 tradeoff for free, new best BRSET model. mBRSET: regularized model alone remained best</w:t>
            </w:r>
          </w:p>
        </w:tc>
      </w:tr>
      <w:tr>
        <w:tc>
          <w:tcPr>
            <w:tcW w:type="dxa" w:w="1296"/>
          </w:tcPr>
          <w:p>
            <w:r>
              <w:rPr>
                <w:rFonts w:ascii="Times New Roman" w:hAnsi="Times New Roman" w:eastAsia="Times New Roman"/>
                <w:b w:val="0"/>
                <w:i w:val="0"/>
                <w:color w:val="000000"/>
                <w:sz w:val="17"/>
              </w:rPr>
              <w:t>5. Threshold analysis</w:t>
            </w:r>
          </w:p>
        </w:tc>
        <w:tc>
          <w:tcPr>
            <w:tcW w:type="dxa" w:w="4320"/>
          </w:tcPr>
          <w:p>
            <w:r>
              <w:rPr>
                <w:rFonts w:ascii="Times New Roman" w:hAnsi="Times New Roman" w:eastAsia="Times New Roman"/>
                <w:b w:val="0"/>
                <w:i w:val="0"/>
                <w:color w:val="000000"/>
                <w:sz w:val="17"/>
              </w:rPr>
              <w:t>F1-optimal (primary) vs. F2 recall-favoring threshold, both tuned on validation only</w:t>
            </w:r>
          </w:p>
        </w:tc>
        <w:tc>
          <w:tcPr>
            <w:tcW w:type="dxa" w:w="4176"/>
          </w:tcPr>
          <w:p>
            <w:r>
              <w:rPr>
                <w:rFonts w:ascii="Times New Roman" w:hAnsi="Times New Roman" w:eastAsia="Times New Roman"/>
                <w:b w:val="0"/>
                <w:i w:val="0"/>
                <w:color w:val="000000"/>
                <w:sz w:val="17"/>
              </w:rPr>
              <w:t>Recall can reach 0.80-0.94 but costs up to 30 points of precision - kept F1-optimal as the primary operating point; F2 documented as an available alternative</w:t>
            </w:r>
          </w:p>
        </w:tc>
      </w:tr>
    </w:tbl>
    <w:p>
      <w:pPr>
        <w:spacing w:after="40"/>
      </w:pPr>
    </w:p>
    <w:p>
      <w:r>
        <w:br w:type="page"/>
      </w:r>
    </w:p>
    <w:p>
      <w:pPr>
        <w:spacing w:before="160" w:after="60"/>
      </w:pPr>
      <w:r>
        <w:rPr>
          <w:rFonts w:ascii="Times New Roman" w:hAnsi="Times New Roman" w:eastAsia="Times New Roman"/>
          <w:b/>
          <w:i w:val="0"/>
          <w:color w:val="000000"/>
          <w:sz w:val="25"/>
        </w:rPr>
        <w:t>Final Results (Held-Out Test Set, F1-Optimal Thresholds, Bootstrap-Confirmed)</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152"/>
          </w:tcPr>
          <w:p>
            <w:r>
              <w:rPr>
                <w:rFonts w:ascii="Times New Roman" w:hAnsi="Times New Roman" w:eastAsia="Times New Roman"/>
                <w:b/>
                <w:i w:val="0"/>
                <w:color w:val="000000"/>
                <w:sz w:val="17"/>
              </w:rPr>
              <w:t>Dataset</w:t>
            </w:r>
          </w:p>
        </w:tc>
        <w:tc>
          <w:tcPr>
            <w:tcW w:type="dxa" w:w="1584"/>
          </w:tcPr>
          <w:p>
            <w:r>
              <w:rPr>
                <w:rFonts w:ascii="Times New Roman" w:hAnsi="Times New Roman" w:eastAsia="Times New Roman"/>
                <w:b/>
                <w:i w:val="0"/>
                <w:color w:val="000000"/>
                <w:sz w:val="17"/>
              </w:rPr>
              <w:t>Final Model</w:t>
            </w:r>
          </w:p>
        </w:tc>
        <w:tc>
          <w:tcPr>
            <w:tcW w:type="dxa" w:w="2592"/>
          </w:tcPr>
          <w:p>
            <w:r>
              <w:rPr>
                <w:rFonts w:ascii="Times New Roman" w:hAnsi="Times New Roman" w:eastAsia="Times New Roman"/>
                <w:b/>
                <w:i w:val="0"/>
                <w:color w:val="000000"/>
                <w:sz w:val="17"/>
              </w:rPr>
              <w:t>Label</w:t>
            </w:r>
          </w:p>
        </w:tc>
        <w:tc>
          <w:tcPr>
            <w:tcW w:type="dxa" w:w="1008"/>
          </w:tcPr>
          <w:p>
            <w:r>
              <w:rPr>
                <w:rFonts w:ascii="Times New Roman" w:hAnsi="Times New Roman" w:eastAsia="Times New Roman"/>
                <w:b/>
                <w:i w:val="0"/>
                <w:color w:val="000000"/>
                <w:sz w:val="17"/>
              </w:rPr>
              <w:t>AUC</w:t>
            </w:r>
          </w:p>
        </w:tc>
        <w:tc>
          <w:tcPr>
            <w:tcW w:type="dxa" w:w="1008"/>
          </w:tcPr>
          <w:p>
            <w:r>
              <w:rPr>
                <w:rFonts w:ascii="Times New Roman" w:hAnsi="Times New Roman" w:eastAsia="Times New Roman"/>
                <w:b/>
                <w:i w:val="0"/>
                <w:color w:val="000000"/>
                <w:sz w:val="17"/>
              </w:rPr>
              <w:t>F1</w:t>
            </w:r>
          </w:p>
        </w:tc>
        <w:tc>
          <w:tcPr>
            <w:tcW w:type="dxa" w:w="1296"/>
          </w:tcPr>
          <w:p>
            <w:r>
              <w:rPr>
                <w:rFonts w:ascii="Times New Roman" w:hAnsi="Times New Roman" w:eastAsia="Times New Roman"/>
                <w:b/>
                <w:i w:val="0"/>
                <w:color w:val="000000"/>
                <w:sz w:val="17"/>
              </w:rPr>
              <w:t>Precision</w:t>
            </w:r>
          </w:p>
        </w:tc>
        <w:tc>
          <w:tcPr>
            <w:tcW w:type="dxa" w:w="1008"/>
          </w:tcPr>
          <w:p>
            <w:r>
              <w:rPr>
                <w:rFonts w:ascii="Times New Roman" w:hAnsi="Times New Roman" w:eastAsia="Times New Roman"/>
                <w:b/>
                <w:i w:val="0"/>
                <w:color w:val="000000"/>
                <w:sz w:val="17"/>
              </w:rPr>
              <w:t>Recall</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0.869</w:t>
            </w:r>
          </w:p>
        </w:tc>
        <w:tc>
          <w:tcPr>
            <w:tcW w:type="dxa" w:w="1296"/>
          </w:tcPr>
          <w:p>
            <w:r>
              <w:rPr>
                <w:rFonts w:ascii="Times New Roman" w:hAnsi="Times New Roman" w:eastAsia="Times New Roman"/>
                <w:b w:val="0"/>
                <w:i w:val="0"/>
                <w:color w:val="000000"/>
                <w:sz w:val="17"/>
              </w:rPr>
              <w:t>0.861</w:t>
            </w:r>
          </w:p>
        </w:tc>
        <w:tc>
          <w:tcPr>
            <w:tcW w:type="dxa" w:w="1008"/>
          </w:tcPr>
          <w:p>
            <w:r>
              <w:rPr>
                <w:rFonts w:ascii="Times New Roman" w:hAnsi="Times New Roman" w:eastAsia="Times New Roman"/>
                <w:b w:val="0"/>
                <w:i w:val="0"/>
                <w:color w:val="000000"/>
                <w:sz w:val="17"/>
              </w:rPr>
              <w:t>0.877</w:t>
            </w:r>
          </w:p>
        </w:tc>
      </w:tr>
      <w:tr>
        <w:tc>
          <w:tcPr>
            <w:tcW w:type="dxa" w:w="1152"/>
          </w:tcPr>
          <w:p>
            <w:r>
              <w:rPr>
                <w:rFonts w:ascii="Times New Roman" w:hAnsi="Times New Roman" w:eastAsia="Times New Roman"/>
                <w:b w:val="0"/>
                <w:i w:val="0"/>
                <w:color w:val="000000"/>
                <w:sz w:val="17"/>
              </w:rPr>
              <w:t>BRSET</w:t>
            </w:r>
          </w:p>
        </w:tc>
        <w:tc>
          <w:tcPr>
            <w:tcW w:type="dxa" w:w="1584"/>
          </w:tcPr>
          <w:p>
            <w:r>
              <w:rPr>
                <w:rFonts w:ascii="Times New Roman" w:hAnsi="Times New Roman" w:eastAsia="Times New Roman"/>
                <w:b w:val="0"/>
                <w:i w:val="0"/>
                <w:color w:val="000000"/>
                <w:sz w:val="17"/>
              </w:rPr>
              <w:t>Ensemble</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0.994</w:t>
            </w:r>
          </w:p>
        </w:tc>
        <w:tc>
          <w:tcPr>
            <w:tcW w:type="dxa" w:w="1008"/>
          </w:tcPr>
          <w:p>
            <w:r>
              <w:rPr>
                <w:rFonts w:ascii="Times New Roman" w:hAnsi="Times New Roman" w:eastAsia="Times New Roman"/>
                <w:b w:val="0"/>
                <w:i w:val="0"/>
                <w:color w:val="000000"/>
                <w:sz w:val="17"/>
              </w:rPr>
              <w:t>0.790</w:t>
            </w:r>
          </w:p>
        </w:tc>
        <w:tc>
          <w:tcPr>
            <w:tcW w:type="dxa" w:w="1296"/>
          </w:tcPr>
          <w:p>
            <w:r>
              <w:rPr>
                <w:rFonts w:ascii="Times New Roman" w:hAnsi="Times New Roman" w:eastAsia="Times New Roman"/>
                <w:b w:val="0"/>
                <w:i w:val="0"/>
                <w:color w:val="000000"/>
                <w:sz w:val="17"/>
              </w:rPr>
              <w:t>0.810</w:t>
            </w:r>
          </w:p>
        </w:tc>
        <w:tc>
          <w:tcPr>
            <w:tcW w:type="dxa" w:w="1008"/>
          </w:tcPr>
          <w:p>
            <w:r>
              <w:rPr>
                <w:rFonts w:ascii="Times New Roman" w:hAnsi="Times New Roman" w:eastAsia="Times New Roman"/>
                <w:b w:val="0"/>
                <w:i w:val="0"/>
                <w:color w:val="000000"/>
                <w:sz w:val="17"/>
              </w:rPr>
              <w:t>0.770</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Diabetic Retinopathy</w:t>
            </w:r>
          </w:p>
        </w:tc>
        <w:tc>
          <w:tcPr>
            <w:tcW w:type="dxa" w:w="1008"/>
          </w:tcPr>
          <w:p>
            <w:r>
              <w:rPr>
                <w:rFonts w:ascii="Times New Roman" w:hAnsi="Times New Roman" w:eastAsia="Times New Roman"/>
                <w:b w:val="0"/>
                <w:i w:val="0"/>
                <w:color w:val="000000"/>
                <w:sz w:val="17"/>
              </w:rPr>
              <w:t>0.939</w:t>
            </w:r>
          </w:p>
        </w:tc>
        <w:tc>
          <w:tcPr>
            <w:tcW w:type="dxa" w:w="1008"/>
          </w:tcPr>
          <w:p>
            <w:r>
              <w:rPr>
                <w:rFonts w:ascii="Times New Roman" w:hAnsi="Times New Roman" w:eastAsia="Times New Roman"/>
                <w:b w:val="0"/>
                <w:i w:val="0"/>
                <w:color w:val="000000"/>
                <w:sz w:val="17"/>
              </w:rPr>
              <w:t>0.815</w:t>
            </w:r>
          </w:p>
        </w:tc>
        <w:tc>
          <w:tcPr>
            <w:tcW w:type="dxa" w:w="1296"/>
          </w:tcPr>
          <w:p>
            <w:r>
              <w:rPr>
                <w:rFonts w:ascii="Times New Roman" w:hAnsi="Times New Roman" w:eastAsia="Times New Roman"/>
                <w:b w:val="0"/>
                <w:i w:val="0"/>
                <w:color w:val="000000"/>
                <w:sz w:val="17"/>
              </w:rPr>
              <w:t>0.860</w:t>
            </w:r>
          </w:p>
        </w:tc>
        <w:tc>
          <w:tcPr>
            <w:tcW w:type="dxa" w:w="1008"/>
          </w:tcPr>
          <w:p>
            <w:r>
              <w:rPr>
                <w:rFonts w:ascii="Times New Roman" w:hAnsi="Times New Roman" w:eastAsia="Times New Roman"/>
                <w:b w:val="0"/>
                <w:i w:val="0"/>
                <w:color w:val="000000"/>
                <w:sz w:val="17"/>
              </w:rPr>
              <w:t>0.774</w:t>
            </w:r>
          </w:p>
        </w:tc>
      </w:tr>
      <w:tr>
        <w:tc>
          <w:tcPr>
            <w:tcW w:type="dxa" w:w="1152"/>
          </w:tcPr>
          <w:p>
            <w:r>
              <w:rPr>
                <w:rFonts w:ascii="Times New Roman" w:hAnsi="Times New Roman" w:eastAsia="Times New Roman"/>
                <w:b w:val="0"/>
                <w:i w:val="0"/>
                <w:color w:val="000000"/>
                <w:sz w:val="17"/>
              </w:rPr>
              <w:t>mBRSET</w:t>
            </w:r>
          </w:p>
        </w:tc>
        <w:tc>
          <w:tcPr>
            <w:tcW w:type="dxa" w:w="1584"/>
          </w:tcPr>
          <w:p>
            <w:r>
              <w:rPr>
                <w:rFonts w:ascii="Times New Roman" w:hAnsi="Times New Roman" w:eastAsia="Times New Roman"/>
                <w:b w:val="0"/>
                <w:i w:val="0"/>
                <w:color w:val="000000"/>
                <w:sz w:val="17"/>
              </w:rPr>
              <w:t>Regularized</w:t>
            </w:r>
          </w:p>
        </w:tc>
        <w:tc>
          <w:tcPr>
            <w:tcW w:type="dxa" w:w="2592"/>
          </w:tcPr>
          <w:p>
            <w:r>
              <w:rPr>
                <w:rFonts w:ascii="Times New Roman" w:hAnsi="Times New Roman" w:eastAsia="Times New Roman"/>
                <w:b w:val="0"/>
                <w:i w:val="0"/>
                <w:color w:val="000000"/>
                <w:sz w:val="17"/>
              </w:rPr>
              <w:t>Macular Edema</w:t>
            </w:r>
          </w:p>
        </w:tc>
        <w:tc>
          <w:tcPr>
            <w:tcW w:type="dxa" w:w="1008"/>
          </w:tcPr>
          <w:p>
            <w:r>
              <w:rPr>
                <w:rFonts w:ascii="Times New Roman" w:hAnsi="Times New Roman" w:eastAsia="Times New Roman"/>
                <w:b w:val="0"/>
                <w:i w:val="0"/>
                <w:color w:val="000000"/>
                <w:sz w:val="17"/>
              </w:rPr>
              <w:t>0.988</w:t>
            </w:r>
          </w:p>
        </w:tc>
        <w:tc>
          <w:tcPr>
            <w:tcW w:type="dxa" w:w="1008"/>
          </w:tcPr>
          <w:p>
            <w:r>
              <w:rPr>
                <w:rFonts w:ascii="Times New Roman" w:hAnsi="Times New Roman" w:eastAsia="Times New Roman"/>
                <w:b w:val="0"/>
                <w:i w:val="0"/>
                <w:color w:val="000000"/>
                <w:sz w:val="17"/>
              </w:rPr>
              <w:t>0.807</w:t>
            </w:r>
          </w:p>
        </w:tc>
        <w:tc>
          <w:tcPr>
            <w:tcW w:type="dxa" w:w="1296"/>
          </w:tcPr>
          <w:p>
            <w:r>
              <w:rPr>
                <w:rFonts w:ascii="Times New Roman" w:hAnsi="Times New Roman" w:eastAsia="Times New Roman"/>
                <w:b w:val="0"/>
                <w:i w:val="0"/>
                <w:color w:val="000000"/>
                <w:sz w:val="17"/>
              </w:rPr>
              <w:t>0.902</w:t>
            </w:r>
          </w:p>
        </w:tc>
        <w:tc>
          <w:tcPr>
            <w:tcW w:type="dxa" w:w="1008"/>
          </w:tcPr>
          <w:p>
            <w:r>
              <w:rPr>
                <w:rFonts w:ascii="Times New Roman" w:hAnsi="Times New Roman" w:eastAsia="Times New Roman"/>
                <w:b w:val="0"/>
                <w:i w:val="0"/>
                <w:color w:val="000000"/>
                <w:sz w:val="17"/>
              </w:rPr>
              <w:t>0.730</w:t>
            </w:r>
          </w:p>
        </w:tc>
      </w:tr>
    </w:tbl>
    <w:p>
      <w:pPr>
        <w:spacing w:after="40"/>
      </w:pPr>
    </w:p>
    <w:p>
      <w:pPr>
        <w:spacing w:after="80"/>
      </w:pPr>
      <w:r>
        <w:rPr>
          <w:rFonts w:ascii="Times New Roman" w:hAnsi="Times New Roman" w:eastAsia="Times New Roman"/>
          <w:b w:val="0"/>
          <w:i/>
          <w:color w:val="000000"/>
          <w:sz w:val="18"/>
        </w:rPr>
        <w:t>All values are means of 2,000 bootstrap resamples of the test set (95% CIs on file); thresholds tuned only on validation data, never on test.</w:t>
      </w:r>
    </w:p>
    <w:p>
      <w:pPr>
        <w:spacing w:before="160" w:after="60"/>
      </w:pPr>
      <w:r>
        <w:rPr>
          <w:rFonts w:ascii="Times New Roman" w:hAnsi="Times New Roman" w:eastAsia="Times New Roman"/>
          <w:b/>
          <w:i w:val="0"/>
          <w:color w:val="000000"/>
          <w:sz w:val="23"/>
        </w:rPr>
        <w:t>Comparison with the Original BRSET Paper (Nakayama et al., 2024)</w:t>
      </w:r>
    </w:p>
    <w:tbl>
      <w:tblPr>
        <w:tblStyle w:val="TableGrid"/>
        <w:tblW w:type="auto" w:w="0"/>
        <w:jc w:val="center"/>
        <w:tblLook w:firstColumn="1" w:firstRow="1" w:lastColumn="0" w:lastRow="0" w:noHBand="0" w:noVBand="1" w:val="04A0"/>
      </w:tblPr>
      <w:tblGrid>
        <w:gridCol w:w="3264"/>
        <w:gridCol w:w="3264"/>
        <w:gridCol w:w="3264"/>
      </w:tblGrid>
      <w:tr>
        <w:tc>
          <w:tcPr>
            <w:tcW w:type="dxa" w:w="2304"/>
          </w:tcPr>
          <w:p>
            <w:r>
              <w:rPr>
                <w:rFonts w:ascii="Times New Roman" w:hAnsi="Times New Roman" w:eastAsia="Times New Roman"/>
                <w:b/>
                <w:i w:val="0"/>
                <w:color w:val="000000"/>
                <w:sz w:val="17"/>
              </w:rPr>
              <w:t>Metric</w:t>
            </w:r>
          </w:p>
        </w:tc>
        <w:tc>
          <w:tcPr>
            <w:tcW w:type="dxa" w:w="3312"/>
          </w:tcPr>
          <w:p>
            <w:r>
              <w:rPr>
                <w:rFonts w:ascii="Times New Roman" w:hAnsi="Times New Roman" w:eastAsia="Times New Roman"/>
                <w:b/>
                <w:i w:val="0"/>
                <w:color w:val="000000"/>
                <w:sz w:val="17"/>
              </w:rPr>
              <w:t>Paper (Binary DR)</w:t>
            </w:r>
          </w:p>
        </w:tc>
        <w:tc>
          <w:tcPr>
            <w:tcW w:type="dxa" w:w="4176"/>
          </w:tcPr>
          <w:p>
            <w:r>
              <w:rPr>
                <w:rFonts w:ascii="Times New Roman" w:hAnsi="Times New Roman" w:eastAsia="Times New Roman"/>
                <w:b/>
                <w:i w:val="0"/>
                <w:color w:val="000000"/>
                <w:sz w:val="17"/>
              </w:rPr>
              <w:t>My Model (BRSET, DR)</w:t>
            </w:r>
          </w:p>
        </w:tc>
      </w:tr>
      <w:tr>
        <w:tc>
          <w:tcPr>
            <w:tcW w:type="dxa" w:w="2304"/>
          </w:tcPr>
          <w:p>
            <w:r>
              <w:rPr>
                <w:rFonts w:ascii="Times New Roman" w:hAnsi="Times New Roman" w:eastAsia="Times New Roman"/>
                <w:b w:val="0"/>
                <w:i w:val="0"/>
                <w:color w:val="000000"/>
                <w:sz w:val="17"/>
              </w:rPr>
              <w:t>AUC</w:t>
            </w:r>
          </w:p>
        </w:tc>
        <w:tc>
          <w:tcPr>
            <w:tcW w:type="dxa" w:w="3312"/>
          </w:tcPr>
          <w:p>
            <w:r>
              <w:rPr>
                <w:rFonts w:ascii="Times New Roman" w:hAnsi="Times New Roman" w:eastAsia="Times New Roman"/>
                <w:b w:val="0"/>
                <w:i w:val="0"/>
                <w:color w:val="000000"/>
                <w:sz w:val="17"/>
              </w:rPr>
              <w:t>0.97</w:t>
            </w:r>
          </w:p>
        </w:tc>
        <w:tc>
          <w:tcPr>
            <w:tcW w:type="dxa" w:w="4176"/>
          </w:tcPr>
          <w:p>
            <w:r>
              <w:rPr>
                <w:rFonts w:ascii="Times New Roman" w:hAnsi="Times New Roman" w:eastAsia="Times New Roman"/>
                <w:b w:val="0"/>
                <w:i w:val="0"/>
                <w:color w:val="000000"/>
                <w:sz w:val="17"/>
              </w:rPr>
              <w:t>0.988 (better)</w:t>
            </w:r>
          </w:p>
        </w:tc>
      </w:tr>
      <w:tr>
        <w:tc>
          <w:tcPr>
            <w:tcW w:type="dxa" w:w="2304"/>
          </w:tcPr>
          <w:p>
            <w:r>
              <w:rPr>
                <w:rFonts w:ascii="Times New Roman" w:hAnsi="Times New Roman" w:eastAsia="Times New Roman"/>
                <w:b w:val="0"/>
                <w:i w:val="0"/>
                <w:color w:val="000000"/>
                <w:sz w:val="17"/>
              </w:rPr>
              <w:t>F1</w:t>
            </w:r>
          </w:p>
        </w:tc>
        <w:tc>
          <w:tcPr>
            <w:tcW w:type="dxa" w:w="3312"/>
          </w:tcPr>
          <w:p>
            <w:r>
              <w:rPr>
                <w:rFonts w:ascii="Times New Roman" w:hAnsi="Times New Roman" w:eastAsia="Times New Roman"/>
                <w:b w:val="0"/>
                <w:i w:val="0"/>
                <w:color w:val="000000"/>
                <w:sz w:val="17"/>
              </w:rPr>
              <w:t>0.89</w:t>
            </w:r>
          </w:p>
        </w:tc>
        <w:tc>
          <w:tcPr>
            <w:tcW w:type="dxa" w:w="4176"/>
          </w:tcPr>
          <w:p>
            <w:r>
              <w:rPr>
                <w:rFonts w:ascii="Times New Roman" w:hAnsi="Times New Roman" w:eastAsia="Times New Roman"/>
                <w:b w:val="0"/>
                <w:i w:val="0"/>
                <w:color w:val="000000"/>
                <w:sz w:val="17"/>
              </w:rPr>
              <w:t>0.869 (close, slightly below)</w:t>
            </w:r>
          </w:p>
        </w:tc>
      </w:tr>
    </w:tbl>
    <w:p>
      <w:pPr>
        <w:spacing w:after="40"/>
      </w:pPr>
    </w:p>
    <w:p>
      <w:pPr>
        <w:spacing w:after="80"/>
      </w:pPr>
      <w:r>
        <w:rPr>
          <w:rFonts w:ascii="Times New Roman" w:hAnsi="Times New Roman" w:eastAsia="Times New Roman"/>
          <w:b w:val="0"/>
          <w:i w:val="0"/>
          <w:color w:val="000000"/>
          <w:sz w:val="18"/>
        </w:rPr>
        <w:t>The paper does not report macular_edema or any per-label breakdown, so that result has no external benchmark to compare against.</w:t>
      </w:r>
    </w:p>
    <w:p>
      <w:pPr>
        <w:spacing w:before="160" w:after="60"/>
      </w:pPr>
      <w:r>
        <w:rPr>
          <w:rFonts w:ascii="Times New Roman" w:hAnsi="Times New Roman" w:eastAsia="Times New Roman"/>
          <w:b/>
          <w:i w:val="0"/>
          <w:color w:val="000000"/>
          <w:sz w:val="25"/>
        </w:rPr>
        <w:t>Training Behavior and Final Confusion Matrices</w:t>
      </w:r>
    </w:p>
    <w:p>
      <w:pPr>
        <w:jc w:val="center"/>
      </w:pPr>
      <w:r>
        <w:drawing>
          <wp:inline xmlns:a="http://schemas.openxmlformats.org/drawingml/2006/main" xmlns:pic="http://schemas.openxmlformats.org/drawingml/2006/picture">
            <wp:extent cx="5760720" cy="2073859"/>
            <wp:docPr id="1" name="Picture 1"/>
            <wp:cNvGraphicFramePr>
              <a:graphicFrameLocks noChangeAspect="1"/>
            </wp:cNvGraphicFramePr>
            <a:graphic>
              <a:graphicData uri="http://schemas.openxmlformats.org/drawingml/2006/picture">
                <pic:pic>
                  <pic:nvPicPr>
                    <pic:cNvPr id="0" name="executive_training_curves.jpg"/>
                    <pic:cNvPicPr/>
                  </pic:nvPicPr>
                  <pic:blipFill>
                    <a:blip r:embed="rId9"/>
                    <a:stretch>
                      <a:fillRect/>
                    </a:stretch>
                  </pic:blipFill>
                  <pic:spPr>
                    <a:xfrm>
                      <a:off x="0" y="0"/>
                      <a:ext cx="5760720" cy="2073859"/>
                    </a:xfrm>
                    <a:prstGeom prst="rect"/>
                  </pic:spPr>
                </pic:pic>
              </a:graphicData>
            </a:graphic>
          </wp:inline>
        </w:drawing>
      </w:r>
    </w:p>
    <w:p>
      <w:pPr>
        <w:spacing w:after="80"/>
        <w:jc w:val="center"/>
      </w:pPr>
      <w:r>
        <w:rPr>
          <w:rFonts w:ascii="Times New Roman" w:hAnsi="Times New Roman" w:eastAsia="Times New Roman"/>
          <w:b w:val="0"/>
          <w:i/>
          <w:color w:val="000000"/>
          <w:sz w:val="17"/>
        </w:rPr>
        <w:t>Figure 1. Validation macro AUC/F1 by epoch, regularized models (dashed line = best epoch). Both plateau early and remain stable - no late-stage divergence.</w:t>
      </w:r>
    </w:p>
    <w:p>
      <w:r>
        <w:br w:type="page"/>
      </w:r>
    </w:p>
    <w:p>
      <w:pPr>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confusion_matrices.jpg"/>
                    <pic:cNvPicPr/>
                  </pic:nvPicPr>
                  <pic:blipFill>
                    <a:blip r:embed="rId10"/>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2. BRSET ensemble (final model) confusion matrices, test set.</w:t>
      </w:r>
    </w:p>
    <w:p>
      <w:pPr>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confusion_matrices.jpg"/>
                    <pic:cNvPicPr/>
                  </pic:nvPicPr>
                  <pic:blipFill>
                    <a:blip r:embed="rId11"/>
                    <a:stretch>
                      <a:fillRect/>
                    </a:stretch>
                  </pic:blipFill>
                  <pic:spPr>
                    <a:xfrm>
                      <a:off x="0" y="0"/>
                      <a:ext cx="5486400" cy="2468880"/>
                    </a:xfrm>
                    <a:prstGeom prst="rect"/>
                  </pic:spPr>
                </pic:pic>
              </a:graphicData>
            </a:graphic>
          </wp:inline>
        </w:drawing>
      </w:r>
    </w:p>
    <w:p>
      <w:pPr>
        <w:spacing w:after="80"/>
        <w:jc w:val="center"/>
      </w:pPr>
      <w:r>
        <w:rPr>
          <w:rFonts w:ascii="Times New Roman" w:hAnsi="Times New Roman" w:eastAsia="Times New Roman"/>
          <w:b w:val="0"/>
          <w:i/>
          <w:color w:val="000000"/>
          <w:sz w:val="17"/>
        </w:rPr>
        <w:t>Figure 3. mBRSET regularized (final model) confusion matrices, test set.</w:t>
      </w:r>
    </w:p>
    <w:p>
      <w:pPr>
        <w:spacing w:before="160" w:after="60"/>
      </w:pPr>
      <w:r>
        <w:rPr>
          <w:rFonts w:ascii="Times New Roman" w:hAnsi="Times New Roman" w:eastAsia="Times New Roman"/>
          <w:b/>
          <w:i w:val="0"/>
          <w:color w:val="000000"/>
          <w:sz w:val="25"/>
        </w:rPr>
        <w:t>Overfitting Gap: Before vs. After Regularization</w:t>
      </w:r>
    </w:p>
    <w:tbl>
      <w:tblPr>
        <w:tblStyle w:val="TableGrid"/>
        <w:tblW w:type="auto" w:w="0"/>
        <w:jc w:val="center"/>
        <w:tblLook w:firstColumn="1" w:firstRow="1" w:lastColumn="0" w:lastRow="0" w:noHBand="0" w:noVBand="1" w:val="04A0"/>
      </w:tblPr>
      <w:tblGrid>
        <w:gridCol w:w="3264"/>
        <w:gridCol w:w="3264"/>
        <w:gridCol w:w="3264"/>
      </w:tblGrid>
      <w:tr>
        <w:tc>
          <w:tcPr>
            <w:tcW w:type="dxa" w:w="3744"/>
          </w:tcPr>
          <w:p>
            <w:r>
              <w:rPr>
                <w:rFonts w:ascii="Times New Roman" w:hAnsi="Times New Roman" w:eastAsia="Times New Roman"/>
                <w:b/>
                <w:i w:val="0"/>
                <w:color w:val="000000"/>
                <w:sz w:val="17"/>
              </w:rPr>
              <w:t>Dataset / Label</w:t>
            </w:r>
          </w:p>
        </w:tc>
        <w:tc>
          <w:tcPr>
            <w:tcW w:type="dxa" w:w="3024"/>
          </w:tcPr>
          <w:p>
            <w:r>
              <w:rPr>
                <w:rFonts w:ascii="Times New Roman" w:hAnsi="Times New Roman" w:eastAsia="Times New Roman"/>
                <w:b/>
                <w:i w:val="0"/>
                <w:color w:val="000000"/>
                <w:sz w:val="17"/>
              </w:rPr>
              <w:t>Train-Test F1 Gap Before</w:t>
            </w:r>
          </w:p>
        </w:tc>
        <w:tc>
          <w:tcPr>
            <w:tcW w:type="dxa" w:w="3024"/>
          </w:tcPr>
          <w:p>
            <w:r>
              <w:rPr>
                <w:rFonts w:ascii="Times New Roman" w:hAnsi="Times New Roman" w:eastAsia="Times New Roman"/>
                <w:b/>
                <w:i w:val="0"/>
                <w:color w:val="000000"/>
                <w:sz w:val="17"/>
              </w:rPr>
              <w:t>After</w:t>
            </w:r>
          </w:p>
        </w:tc>
      </w:tr>
      <w:tr>
        <w:tc>
          <w:tcPr>
            <w:tcW w:type="dxa" w:w="3744"/>
          </w:tcPr>
          <w:p>
            <w:r>
              <w:rPr>
                <w:rFonts w:ascii="Times New Roman" w:hAnsi="Times New Roman" w:eastAsia="Times New Roman"/>
                <w:b w:val="0"/>
                <w:i w:val="0"/>
                <w:color w:val="000000"/>
                <w:sz w:val="17"/>
              </w:rPr>
              <w:t>BRSET, diabetic_retinopathy</w:t>
            </w:r>
          </w:p>
        </w:tc>
        <w:tc>
          <w:tcPr>
            <w:tcW w:type="dxa" w:w="3024"/>
          </w:tcPr>
          <w:p>
            <w:r>
              <w:rPr>
                <w:rFonts w:ascii="Times New Roman" w:hAnsi="Times New Roman" w:eastAsia="Times New Roman"/>
                <w:b w:val="0"/>
                <w:i w:val="0"/>
                <w:color w:val="000000"/>
                <w:sz w:val="17"/>
              </w:rPr>
              <w:t>13.2 pts</w:t>
            </w:r>
          </w:p>
        </w:tc>
        <w:tc>
          <w:tcPr>
            <w:tcW w:type="dxa" w:w="3024"/>
          </w:tcPr>
          <w:p>
            <w:r>
              <w:rPr>
                <w:rFonts w:ascii="Times New Roman" w:hAnsi="Times New Roman" w:eastAsia="Times New Roman"/>
                <w:b w:val="0"/>
                <w:i w:val="0"/>
                <w:color w:val="000000"/>
                <w:sz w:val="17"/>
              </w:rPr>
              <w:t>6.4 pts</w:t>
            </w:r>
          </w:p>
        </w:tc>
      </w:tr>
      <w:tr>
        <w:tc>
          <w:tcPr>
            <w:tcW w:type="dxa" w:w="3744"/>
          </w:tcPr>
          <w:p>
            <w:r>
              <w:rPr>
                <w:rFonts w:ascii="Times New Roman" w:hAnsi="Times New Roman" w:eastAsia="Times New Roman"/>
                <w:b w:val="0"/>
                <w:i w:val="0"/>
                <w:color w:val="000000"/>
                <w:sz w:val="17"/>
              </w:rPr>
              <w:t>BRSET, macular_edema</w:t>
            </w:r>
          </w:p>
        </w:tc>
        <w:tc>
          <w:tcPr>
            <w:tcW w:type="dxa" w:w="3024"/>
          </w:tcPr>
          <w:p>
            <w:r>
              <w:rPr>
                <w:rFonts w:ascii="Times New Roman" w:hAnsi="Times New Roman" w:eastAsia="Times New Roman"/>
                <w:b w:val="0"/>
                <w:i w:val="0"/>
                <w:color w:val="000000"/>
                <w:sz w:val="17"/>
              </w:rPr>
              <w:t>23.0 pts</w:t>
            </w:r>
          </w:p>
        </w:tc>
        <w:tc>
          <w:tcPr>
            <w:tcW w:type="dxa" w:w="3024"/>
          </w:tcPr>
          <w:p>
            <w:r>
              <w:rPr>
                <w:rFonts w:ascii="Times New Roman" w:hAnsi="Times New Roman" w:eastAsia="Times New Roman"/>
                <w:b w:val="0"/>
                <w:i w:val="0"/>
                <w:color w:val="000000"/>
                <w:sz w:val="17"/>
              </w:rPr>
              <w:t>20.3 pts</w:t>
            </w:r>
          </w:p>
        </w:tc>
      </w:tr>
      <w:tr>
        <w:tc>
          <w:tcPr>
            <w:tcW w:type="dxa" w:w="3744"/>
          </w:tcPr>
          <w:p>
            <w:r>
              <w:rPr>
                <w:rFonts w:ascii="Times New Roman" w:hAnsi="Times New Roman" w:eastAsia="Times New Roman"/>
                <w:b w:val="0"/>
                <w:i w:val="0"/>
                <w:color w:val="000000"/>
                <w:sz w:val="17"/>
              </w:rPr>
              <w:t>mBRSET, diabetic_retinopathy</w:t>
            </w:r>
          </w:p>
        </w:tc>
        <w:tc>
          <w:tcPr>
            <w:tcW w:type="dxa" w:w="3024"/>
          </w:tcPr>
          <w:p>
            <w:r>
              <w:rPr>
                <w:rFonts w:ascii="Times New Roman" w:hAnsi="Times New Roman" w:eastAsia="Times New Roman"/>
                <w:b w:val="0"/>
                <w:i w:val="0"/>
                <w:color w:val="000000"/>
                <w:sz w:val="17"/>
              </w:rPr>
              <w:t>20.5 pts</w:t>
            </w:r>
          </w:p>
        </w:tc>
        <w:tc>
          <w:tcPr>
            <w:tcW w:type="dxa" w:w="3024"/>
          </w:tcPr>
          <w:p>
            <w:r>
              <w:rPr>
                <w:rFonts w:ascii="Times New Roman" w:hAnsi="Times New Roman" w:eastAsia="Times New Roman"/>
                <w:b w:val="0"/>
                <w:i w:val="0"/>
                <w:color w:val="000000"/>
                <w:sz w:val="17"/>
              </w:rPr>
              <w:t>9.1 pts</w:t>
            </w:r>
          </w:p>
        </w:tc>
      </w:tr>
      <w:tr>
        <w:tc>
          <w:tcPr>
            <w:tcW w:type="dxa" w:w="3744"/>
          </w:tcPr>
          <w:p>
            <w:r>
              <w:rPr>
                <w:rFonts w:ascii="Times New Roman" w:hAnsi="Times New Roman" w:eastAsia="Times New Roman"/>
                <w:b w:val="0"/>
                <w:i w:val="0"/>
                <w:color w:val="000000"/>
                <w:sz w:val="17"/>
              </w:rPr>
              <w:t>mBRSET, macular_edema</w:t>
            </w:r>
          </w:p>
        </w:tc>
        <w:tc>
          <w:tcPr>
            <w:tcW w:type="dxa" w:w="3024"/>
          </w:tcPr>
          <w:p>
            <w:r>
              <w:rPr>
                <w:rFonts w:ascii="Times New Roman" w:hAnsi="Times New Roman" w:eastAsia="Times New Roman"/>
                <w:b w:val="0"/>
                <w:i w:val="0"/>
                <w:color w:val="000000"/>
                <w:sz w:val="17"/>
              </w:rPr>
              <w:t>31.1 pts</w:t>
            </w:r>
          </w:p>
        </w:tc>
        <w:tc>
          <w:tcPr>
            <w:tcW w:type="dxa" w:w="3024"/>
          </w:tcPr>
          <w:p>
            <w:r>
              <w:rPr>
                <w:rFonts w:ascii="Times New Roman" w:hAnsi="Times New Roman" w:eastAsia="Times New Roman"/>
                <w:b w:val="0"/>
                <w:i w:val="0"/>
                <w:color w:val="000000"/>
                <w:sz w:val="17"/>
              </w:rPr>
              <w:t>15.9 pts</w:t>
            </w:r>
          </w:p>
        </w:tc>
      </w:tr>
    </w:tbl>
    <w:p>
      <w:pPr>
        <w:spacing w:after="40"/>
      </w:pPr>
    </w:p>
    <w:p>
      <w:pPr>
        <w:spacing w:before="160" w:after="60"/>
      </w:pPr>
      <w:r>
        <w:rPr>
          <w:rFonts w:ascii="Times New Roman" w:hAnsi="Times New Roman" w:eastAsia="Times New Roman"/>
          <w:b/>
          <w:i w:val="0"/>
          <w:color w:val="000000"/>
          <w:sz w:val="25"/>
        </w:rPr>
        <w:t>Cross-Dataset Generalization Test (Per Dr. Ye's Direction)</w:t>
      </w:r>
    </w:p>
    <w:p>
      <w:pPr>
        <w:spacing w:after="80"/>
      </w:pPr>
      <w:r>
        <w:rPr>
          <w:rFonts w:ascii="Times New Roman" w:hAnsi="Times New Roman" w:eastAsia="Times New Roman"/>
          <w:b w:val="0"/>
          <w:i w:val="0"/>
          <w:color w:val="000000"/>
          <w:sz w:val="21"/>
        </w:rPr>
        <w:t>The BRSET-trained model (unmodified) was evaluated directly on mBRSET's held-out test set - a different patient population and camera source it was never trained on - first using BRSET's own decision threshold as-is, then with only the threshold re-tuned on mBRSET's validation data (model weights untouched either way).</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tcPr>
          <w:p>
            <w:r>
              <w:rPr>
                <w:rFonts w:ascii="Times New Roman" w:hAnsi="Times New Roman" w:eastAsia="Times New Roman"/>
                <w:b/>
                <w:i w:val="0"/>
                <w:color w:val="000000"/>
                <w:sz w:val="17"/>
              </w:rPr>
              <w:t>Trained on -&gt; Tested on</w:t>
            </w:r>
          </w:p>
        </w:tc>
        <w:tc>
          <w:tcPr>
            <w:tcW w:type="dxa" w:w="1584"/>
          </w:tcPr>
          <w:p>
            <w:r>
              <w:rPr>
                <w:rFonts w:ascii="Times New Roman" w:hAnsi="Times New Roman" w:eastAsia="Times New Roman"/>
                <w:b/>
                <w:i w:val="0"/>
                <w:color w:val="000000"/>
                <w:sz w:val="17"/>
              </w:rPr>
              <w:t>AUC (DR / ME)</w:t>
            </w:r>
          </w:p>
        </w:tc>
        <w:tc>
          <w:tcPr>
            <w:tcW w:type="dxa" w:w="1584"/>
          </w:tcPr>
          <w:p>
            <w:r>
              <w:rPr>
                <w:rFonts w:ascii="Times New Roman" w:hAnsi="Times New Roman" w:eastAsia="Times New Roman"/>
                <w:b/>
                <w:i w:val="0"/>
                <w:color w:val="000000"/>
                <w:sz w:val="17"/>
              </w:rPr>
              <w:t>F1 (DR / ME)</w:t>
            </w:r>
          </w:p>
        </w:tc>
        <w:tc>
          <w:tcPr>
            <w:tcW w:type="dxa" w:w="1872"/>
          </w:tcPr>
          <w:p>
            <w:r>
              <w:rPr>
                <w:rFonts w:ascii="Times New Roman" w:hAnsi="Times New Roman" w:eastAsia="Times New Roman"/>
                <w:b/>
                <w:i w:val="0"/>
                <w:color w:val="000000"/>
                <w:sz w:val="17"/>
              </w:rPr>
              <w:t>Precision (DR / ME)</w:t>
            </w:r>
          </w:p>
        </w:tc>
        <w:tc>
          <w:tcPr>
            <w:tcW w:type="dxa" w:w="1584"/>
          </w:tcPr>
          <w:p>
            <w:r>
              <w:rPr>
                <w:rFonts w:ascii="Times New Roman" w:hAnsi="Times New Roman" w:eastAsia="Times New Roman"/>
                <w:b/>
                <w:i w:val="0"/>
                <w:color w:val="000000"/>
                <w:sz w:val="17"/>
              </w:rPr>
              <w:t>Recall (DR / ME)</w:t>
            </w:r>
          </w:p>
        </w:tc>
      </w:tr>
      <w:tr>
        <w:tc>
          <w:tcPr>
            <w:tcW w:type="dxa" w:w="2736"/>
          </w:tcPr>
          <w:p>
            <w:r>
              <w:rPr>
                <w:rFonts w:ascii="Times New Roman" w:hAnsi="Times New Roman" w:eastAsia="Times New Roman"/>
                <w:b w:val="0"/>
                <w:i w:val="0"/>
                <w:color w:val="000000"/>
                <w:sz w:val="17"/>
              </w:rPr>
              <w:t>BRSET -&gt; BRSET (in-domain)</w:t>
            </w:r>
          </w:p>
        </w:tc>
        <w:tc>
          <w:tcPr>
            <w:tcW w:type="dxa" w:w="1584"/>
          </w:tcPr>
          <w:p>
            <w:r>
              <w:rPr>
                <w:rFonts w:ascii="Times New Roman" w:hAnsi="Times New Roman" w:eastAsia="Times New Roman"/>
                <w:b w:val="0"/>
                <w:i w:val="0"/>
                <w:color w:val="000000"/>
                <w:sz w:val="17"/>
              </w:rPr>
              <w:t>0.988 / 0.994</w:t>
            </w:r>
          </w:p>
        </w:tc>
        <w:tc>
          <w:tcPr>
            <w:tcW w:type="dxa" w:w="1584"/>
          </w:tcPr>
          <w:p>
            <w:r>
              <w:rPr>
                <w:rFonts w:ascii="Times New Roman" w:hAnsi="Times New Roman" w:eastAsia="Times New Roman"/>
                <w:b w:val="0"/>
                <w:i w:val="0"/>
                <w:color w:val="000000"/>
                <w:sz w:val="17"/>
              </w:rPr>
              <w:t>0.869 / 0.790</w:t>
            </w:r>
          </w:p>
        </w:tc>
        <w:tc>
          <w:tcPr>
            <w:tcW w:type="dxa" w:w="1872"/>
          </w:tcPr>
          <w:p>
            <w:r>
              <w:rPr>
                <w:rFonts w:ascii="Times New Roman" w:hAnsi="Times New Roman" w:eastAsia="Times New Roman"/>
                <w:b w:val="0"/>
                <w:i w:val="0"/>
                <w:color w:val="000000"/>
                <w:sz w:val="17"/>
              </w:rPr>
              <w:t>0.861 / 0.810</w:t>
            </w:r>
          </w:p>
        </w:tc>
        <w:tc>
          <w:tcPr>
            <w:tcW w:type="dxa" w:w="1584"/>
          </w:tcPr>
          <w:p>
            <w:r>
              <w:rPr>
                <w:rFonts w:ascii="Times New Roman" w:hAnsi="Times New Roman" w:eastAsia="Times New Roman"/>
                <w:b w:val="0"/>
                <w:i w:val="0"/>
                <w:color w:val="000000"/>
                <w:sz w:val="17"/>
              </w:rPr>
              <w:t>0.877 / 0.770</w:t>
            </w:r>
          </w:p>
        </w:tc>
      </w:tr>
      <w:tr>
        <w:tc>
          <w:tcPr>
            <w:tcW w:type="dxa" w:w="2736"/>
          </w:tcPr>
          <w:p>
            <w:r>
              <w:rPr>
                <w:rFonts w:ascii="Times New Roman" w:hAnsi="Times New Roman" w:eastAsia="Times New Roman"/>
                <w:b w:val="0"/>
                <w:i w:val="0"/>
                <w:color w:val="000000"/>
                <w:sz w:val="17"/>
              </w:rPr>
              <w:t>mBRSET -&gt; mBRSET (in-domain)</w:t>
            </w:r>
          </w:p>
        </w:tc>
        <w:tc>
          <w:tcPr>
            <w:tcW w:type="dxa" w:w="1584"/>
          </w:tcPr>
          <w:p>
            <w:r>
              <w:rPr>
                <w:rFonts w:ascii="Times New Roman" w:hAnsi="Times New Roman" w:eastAsia="Times New Roman"/>
                <w:b w:val="0"/>
                <w:i w:val="0"/>
                <w:color w:val="000000"/>
                <w:sz w:val="17"/>
              </w:rPr>
              <w:t>0.939 / 0.988</w:t>
            </w:r>
          </w:p>
        </w:tc>
        <w:tc>
          <w:tcPr>
            <w:tcW w:type="dxa" w:w="1584"/>
          </w:tcPr>
          <w:p>
            <w:r>
              <w:rPr>
                <w:rFonts w:ascii="Times New Roman" w:hAnsi="Times New Roman" w:eastAsia="Times New Roman"/>
                <w:b w:val="0"/>
                <w:i w:val="0"/>
                <w:color w:val="000000"/>
                <w:sz w:val="17"/>
              </w:rPr>
              <w:t>0.815 / 0.807</w:t>
            </w:r>
          </w:p>
        </w:tc>
        <w:tc>
          <w:tcPr>
            <w:tcW w:type="dxa" w:w="1872"/>
          </w:tcPr>
          <w:p>
            <w:r>
              <w:rPr>
                <w:rFonts w:ascii="Times New Roman" w:hAnsi="Times New Roman" w:eastAsia="Times New Roman"/>
                <w:b w:val="0"/>
                <w:i w:val="0"/>
                <w:color w:val="000000"/>
                <w:sz w:val="17"/>
              </w:rPr>
              <w:t>0.860 / 0.902</w:t>
            </w:r>
          </w:p>
        </w:tc>
        <w:tc>
          <w:tcPr>
            <w:tcW w:type="dxa" w:w="1584"/>
          </w:tcPr>
          <w:p>
            <w:r>
              <w:rPr>
                <w:rFonts w:ascii="Times New Roman" w:hAnsi="Times New Roman" w:eastAsia="Times New Roman"/>
                <w:b w:val="0"/>
                <w:i w:val="0"/>
                <w:color w:val="000000"/>
                <w:sz w:val="17"/>
              </w:rPr>
              <w:t>0.774 / 0.730</w:t>
            </w:r>
          </w:p>
        </w:tc>
      </w:tr>
      <w:tr>
        <w:tc>
          <w:tcPr>
            <w:tcW w:type="dxa" w:w="2736"/>
          </w:tcPr>
          <w:p>
            <w:r>
              <w:rPr>
                <w:rFonts w:ascii="Times New Roman" w:hAnsi="Times New Roman" w:eastAsia="Times New Roman"/>
                <w:b w:val="0"/>
                <w:i w:val="0"/>
                <w:color w:val="000000"/>
                <w:sz w:val="17"/>
              </w:rPr>
              <w:t>BRSET -&gt; mBRSET, raw threshold</w:t>
            </w:r>
          </w:p>
        </w:tc>
        <w:tc>
          <w:tcPr>
            <w:tcW w:type="dxa" w:w="1584"/>
          </w:tcPr>
          <w:p>
            <w:r>
              <w:rPr>
                <w:rFonts w:ascii="Times New Roman" w:hAnsi="Times New Roman" w:eastAsia="Times New Roman"/>
                <w:b w:val="0"/>
                <w:i w:val="0"/>
                <w:color w:val="000000"/>
                <w:sz w:val="17"/>
              </w:rPr>
              <w:t>0.909 / 0.933</w:t>
            </w:r>
          </w:p>
        </w:tc>
        <w:tc>
          <w:tcPr>
            <w:tcW w:type="dxa" w:w="1584"/>
          </w:tcPr>
          <w:p>
            <w:r>
              <w:rPr>
                <w:rFonts w:ascii="Times New Roman" w:hAnsi="Times New Roman" w:eastAsia="Times New Roman"/>
                <w:b w:val="0"/>
                <w:i w:val="0"/>
                <w:color w:val="000000"/>
                <w:sz w:val="17"/>
              </w:rPr>
              <w:t>0.661 / 0.566</w:t>
            </w:r>
          </w:p>
        </w:tc>
        <w:tc>
          <w:tcPr>
            <w:tcW w:type="dxa" w:w="1872"/>
          </w:tcPr>
          <w:p>
            <w:r>
              <w:rPr>
                <w:rFonts w:ascii="Times New Roman" w:hAnsi="Times New Roman" w:eastAsia="Times New Roman"/>
                <w:b w:val="0"/>
                <w:i w:val="0"/>
                <w:color w:val="000000"/>
                <w:sz w:val="17"/>
              </w:rPr>
              <w:t>0.964 / 0.778</w:t>
            </w:r>
          </w:p>
        </w:tc>
        <w:tc>
          <w:tcPr>
            <w:tcW w:type="dxa" w:w="1584"/>
          </w:tcPr>
          <w:p>
            <w:r>
              <w:rPr>
                <w:rFonts w:ascii="Times New Roman" w:hAnsi="Times New Roman" w:eastAsia="Times New Roman"/>
                <w:b w:val="0"/>
                <w:i w:val="0"/>
                <w:color w:val="000000"/>
                <w:sz w:val="17"/>
              </w:rPr>
              <w:t>0.503 / 0.444</w:t>
            </w:r>
          </w:p>
        </w:tc>
      </w:tr>
      <w:tr>
        <w:tc>
          <w:tcPr>
            <w:tcW w:type="dxa" w:w="2736"/>
          </w:tcPr>
          <w:p>
            <w:r>
              <w:rPr>
                <w:rFonts w:ascii="Times New Roman" w:hAnsi="Times New Roman" w:eastAsia="Times New Roman"/>
                <w:b w:val="0"/>
                <w:i w:val="0"/>
                <w:color w:val="000000"/>
                <w:sz w:val="17"/>
              </w:rPr>
              <w:t>BRSET -&gt; mBRSET, recalibrated</w:t>
            </w:r>
          </w:p>
        </w:tc>
        <w:tc>
          <w:tcPr>
            <w:tcW w:type="dxa" w:w="1584"/>
          </w:tcPr>
          <w:p>
            <w:r>
              <w:rPr>
                <w:rFonts w:ascii="Times New Roman" w:hAnsi="Times New Roman" w:eastAsia="Times New Roman"/>
                <w:b w:val="0"/>
                <w:i w:val="0"/>
                <w:color w:val="000000"/>
                <w:sz w:val="17"/>
              </w:rPr>
              <w:t>0.909 / 0.933</w:t>
            </w:r>
          </w:p>
        </w:tc>
        <w:tc>
          <w:tcPr>
            <w:tcW w:type="dxa" w:w="1584"/>
          </w:tcPr>
          <w:p>
            <w:r>
              <w:rPr>
                <w:rFonts w:ascii="Times New Roman" w:hAnsi="Times New Roman" w:eastAsia="Times New Roman"/>
                <w:b w:val="0"/>
                <w:i w:val="0"/>
                <w:color w:val="000000"/>
                <w:sz w:val="17"/>
              </w:rPr>
              <w:t>0.717 / 0.628</w:t>
            </w:r>
          </w:p>
        </w:tc>
        <w:tc>
          <w:tcPr>
            <w:tcW w:type="dxa" w:w="1872"/>
          </w:tcPr>
          <w:p>
            <w:r>
              <w:rPr>
                <w:rFonts w:ascii="Times New Roman" w:hAnsi="Times New Roman" w:eastAsia="Times New Roman"/>
                <w:b w:val="0"/>
                <w:i w:val="0"/>
                <w:color w:val="000000"/>
                <w:sz w:val="17"/>
              </w:rPr>
              <w:t>0.663 / 0.655</w:t>
            </w:r>
          </w:p>
        </w:tc>
        <w:tc>
          <w:tcPr>
            <w:tcW w:type="dxa" w:w="1584"/>
          </w:tcPr>
          <w:p>
            <w:r>
              <w:rPr>
                <w:rFonts w:ascii="Times New Roman" w:hAnsi="Times New Roman" w:eastAsia="Times New Roman"/>
                <w:b w:val="0"/>
                <w:i w:val="0"/>
                <w:color w:val="000000"/>
                <w:sz w:val="17"/>
              </w:rPr>
              <w:t>0.780 / 0.603</w:t>
            </w:r>
          </w:p>
        </w:tc>
      </w:tr>
    </w:tbl>
    <w:p>
      <w:pPr>
        <w:spacing w:after="40"/>
      </w:pPr>
    </w:p>
    <w:p>
      <w:pPr>
        <w:spacing w:after="80"/>
      </w:pPr>
      <w:r>
        <w:rPr>
          <w:rFonts w:ascii="Times New Roman" w:hAnsi="Times New Roman" w:eastAsia="Times New Roman"/>
          <w:b w:val="0"/>
          <w:i w:val="0"/>
          <w:color w:val="000000"/>
          <w:sz w:val="20"/>
        </w:rPr>
        <w:t>AUC barely moved when crossing datasets (0.988-&gt;0.909, 0.994-&gt;0.933), meaning the model's underlying sense of sick-versus-healthy transferred well. F1 and recall dropped sharply at BRSET's own threshold, but re-tuning only the cutoff - no retraining - recovered a large share of that loss (recall 0.503-&gt;0.780 on diabetic retinopathy). The threshold had to drop from 0.61 to 0.19, showing mBRSET's images produce systematically lower confidence scores from this model - a calibration shift between the two data sources, not a failure to recognize disease. A smaller, genuine gap remains even after recalibration (0.717 vs. 0.815 F1), which is the honest cost of not training on mBRSET directly.</w:t>
      </w:r>
    </w:p>
    <w:p>
      <w:r>
        <w:br w:type="page"/>
      </w:r>
    </w:p>
    <w:p>
      <w:pPr>
        <w:spacing w:before="160" w:after="60"/>
      </w:pPr>
      <w:r>
        <w:rPr>
          <w:rFonts w:ascii="Times New Roman" w:hAnsi="Times New Roman" w:eastAsia="Times New Roman"/>
          <w:b/>
          <w:i w:val="0"/>
          <w:color w:val="000000"/>
          <w:sz w:val="25"/>
        </w:rPr>
        <w:t>Mixture-of-Experts Analysis: Redundant / Unique / Synergistic Information</w:t>
      </w:r>
    </w:p>
    <w:p>
      <w:pPr>
        <w:spacing w:after="80"/>
      </w:pPr>
      <w:r>
        <w:rPr>
          <w:rFonts w:ascii="Times New Roman" w:hAnsi="Times New Roman" w:eastAsia="Times New Roman"/>
          <w:b w:val="0"/>
          <w:i w:val="0"/>
          <w:color w:val="000000"/>
          <w:sz w:val="20"/>
        </w:rPr>
        <w:t>Per Dr. Ye's direction, I tested whether combining the BRSET-trained and mBRSET-trained models (as two "experts") can recover some of the residual cross-dataset gap above. Partial Information Decomposition (Williams &amp; Beer, 2010) splits what the two experts' decisions jointly reveal about the true label, on mBRSET's test set, into three parts: information both experts already agree on (redundant), information only one expert carries (unique), and information that only appears when both are considered together (synergistic).</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304"/>
          </w:tcPr>
          <w:p>
            <w:r>
              <w:rPr>
                <w:rFonts w:ascii="Times New Roman" w:hAnsi="Times New Roman" w:eastAsia="Times New Roman"/>
                <w:b/>
                <w:i w:val="0"/>
                <w:color w:val="000000"/>
                <w:sz w:val="17"/>
              </w:rPr>
              <w:t>Label</w:t>
            </w:r>
          </w:p>
        </w:tc>
        <w:tc>
          <w:tcPr>
            <w:tcW w:type="dxa" w:w="1728"/>
          </w:tcPr>
          <w:p>
            <w:r>
              <w:rPr>
                <w:rFonts w:ascii="Times New Roman" w:hAnsi="Times New Roman" w:eastAsia="Times New Roman"/>
                <w:b/>
                <w:i w:val="0"/>
                <w:color w:val="000000"/>
                <w:sz w:val="17"/>
              </w:rPr>
              <w:t>Redundant</w:t>
            </w:r>
          </w:p>
        </w:tc>
        <w:tc>
          <w:tcPr>
            <w:tcW w:type="dxa" w:w="2304"/>
          </w:tcPr>
          <w:p>
            <w:r>
              <w:rPr>
                <w:rFonts w:ascii="Times New Roman" w:hAnsi="Times New Roman" w:eastAsia="Times New Roman"/>
                <w:b/>
                <w:i w:val="0"/>
                <w:color w:val="000000"/>
                <w:sz w:val="17"/>
              </w:rPr>
              <w:t>Unique to BRSET-expert</w:t>
            </w:r>
          </w:p>
        </w:tc>
        <w:tc>
          <w:tcPr>
            <w:tcW w:type="dxa" w:w="2448"/>
          </w:tcPr>
          <w:p>
            <w:r>
              <w:rPr>
                <w:rFonts w:ascii="Times New Roman" w:hAnsi="Times New Roman" w:eastAsia="Times New Roman"/>
                <w:b/>
                <w:i w:val="0"/>
                <w:color w:val="000000"/>
                <w:sz w:val="17"/>
              </w:rPr>
              <w:t>Unique to mBRSET-expert</w:t>
            </w:r>
          </w:p>
        </w:tc>
        <w:tc>
          <w:tcPr>
            <w:tcW w:type="dxa" w:w="1296"/>
          </w:tcPr>
          <w:p>
            <w:r>
              <w:rPr>
                <w:rFonts w:ascii="Times New Roman" w:hAnsi="Times New Roman" w:eastAsia="Times New Roman"/>
                <w:b/>
                <w:i w:val="0"/>
                <w:color w:val="000000"/>
                <w:sz w:val="17"/>
              </w:rPr>
              <w:t>Synergy</w:t>
            </w:r>
          </w:p>
        </w:tc>
      </w:tr>
      <w:tr>
        <w:tc>
          <w:tcPr>
            <w:tcW w:type="dxa" w:w="2304"/>
          </w:tcPr>
          <w:p>
            <w:r>
              <w:rPr>
                <w:rFonts w:ascii="Times New Roman" w:hAnsi="Times New Roman" w:eastAsia="Times New Roman"/>
                <w:b w:val="0"/>
                <w:i w:val="0"/>
                <w:color w:val="000000"/>
                <w:sz w:val="17"/>
              </w:rPr>
              <w:t>Diabetic Retinopathy</w:t>
            </w:r>
          </w:p>
        </w:tc>
        <w:tc>
          <w:tcPr>
            <w:tcW w:type="dxa" w:w="1728"/>
          </w:tcPr>
          <w:p>
            <w:r>
              <w:rPr>
                <w:rFonts w:ascii="Times New Roman" w:hAnsi="Times New Roman" w:eastAsia="Times New Roman"/>
                <w:b w:val="0"/>
                <w:i w:val="0"/>
                <w:color w:val="000000"/>
                <w:sz w:val="17"/>
              </w:rPr>
              <w:t>61.8%</w:t>
            </w:r>
          </w:p>
        </w:tc>
        <w:tc>
          <w:tcPr>
            <w:tcW w:type="dxa" w:w="2304"/>
          </w:tcPr>
          <w:p>
            <w:r>
              <w:rPr>
                <w:rFonts w:ascii="Times New Roman" w:hAnsi="Times New Roman" w:eastAsia="Times New Roman"/>
                <w:b w:val="0"/>
                <w:i w:val="0"/>
                <w:color w:val="000000"/>
                <w:sz w:val="17"/>
              </w:rPr>
              <w:t>0.0%</w:t>
            </w:r>
          </w:p>
        </w:tc>
        <w:tc>
          <w:tcPr>
            <w:tcW w:type="dxa" w:w="2448"/>
          </w:tcPr>
          <w:p>
            <w:r>
              <w:rPr>
                <w:rFonts w:ascii="Times New Roman" w:hAnsi="Times New Roman" w:eastAsia="Times New Roman"/>
                <w:b w:val="0"/>
                <w:i w:val="0"/>
                <w:color w:val="000000"/>
                <w:sz w:val="17"/>
              </w:rPr>
              <w:t>28.5%</w:t>
            </w:r>
          </w:p>
        </w:tc>
        <w:tc>
          <w:tcPr>
            <w:tcW w:type="dxa" w:w="1296"/>
          </w:tcPr>
          <w:p>
            <w:r>
              <w:rPr>
                <w:rFonts w:ascii="Times New Roman" w:hAnsi="Times New Roman" w:eastAsia="Times New Roman"/>
                <w:b w:val="0"/>
                <w:i w:val="0"/>
                <w:color w:val="000000"/>
                <w:sz w:val="17"/>
              </w:rPr>
              <w:t>9.6%</w:t>
            </w:r>
          </w:p>
        </w:tc>
      </w:tr>
      <w:tr>
        <w:tc>
          <w:tcPr>
            <w:tcW w:type="dxa" w:w="2304"/>
          </w:tcPr>
          <w:p>
            <w:r>
              <w:rPr>
                <w:rFonts w:ascii="Times New Roman" w:hAnsi="Times New Roman" w:eastAsia="Times New Roman"/>
                <w:b w:val="0"/>
                <w:i w:val="0"/>
                <w:color w:val="000000"/>
                <w:sz w:val="17"/>
              </w:rPr>
              <w:t>Macular Edema</w:t>
            </w:r>
          </w:p>
        </w:tc>
        <w:tc>
          <w:tcPr>
            <w:tcW w:type="dxa" w:w="1728"/>
          </w:tcPr>
          <w:p>
            <w:r>
              <w:rPr>
                <w:rFonts w:ascii="Times New Roman" w:hAnsi="Times New Roman" w:eastAsia="Times New Roman"/>
                <w:b w:val="0"/>
                <w:i w:val="0"/>
                <w:color w:val="000000"/>
                <w:sz w:val="17"/>
              </w:rPr>
              <w:t>47.2%</w:t>
            </w:r>
          </w:p>
        </w:tc>
        <w:tc>
          <w:tcPr>
            <w:tcW w:type="dxa" w:w="2304"/>
          </w:tcPr>
          <w:p>
            <w:r>
              <w:rPr>
                <w:rFonts w:ascii="Times New Roman" w:hAnsi="Times New Roman" w:eastAsia="Times New Roman"/>
                <w:b w:val="0"/>
                <w:i w:val="0"/>
                <w:color w:val="000000"/>
                <w:sz w:val="17"/>
              </w:rPr>
              <w:t>0.0%</w:t>
            </w:r>
          </w:p>
        </w:tc>
        <w:tc>
          <w:tcPr>
            <w:tcW w:type="dxa" w:w="2448"/>
          </w:tcPr>
          <w:p>
            <w:r>
              <w:rPr>
                <w:rFonts w:ascii="Times New Roman" w:hAnsi="Times New Roman" w:eastAsia="Times New Roman"/>
                <w:b w:val="0"/>
                <w:i w:val="0"/>
                <w:color w:val="000000"/>
                <w:sz w:val="17"/>
              </w:rPr>
              <w:t>51.4%</w:t>
            </w:r>
          </w:p>
        </w:tc>
        <w:tc>
          <w:tcPr>
            <w:tcW w:type="dxa" w:w="1296"/>
          </w:tcPr>
          <w:p>
            <w:r>
              <w:rPr>
                <w:rFonts w:ascii="Times New Roman" w:hAnsi="Times New Roman" w:eastAsia="Times New Roman"/>
                <w:b w:val="0"/>
                <w:i w:val="0"/>
                <w:color w:val="000000"/>
                <w:sz w:val="17"/>
              </w:rPr>
              <w:t>1.5%</w:t>
            </w:r>
          </w:p>
        </w:tc>
      </w:tr>
    </w:tbl>
    <w:p>
      <w:pPr>
        <w:spacing w:after="40"/>
      </w:pPr>
    </w:p>
    <w:p>
      <w:pPr>
        <w:spacing w:after="80"/>
      </w:pPr>
      <w:r>
        <w:rPr>
          <w:rFonts w:ascii="Times New Roman" w:hAnsi="Times New Roman" w:eastAsia="Times New Roman"/>
          <w:b w:val="0"/>
          <w:i w:val="0"/>
          <w:color w:val="000000"/>
          <w:sz w:val="20"/>
        </w:rPr>
        <w:t>The BRSET-expert contributes essentially no unique information beyond what the mBRSET-expert already provides for either label - expected, since the mBRSET-expert is trained directly on this data. The synergy term is what matters: real, if modest, for diabetic retinopathy (9.6%), and close to negligible for macular edema (1.5%). I built a small logistic gate combining both experts' probabilities (trained on mBRSET validation data only, applied once to test) to see if that synergy is actually usable: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592"/>
          </w:tcPr>
          <w:p>
            <w:r>
              <w:rPr>
                <w:rFonts w:ascii="Times New Roman" w:hAnsi="Times New Roman" w:eastAsia="Times New Roman"/>
                <w:b/>
                <w:i w:val="0"/>
                <w:color w:val="000000"/>
                <w:sz w:val="17"/>
              </w:rPr>
              <w:t>Label</w:t>
            </w:r>
          </w:p>
        </w:tc>
        <w:tc>
          <w:tcPr>
            <w:tcW w:type="dxa" w:w="2160"/>
          </w:tcPr>
          <w:p>
            <w:r>
              <w:rPr>
                <w:rFonts w:ascii="Times New Roman" w:hAnsi="Times New Roman" w:eastAsia="Times New Roman"/>
                <w:b/>
                <w:i w:val="0"/>
                <w:color w:val="000000"/>
                <w:sz w:val="17"/>
              </w:rPr>
              <w:t>mBRSET-Alone F1</w:t>
            </w:r>
          </w:p>
        </w:tc>
        <w:tc>
          <w:tcPr>
            <w:tcW w:type="dxa" w:w="2016"/>
          </w:tcPr>
          <w:p>
            <w:r>
              <w:rPr>
                <w:rFonts w:ascii="Times New Roman" w:hAnsi="Times New Roman" w:eastAsia="Times New Roman"/>
                <w:b/>
                <w:i w:val="0"/>
                <w:color w:val="000000"/>
                <w:sz w:val="17"/>
              </w:rPr>
              <w:t>Gated MoE F1</w:t>
            </w:r>
          </w:p>
        </w:tc>
        <w:tc>
          <w:tcPr>
            <w:tcW w:type="dxa" w:w="3312"/>
          </w:tcPr>
          <w:p>
            <w:r>
              <w:rPr>
                <w:rFonts w:ascii="Times New Roman" w:hAnsi="Times New Roman" w:eastAsia="Times New Roman"/>
                <w:b/>
                <w:i w:val="0"/>
                <w:color w:val="000000"/>
                <w:sz w:val="17"/>
              </w:rPr>
              <w:t>Result</w:t>
            </w:r>
          </w:p>
        </w:tc>
      </w:tr>
      <w:tr>
        <w:tc>
          <w:tcPr>
            <w:tcW w:type="dxa" w:w="2592"/>
          </w:tcPr>
          <w:p>
            <w:r>
              <w:rPr>
                <w:rFonts w:ascii="Times New Roman" w:hAnsi="Times New Roman" w:eastAsia="Times New Roman"/>
                <w:b w:val="0"/>
                <w:i w:val="0"/>
                <w:color w:val="000000"/>
                <w:sz w:val="17"/>
              </w:rPr>
              <w:t>Diabetic Retinopathy</w:t>
            </w:r>
          </w:p>
        </w:tc>
        <w:tc>
          <w:tcPr>
            <w:tcW w:type="dxa" w:w="2160"/>
          </w:tcPr>
          <w:p>
            <w:r>
              <w:rPr>
                <w:rFonts w:ascii="Times New Roman" w:hAnsi="Times New Roman" w:eastAsia="Times New Roman"/>
                <w:b w:val="0"/>
                <w:i w:val="0"/>
                <w:color w:val="000000"/>
                <w:sz w:val="17"/>
              </w:rPr>
              <w:t>0.815</w:t>
            </w:r>
          </w:p>
        </w:tc>
        <w:tc>
          <w:tcPr>
            <w:tcW w:type="dxa" w:w="2016"/>
          </w:tcPr>
          <w:p>
            <w:r>
              <w:rPr>
                <w:rFonts w:ascii="Times New Roman" w:hAnsi="Times New Roman" w:eastAsia="Times New Roman"/>
                <w:b w:val="0"/>
                <w:i w:val="0"/>
                <w:color w:val="000000"/>
                <w:sz w:val="17"/>
              </w:rPr>
              <w:t>0.822</w:t>
            </w:r>
          </w:p>
        </w:tc>
        <w:tc>
          <w:tcPr>
            <w:tcW w:type="dxa" w:w="3312"/>
          </w:tcPr>
          <w:p>
            <w:r>
              <w:rPr>
                <w:rFonts w:ascii="Times New Roman" w:hAnsi="Times New Roman" w:eastAsia="Times New Roman"/>
                <w:b w:val="0"/>
                <w:i w:val="0"/>
                <w:color w:val="000000"/>
                <w:sz w:val="17"/>
              </w:rPr>
              <w:t>small genuine gain</w:t>
            </w:r>
          </w:p>
        </w:tc>
      </w:tr>
      <w:tr>
        <w:tc>
          <w:tcPr>
            <w:tcW w:type="dxa" w:w="2592"/>
          </w:tcPr>
          <w:p>
            <w:r>
              <w:rPr>
                <w:rFonts w:ascii="Times New Roman" w:hAnsi="Times New Roman" w:eastAsia="Times New Roman"/>
                <w:b w:val="0"/>
                <w:i w:val="0"/>
                <w:color w:val="000000"/>
                <w:sz w:val="17"/>
              </w:rPr>
              <w:t>Macular Edema</w:t>
            </w:r>
          </w:p>
        </w:tc>
        <w:tc>
          <w:tcPr>
            <w:tcW w:type="dxa" w:w="2160"/>
          </w:tcPr>
          <w:p>
            <w:r>
              <w:rPr>
                <w:rFonts w:ascii="Times New Roman" w:hAnsi="Times New Roman" w:eastAsia="Times New Roman"/>
                <w:b w:val="0"/>
                <w:i w:val="0"/>
                <w:color w:val="000000"/>
                <w:sz w:val="17"/>
              </w:rPr>
              <w:t>0.807</w:t>
            </w:r>
          </w:p>
        </w:tc>
        <w:tc>
          <w:tcPr>
            <w:tcW w:type="dxa" w:w="2016"/>
          </w:tcPr>
          <w:p>
            <w:r>
              <w:rPr>
                <w:rFonts w:ascii="Times New Roman" w:hAnsi="Times New Roman" w:eastAsia="Times New Roman"/>
                <w:b w:val="0"/>
                <w:i w:val="0"/>
                <w:color w:val="000000"/>
                <w:sz w:val="17"/>
              </w:rPr>
              <w:t>0.727</w:t>
            </w:r>
          </w:p>
        </w:tc>
        <w:tc>
          <w:tcPr>
            <w:tcW w:type="dxa" w:w="3312"/>
          </w:tcPr>
          <w:p>
            <w:r>
              <w:rPr>
                <w:rFonts w:ascii="Times New Roman" w:hAnsi="Times New Roman" w:eastAsia="Times New Roman"/>
                <w:b w:val="0"/>
                <w:i w:val="0"/>
                <w:color w:val="000000"/>
                <w:sz w:val="17"/>
              </w:rPr>
              <w:t>worse - not used</w:t>
            </w:r>
          </w:p>
        </w:tc>
      </w:tr>
    </w:tbl>
    <w:p>
      <w:pPr>
        <w:spacing w:after="40"/>
      </w:pPr>
    </w:p>
    <w:p>
      <w:pPr>
        <w:spacing w:after="80"/>
      </w:pPr>
      <w:r>
        <w:rPr>
          <w:rFonts w:ascii="Times New Roman" w:hAnsi="Times New Roman" w:eastAsia="Times New Roman"/>
          <w:b w:val="0"/>
          <w:i w:val="0"/>
          <w:color w:val="000000"/>
          <w:sz w:val="20"/>
        </w:rPr>
        <w:t>The gate improved diabetic retinopathy and made macular edema worse - exactly matching which label the synergy analysis predicted would benefit. Rather than deploy a 3-model ensemble for a small gain, I am distilling the gate's diabetic-retinopathy behavior into a single fine-tuned model (macular edema is left on the existing mBRSET model, untouched, since combining experts does not help it); this is in progress.</w:t>
      </w:r>
    </w:p>
    <w:p>
      <w:pPr>
        <w:spacing w:before="160" w:after="60"/>
      </w:pPr>
      <w:r>
        <w:rPr>
          <w:rFonts w:ascii="Times New Roman" w:hAnsi="Times New Roman" w:eastAsia="Times New Roman"/>
          <w:b/>
          <w:i w:val="0"/>
          <w:color w:val="000000"/>
          <w:sz w:val="25"/>
        </w:rPr>
        <w:t>Conclusion</w:t>
      </w:r>
    </w:p>
    <w:p>
      <w:pPr>
        <w:spacing w:after="80"/>
      </w:pPr>
      <w:r>
        <w:rPr>
          <w:rFonts w:ascii="Times New Roman" w:hAnsi="Times New Roman" w:eastAsia="Times New Roman"/>
          <w:b w:val="0"/>
          <w:i w:val="0"/>
          <w:color w:val="000000"/>
          <w:sz w:val="21"/>
        </w:rPr>
        <w:t>These are strong baseline models, not a rough starting point. Across both datasets, every AUC clears 0.93 and reaches 0.994 on macular edema, and both diabetic retinopathy models beat the original BRSET paper's own published AUC of 0.97. What matters more than the headline numbers is that the overfitting I diagnosed early on is now substantially fixed, not just written down: the training-to-test performance gap, once as wide as 31 points of F1 on mBRSET, is now under 16 points everywhere and as low as 6 points on BRSET's strongest label. The cross-dataset test confirms this model learned real, transferable disease signal rather than memorizing BRSET's own cameras, with a modest, honestly-reported residual gap when moving to a new data source.</w:t>
      </w:r>
    </w:p>
    <w:p>
      <w:pPr>
        <w:spacing w:after="80"/>
      </w:pPr>
      <w:r>
        <w:rPr>
          <w:rFonts w:ascii="Times New Roman" w:hAnsi="Times New Roman" w:eastAsia="Times New Roman"/>
          <w:b w:val="0"/>
          <w:i w:val="0"/>
          <w:color w:val="000000"/>
          <w:sz w:val="21"/>
        </w:rPr>
        <w:t>Three directions remain open. The mixture-of-experts distillation above is underway now, targeting the residual cross-dataset gap on diabetic retinopathy specifically. I scoped out using generative models to synthesize additional training images for the rarest condition, macular edema, but held off deliberately - that technique needs expert clinical review to confirm the synthetic images are medically realistic. Per-dataset k-fold cross-validation is planned next to confirm these results hold across different patient splits, not just the one used here.</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