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Times New Roman"/>
          <w:b/>
          <w:i w:val="0"/>
          <w:color w:val="000000"/>
          <w:sz w:val="29"/>
        </w:rPr>
        <w:t>ConvNeXt V2 on BRSET and mBRSET: Strong Baseline Models for Diabetic Retinopathy and Macular Edema Classification</w:t>
      </w:r>
    </w:p>
    <w:p>
      <w:pPr>
        <w:spacing w:after="160"/>
        <w:jc w:val="center"/>
      </w:pPr>
      <w:r>
        <w:rPr>
          <w:rFonts w:ascii="Times New Roman" w:hAnsi="Times New Roman" w:eastAsia="Times New Roman"/>
          <w:b w:val="0"/>
          <w:i/>
          <w:color w:val="000000"/>
          <w:sz w:val="22"/>
        </w:rPr>
        <w:t>Executive Summary</w:t>
      </w:r>
    </w:p>
    <w:p>
      <w:pPr>
        <w:spacing w:after="200"/>
        <w:jc w:val="center"/>
      </w:pPr>
      <w:r>
        <w:rPr>
          <w:rFonts w:ascii="Times New Roman" w:hAnsi="Times New Roman" w:eastAsia="Times New Roman"/>
          <w:b w:val="0"/>
          <w:i w:val="0"/>
          <w:color w:val="000000"/>
          <w:sz w:val="19"/>
        </w:rPr>
        <w:t>Sahith Reddy Thummala (Panther ID 002856791)  |  For: Dr. Dong Hye Ye  |  cc: Nagur Shareef Shaik  |  July 29, 2026</w:t>
      </w:r>
    </w:p>
    <w:p>
      <w:pPr>
        <w:spacing w:before="160" w:after="60"/>
      </w:pPr>
      <w:r>
        <w:rPr>
          <w:rFonts w:ascii="Times New Roman" w:hAnsi="Times New Roman" w:eastAsia="Times New Roman"/>
          <w:b/>
          <w:i w:val="0"/>
          <w:color w:val="000000"/>
          <w:sz w:val="25"/>
        </w:rPr>
        <w:t>Objective</w:t>
      </w:r>
    </w:p>
    <w:p>
      <w:pPr>
        <w:spacing w:after="80"/>
      </w:pPr>
      <w:r>
        <w:rPr>
          <w:rFonts w:ascii="Times New Roman" w:hAnsi="Times New Roman" w:eastAsia="Times New Roman"/>
          <w:b w:val="0"/>
          <w:i w:val="0"/>
          <w:color w:val="000000"/>
          <w:sz w:val="21"/>
        </w:rPr>
        <w:t>Establish a strong, non-baseline ConvNeXt V2 model on both BRSET and mBRSET for independent binary classification of diabetic_retinopathy and macular_edema, before proceeding to k-fold cross-validation.</w:t>
      </w:r>
    </w:p>
    <w:p>
      <w:pPr>
        <w:spacing w:before="160" w:after="60"/>
      </w:pPr>
      <w:r>
        <w:rPr>
          <w:rFonts w:ascii="Times New Roman" w:hAnsi="Times New Roman" w:eastAsia="Times New Roman"/>
          <w:b/>
          <w:i w:val="0"/>
          <w:color w:val="000000"/>
          <w:sz w:val="25"/>
        </w:rPr>
        <w:t>Methodology: What We Tried, In Order</w:t>
      </w:r>
    </w:p>
    <w:tbl>
      <w:tblPr>
        <w:tblStyle w:val="TableGrid"/>
        <w:tblW w:type="auto" w:w="0"/>
        <w:jc w:val="center"/>
        <w:tblLook w:firstColumn="1" w:firstRow="1" w:lastColumn="0" w:lastRow="0" w:noHBand="0" w:noVBand="1" w:val="04A0"/>
      </w:tblPr>
      <w:tblGrid>
        <w:gridCol w:w="3264"/>
        <w:gridCol w:w="3264"/>
        <w:gridCol w:w="3264"/>
      </w:tblGrid>
      <w:tr>
        <w:tc>
          <w:tcPr>
            <w:tcW w:type="dxa" w:w="1296"/>
          </w:tcPr>
          <w:p>
            <w:r>
              <w:rPr>
                <w:rFonts w:ascii="Times New Roman" w:hAnsi="Times New Roman" w:eastAsia="Times New Roman"/>
                <w:b/>
                <w:i w:val="0"/>
                <w:color w:val="000000"/>
                <w:sz w:val="17"/>
              </w:rPr>
              <w:t>Step</w:t>
            </w:r>
          </w:p>
        </w:tc>
        <w:tc>
          <w:tcPr>
            <w:tcW w:type="dxa" w:w="4320"/>
          </w:tcPr>
          <w:p>
            <w:r>
              <w:rPr>
                <w:rFonts w:ascii="Times New Roman" w:hAnsi="Times New Roman" w:eastAsia="Times New Roman"/>
                <w:b/>
                <w:i w:val="0"/>
                <w:color w:val="000000"/>
                <w:sz w:val="17"/>
              </w:rPr>
              <w:t>Technique</w:t>
            </w:r>
          </w:p>
        </w:tc>
        <w:tc>
          <w:tcPr>
            <w:tcW w:type="dxa" w:w="4176"/>
          </w:tcPr>
          <w:p>
            <w:r>
              <w:rPr>
                <w:rFonts w:ascii="Times New Roman" w:hAnsi="Times New Roman" w:eastAsia="Times New Roman"/>
                <w:b/>
                <w:i w:val="0"/>
                <w:color w:val="000000"/>
                <w:sz w:val="17"/>
              </w:rPr>
              <w:t>Outcome</w:t>
            </w:r>
          </w:p>
        </w:tc>
      </w:tr>
      <w:tr>
        <w:tc>
          <w:tcPr>
            <w:tcW w:type="dxa" w:w="1296"/>
          </w:tcPr>
          <w:p>
            <w:r>
              <w:rPr>
                <w:rFonts w:ascii="Times New Roman" w:hAnsi="Times New Roman" w:eastAsia="Times New Roman"/>
                <w:b w:val="0"/>
                <w:i w:val="0"/>
                <w:color w:val="000000"/>
                <w:sz w:val="17"/>
              </w:rPr>
              <w:t>1. Baseline</w:t>
            </w:r>
          </w:p>
        </w:tc>
        <w:tc>
          <w:tcPr>
            <w:tcW w:type="dxa" w:w="4320"/>
          </w:tcPr>
          <w:p>
            <w:r>
              <w:rPr>
                <w:rFonts w:ascii="Times New Roman" w:hAnsi="Times New Roman" w:eastAsia="Times New Roman"/>
                <w:b w:val="0"/>
                <w:i w:val="0"/>
                <w:color w:val="000000"/>
                <w:sz w:val="17"/>
              </w:rPr>
              <w:t>ConvNeXt V2 Large @ 512px (above its 384px pretraining); weighted oversampling + focal loss (gamma=2.0); all 16,258 BRSET / 4,859 mBRSET images; patient-level 70/15/15 split</w:t>
            </w:r>
          </w:p>
        </w:tc>
        <w:tc>
          <w:tcPr>
            <w:tcW w:type="dxa" w:w="4176"/>
          </w:tcPr>
          <w:p>
            <w:r>
              <w:rPr>
                <w:rFonts w:ascii="Times New Roman" w:hAnsi="Times New Roman" w:eastAsia="Times New Roman"/>
                <w:b w:val="0"/>
                <w:i w:val="0"/>
                <w:color w:val="000000"/>
                <w:sz w:val="17"/>
              </w:rPr>
              <w:t>Strong AUC (0.93-0.99) on both datasets, but train accuracy ~99.8-100% vs. test ~77-98% - confirmed real overfitting, not just a loss-curve artifact</w:t>
            </w:r>
          </w:p>
        </w:tc>
      </w:tr>
      <w:tr>
        <w:tc>
          <w:tcPr>
            <w:tcW w:type="dxa" w:w="1296"/>
          </w:tcPr>
          <w:p>
            <w:r>
              <w:rPr>
                <w:rFonts w:ascii="Times New Roman" w:hAnsi="Times New Roman" w:eastAsia="Times New Roman"/>
                <w:b w:val="0"/>
                <w:i w:val="0"/>
                <w:color w:val="000000"/>
                <w:sz w:val="17"/>
              </w:rPr>
              <w:t>2. Alpha-weighted loss</w:t>
            </w:r>
          </w:p>
        </w:tc>
        <w:tc>
          <w:tcPr>
            <w:tcW w:type="dxa" w:w="4320"/>
          </w:tcPr>
          <w:p>
            <w:r>
              <w:rPr>
                <w:rFonts w:ascii="Times New Roman" w:hAnsi="Times New Roman" w:eastAsia="Times New Roman"/>
                <w:b w:val="0"/>
                <w:i w:val="0"/>
                <w:color w:val="000000"/>
                <w:sz w:val="17"/>
              </w:rPr>
              <w:t>Lower focal gamma (1.0) + per-label class weighting, tested on BRSET</w:t>
            </w:r>
          </w:p>
        </w:tc>
        <w:tc>
          <w:tcPr>
            <w:tcW w:type="dxa" w:w="4176"/>
          </w:tcPr>
          <w:p>
            <w:r>
              <w:rPr>
                <w:rFonts w:ascii="Times New Roman" w:hAnsi="Times New Roman" w:eastAsia="Times New Roman"/>
                <w:b w:val="0"/>
                <w:i w:val="0"/>
                <w:color w:val="000000"/>
                <w:sz w:val="17"/>
              </w:rPr>
              <w:t>Did not help - macro F1 and AUC both slightly worse; reverted, gamma=2.0/no-alpha kept as the loss</w:t>
            </w:r>
          </w:p>
        </w:tc>
      </w:tr>
      <w:tr>
        <w:tc>
          <w:tcPr>
            <w:tcW w:type="dxa" w:w="1296"/>
          </w:tcPr>
          <w:p>
            <w:r>
              <w:rPr>
                <w:rFonts w:ascii="Times New Roman" w:hAnsi="Times New Roman" w:eastAsia="Times New Roman"/>
                <w:b w:val="0"/>
                <w:i w:val="0"/>
                <w:color w:val="000000"/>
                <w:sz w:val="17"/>
              </w:rPr>
              <w:t>3. Regularization</w:t>
            </w:r>
          </w:p>
        </w:tc>
        <w:tc>
          <w:tcPr>
            <w:tcW w:type="dxa" w:w="4320"/>
          </w:tcPr>
          <w:p>
            <w:r>
              <w:rPr>
                <w:rFonts w:ascii="Times New Roman" w:hAnsi="Times New Roman" w:eastAsia="Times New Roman"/>
                <w:b w:val="0"/>
                <w:i w:val="0"/>
                <w:color w:val="000000"/>
                <w:sz w:val="17"/>
              </w:rPr>
              <w:t>drop_path 0.3 (previously unset), weight_decay 0.1, multi-label mixup, label smoothing - identical on both datasets</w:t>
            </w:r>
          </w:p>
        </w:tc>
        <w:tc>
          <w:tcPr>
            <w:tcW w:type="dxa" w:w="4176"/>
          </w:tcPr>
          <w:p>
            <w:r>
              <w:rPr>
                <w:rFonts w:ascii="Times New Roman" w:hAnsi="Times New Roman" w:eastAsia="Times New Roman"/>
                <w:b w:val="0"/>
                <w:i w:val="0"/>
                <w:color w:val="000000"/>
                <w:sz w:val="17"/>
              </w:rPr>
              <w:t>mBRSET: improved on every metric for both labels. BRSET: diabetic_retinopathy improved, macular_edema dipped (BRSET had less overfitting to begin with, given 3.3x more training data)</w:t>
            </w:r>
          </w:p>
        </w:tc>
      </w:tr>
      <w:tr>
        <w:tc>
          <w:tcPr>
            <w:tcW w:type="dxa" w:w="1296"/>
          </w:tcPr>
          <w:p>
            <w:r>
              <w:rPr>
                <w:rFonts w:ascii="Times New Roman" w:hAnsi="Times New Roman" w:eastAsia="Times New Roman"/>
                <w:b w:val="0"/>
                <w:i w:val="0"/>
                <w:color w:val="000000"/>
                <w:sz w:val="17"/>
              </w:rPr>
              <w:t>4. Ensembling</w:t>
            </w:r>
          </w:p>
        </w:tc>
        <w:tc>
          <w:tcPr>
            <w:tcW w:type="dxa" w:w="4320"/>
          </w:tcPr>
          <w:p>
            <w:r>
              <w:rPr>
                <w:rFonts w:ascii="Times New Roman" w:hAnsi="Times New Roman" w:eastAsia="Times New Roman"/>
                <w:b w:val="0"/>
                <w:i w:val="0"/>
                <w:color w:val="000000"/>
                <w:sz w:val="17"/>
              </w:rPr>
              <w:t>Averaged the original + regularized checkpoints' probabilities - no new training</w:t>
            </w:r>
          </w:p>
        </w:tc>
        <w:tc>
          <w:tcPr>
            <w:tcW w:type="dxa" w:w="4176"/>
          </w:tcPr>
          <w:p>
            <w:r>
              <w:rPr>
                <w:rFonts w:ascii="Times New Roman" w:hAnsi="Times New Roman" w:eastAsia="Times New Roman"/>
                <w:b w:val="0"/>
                <w:i w:val="0"/>
                <w:color w:val="000000"/>
                <w:sz w:val="17"/>
              </w:rPr>
              <w:t>BRSET: resolved the Step 3 tradeoff for free, new best BRSET model. mBRSET: regularized model alone remained best</w:t>
            </w:r>
          </w:p>
        </w:tc>
      </w:tr>
      <w:tr>
        <w:tc>
          <w:tcPr>
            <w:tcW w:type="dxa" w:w="1296"/>
          </w:tcPr>
          <w:p>
            <w:r>
              <w:rPr>
                <w:rFonts w:ascii="Times New Roman" w:hAnsi="Times New Roman" w:eastAsia="Times New Roman"/>
                <w:b w:val="0"/>
                <w:i w:val="0"/>
                <w:color w:val="000000"/>
                <w:sz w:val="17"/>
              </w:rPr>
              <w:t>5. Threshold analysis</w:t>
            </w:r>
          </w:p>
        </w:tc>
        <w:tc>
          <w:tcPr>
            <w:tcW w:type="dxa" w:w="4320"/>
          </w:tcPr>
          <w:p>
            <w:r>
              <w:rPr>
                <w:rFonts w:ascii="Times New Roman" w:hAnsi="Times New Roman" w:eastAsia="Times New Roman"/>
                <w:b w:val="0"/>
                <w:i w:val="0"/>
                <w:color w:val="000000"/>
                <w:sz w:val="17"/>
              </w:rPr>
              <w:t>F1-optimal (primary) vs. F2 recall-favoring threshold, both tuned on validation only</w:t>
            </w:r>
          </w:p>
        </w:tc>
        <w:tc>
          <w:tcPr>
            <w:tcW w:type="dxa" w:w="4176"/>
          </w:tcPr>
          <w:p>
            <w:r>
              <w:rPr>
                <w:rFonts w:ascii="Times New Roman" w:hAnsi="Times New Roman" w:eastAsia="Times New Roman"/>
                <w:b w:val="0"/>
                <w:i w:val="0"/>
                <w:color w:val="000000"/>
                <w:sz w:val="17"/>
              </w:rPr>
              <w:t>Recall can reach 0.80-0.94 but costs up to 30 points of precision - kept F1-optimal as the primary operating point; F2 documented as an available alternative</w:t>
            </w:r>
          </w:p>
        </w:tc>
      </w:tr>
    </w:tbl>
    <w:p>
      <w:pPr>
        <w:spacing w:after="40"/>
      </w:pPr>
    </w:p>
    <w:p>
      <w:r>
        <w:br w:type="page"/>
      </w:r>
    </w:p>
    <w:p>
      <w:pPr>
        <w:spacing w:before="160" w:after="60"/>
      </w:pPr>
      <w:r>
        <w:rPr>
          <w:rFonts w:ascii="Times New Roman" w:hAnsi="Times New Roman" w:eastAsia="Times New Roman"/>
          <w:b/>
          <w:i w:val="0"/>
          <w:color w:val="000000"/>
          <w:sz w:val="25"/>
        </w:rPr>
        <w:t>Final Results (Held-Out Test Set, F1-Optimal Thresholds, Bootstrap-Confirmed)</w:t>
      </w:r>
    </w:p>
    <w:tbl>
      <w:tblPr>
        <w:tblStyle w:val="TableGrid"/>
        <w:tblW w:type="auto" w:w="0"/>
        <w:jc w:val="center"/>
        <w:tblLook w:firstColumn="1" w:firstRow="1" w:lastColumn="0" w:lastRow="0" w:noHBand="0" w:noVBand="1" w:val="04A0"/>
      </w:tblPr>
      <w:tblGrid>
        <w:gridCol w:w="1399"/>
        <w:gridCol w:w="1399"/>
        <w:gridCol w:w="1399"/>
        <w:gridCol w:w="1399"/>
        <w:gridCol w:w="1399"/>
        <w:gridCol w:w="1399"/>
        <w:gridCol w:w="1399"/>
      </w:tblGrid>
      <w:tr>
        <w:tc>
          <w:tcPr>
            <w:tcW w:type="dxa" w:w="1152"/>
          </w:tcPr>
          <w:p>
            <w:r>
              <w:rPr>
                <w:rFonts w:ascii="Times New Roman" w:hAnsi="Times New Roman" w:eastAsia="Times New Roman"/>
                <w:b/>
                <w:i w:val="0"/>
                <w:color w:val="000000"/>
                <w:sz w:val="17"/>
              </w:rPr>
              <w:t>Dataset</w:t>
            </w:r>
          </w:p>
        </w:tc>
        <w:tc>
          <w:tcPr>
            <w:tcW w:type="dxa" w:w="1584"/>
          </w:tcPr>
          <w:p>
            <w:r>
              <w:rPr>
                <w:rFonts w:ascii="Times New Roman" w:hAnsi="Times New Roman" w:eastAsia="Times New Roman"/>
                <w:b/>
                <w:i w:val="0"/>
                <w:color w:val="000000"/>
                <w:sz w:val="17"/>
              </w:rPr>
              <w:t>Final Model</w:t>
            </w:r>
          </w:p>
        </w:tc>
        <w:tc>
          <w:tcPr>
            <w:tcW w:type="dxa" w:w="2592"/>
          </w:tcPr>
          <w:p>
            <w:r>
              <w:rPr>
                <w:rFonts w:ascii="Times New Roman" w:hAnsi="Times New Roman" w:eastAsia="Times New Roman"/>
                <w:b/>
                <w:i w:val="0"/>
                <w:color w:val="000000"/>
                <w:sz w:val="17"/>
              </w:rPr>
              <w:t>Label</w:t>
            </w:r>
          </w:p>
        </w:tc>
        <w:tc>
          <w:tcPr>
            <w:tcW w:type="dxa" w:w="1008"/>
          </w:tcPr>
          <w:p>
            <w:r>
              <w:rPr>
                <w:rFonts w:ascii="Times New Roman" w:hAnsi="Times New Roman" w:eastAsia="Times New Roman"/>
                <w:b/>
                <w:i w:val="0"/>
                <w:color w:val="000000"/>
                <w:sz w:val="17"/>
              </w:rPr>
              <w:t>AUC</w:t>
            </w:r>
          </w:p>
        </w:tc>
        <w:tc>
          <w:tcPr>
            <w:tcW w:type="dxa" w:w="1008"/>
          </w:tcPr>
          <w:p>
            <w:r>
              <w:rPr>
                <w:rFonts w:ascii="Times New Roman" w:hAnsi="Times New Roman" w:eastAsia="Times New Roman"/>
                <w:b/>
                <w:i w:val="0"/>
                <w:color w:val="000000"/>
                <w:sz w:val="17"/>
              </w:rPr>
              <w:t>F1</w:t>
            </w:r>
          </w:p>
        </w:tc>
        <w:tc>
          <w:tcPr>
            <w:tcW w:type="dxa" w:w="1296"/>
          </w:tcPr>
          <w:p>
            <w:r>
              <w:rPr>
                <w:rFonts w:ascii="Times New Roman" w:hAnsi="Times New Roman" w:eastAsia="Times New Roman"/>
                <w:b/>
                <w:i w:val="0"/>
                <w:color w:val="000000"/>
                <w:sz w:val="17"/>
              </w:rPr>
              <w:t>Precision</w:t>
            </w:r>
          </w:p>
        </w:tc>
        <w:tc>
          <w:tcPr>
            <w:tcW w:type="dxa" w:w="1008"/>
          </w:tcPr>
          <w:p>
            <w:r>
              <w:rPr>
                <w:rFonts w:ascii="Times New Roman" w:hAnsi="Times New Roman" w:eastAsia="Times New Roman"/>
                <w:b/>
                <w:i w:val="0"/>
                <w:color w:val="000000"/>
                <w:sz w:val="17"/>
              </w:rPr>
              <w:t>Recall</w:t>
            </w:r>
          </w:p>
        </w:tc>
      </w:tr>
      <w:tr>
        <w:tc>
          <w:tcPr>
            <w:tcW w:type="dxa" w:w="1152"/>
          </w:tcPr>
          <w:p>
            <w:r>
              <w:rPr>
                <w:rFonts w:ascii="Times New Roman" w:hAnsi="Times New Roman" w:eastAsia="Times New Roman"/>
                <w:b w:val="0"/>
                <w:i w:val="0"/>
                <w:color w:val="000000"/>
                <w:sz w:val="17"/>
              </w:rPr>
              <w:t>BRSET</w:t>
            </w:r>
          </w:p>
        </w:tc>
        <w:tc>
          <w:tcPr>
            <w:tcW w:type="dxa" w:w="1584"/>
          </w:tcPr>
          <w:p>
            <w:r>
              <w:rPr>
                <w:rFonts w:ascii="Times New Roman" w:hAnsi="Times New Roman" w:eastAsia="Times New Roman"/>
                <w:b w:val="0"/>
                <w:i w:val="0"/>
                <w:color w:val="000000"/>
                <w:sz w:val="17"/>
              </w:rPr>
              <w:t>Ensemble</w:t>
            </w:r>
          </w:p>
        </w:tc>
        <w:tc>
          <w:tcPr>
            <w:tcW w:type="dxa" w:w="2592"/>
          </w:tcPr>
          <w:p>
            <w:r>
              <w:rPr>
                <w:rFonts w:ascii="Times New Roman" w:hAnsi="Times New Roman" w:eastAsia="Times New Roman"/>
                <w:b w:val="0"/>
                <w:i w:val="0"/>
                <w:color w:val="000000"/>
                <w:sz w:val="17"/>
              </w:rPr>
              <w:t>Diabetic Retinopathy</w:t>
            </w:r>
          </w:p>
        </w:tc>
        <w:tc>
          <w:tcPr>
            <w:tcW w:type="dxa" w:w="1008"/>
          </w:tcPr>
          <w:p>
            <w:r>
              <w:rPr>
                <w:rFonts w:ascii="Times New Roman" w:hAnsi="Times New Roman" w:eastAsia="Times New Roman"/>
                <w:b w:val="0"/>
                <w:i w:val="0"/>
                <w:color w:val="000000"/>
                <w:sz w:val="17"/>
              </w:rPr>
              <w:t>0.988</w:t>
            </w:r>
          </w:p>
        </w:tc>
        <w:tc>
          <w:tcPr>
            <w:tcW w:type="dxa" w:w="1008"/>
          </w:tcPr>
          <w:p>
            <w:r>
              <w:rPr>
                <w:rFonts w:ascii="Times New Roman" w:hAnsi="Times New Roman" w:eastAsia="Times New Roman"/>
                <w:b w:val="0"/>
                <w:i w:val="0"/>
                <w:color w:val="000000"/>
                <w:sz w:val="17"/>
              </w:rPr>
              <w:t>0.869</w:t>
            </w:r>
          </w:p>
        </w:tc>
        <w:tc>
          <w:tcPr>
            <w:tcW w:type="dxa" w:w="1296"/>
          </w:tcPr>
          <w:p>
            <w:r>
              <w:rPr>
                <w:rFonts w:ascii="Times New Roman" w:hAnsi="Times New Roman" w:eastAsia="Times New Roman"/>
                <w:b w:val="0"/>
                <w:i w:val="0"/>
                <w:color w:val="000000"/>
                <w:sz w:val="17"/>
              </w:rPr>
              <w:t>0.861</w:t>
            </w:r>
          </w:p>
        </w:tc>
        <w:tc>
          <w:tcPr>
            <w:tcW w:type="dxa" w:w="1008"/>
          </w:tcPr>
          <w:p>
            <w:r>
              <w:rPr>
                <w:rFonts w:ascii="Times New Roman" w:hAnsi="Times New Roman" w:eastAsia="Times New Roman"/>
                <w:b w:val="0"/>
                <w:i w:val="0"/>
                <w:color w:val="000000"/>
                <w:sz w:val="17"/>
              </w:rPr>
              <w:t>0.877</w:t>
            </w:r>
          </w:p>
        </w:tc>
      </w:tr>
      <w:tr>
        <w:tc>
          <w:tcPr>
            <w:tcW w:type="dxa" w:w="1152"/>
          </w:tcPr>
          <w:p>
            <w:r>
              <w:rPr>
                <w:rFonts w:ascii="Times New Roman" w:hAnsi="Times New Roman" w:eastAsia="Times New Roman"/>
                <w:b w:val="0"/>
                <w:i w:val="0"/>
                <w:color w:val="000000"/>
                <w:sz w:val="17"/>
              </w:rPr>
              <w:t>BRSET</w:t>
            </w:r>
          </w:p>
        </w:tc>
        <w:tc>
          <w:tcPr>
            <w:tcW w:type="dxa" w:w="1584"/>
          </w:tcPr>
          <w:p>
            <w:r>
              <w:rPr>
                <w:rFonts w:ascii="Times New Roman" w:hAnsi="Times New Roman" w:eastAsia="Times New Roman"/>
                <w:b w:val="0"/>
                <w:i w:val="0"/>
                <w:color w:val="000000"/>
                <w:sz w:val="17"/>
              </w:rPr>
              <w:t>Ensemble</w:t>
            </w:r>
          </w:p>
        </w:tc>
        <w:tc>
          <w:tcPr>
            <w:tcW w:type="dxa" w:w="2592"/>
          </w:tcPr>
          <w:p>
            <w:r>
              <w:rPr>
                <w:rFonts w:ascii="Times New Roman" w:hAnsi="Times New Roman" w:eastAsia="Times New Roman"/>
                <w:b w:val="0"/>
                <w:i w:val="0"/>
                <w:color w:val="000000"/>
                <w:sz w:val="17"/>
              </w:rPr>
              <w:t>Macular Edema</w:t>
            </w:r>
          </w:p>
        </w:tc>
        <w:tc>
          <w:tcPr>
            <w:tcW w:type="dxa" w:w="1008"/>
          </w:tcPr>
          <w:p>
            <w:r>
              <w:rPr>
                <w:rFonts w:ascii="Times New Roman" w:hAnsi="Times New Roman" w:eastAsia="Times New Roman"/>
                <w:b w:val="0"/>
                <w:i w:val="0"/>
                <w:color w:val="000000"/>
                <w:sz w:val="17"/>
              </w:rPr>
              <w:t>0.994</w:t>
            </w:r>
          </w:p>
        </w:tc>
        <w:tc>
          <w:tcPr>
            <w:tcW w:type="dxa" w:w="1008"/>
          </w:tcPr>
          <w:p>
            <w:r>
              <w:rPr>
                <w:rFonts w:ascii="Times New Roman" w:hAnsi="Times New Roman" w:eastAsia="Times New Roman"/>
                <w:b w:val="0"/>
                <w:i w:val="0"/>
                <w:color w:val="000000"/>
                <w:sz w:val="17"/>
              </w:rPr>
              <w:t>0.790</w:t>
            </w:r>
          </w:p>
        </w:tc>
        <w:tc>
          <w:tcPr>
            <w:tcW w:type="dxa" w:w="1296"/>
          </w:tcPr>
          <w:p>
            <w:r>
              <w:rPr>
                <w:rFonts w:ascii="Times New Roman" w:hAnsi="Times New Roman" w:eastAsia="Times New Roman"/>
                <w:b w:val="0"/>
                <w:i w:val="0"/>
                <w:color w:val="000000"/>
                <w:sz w:val="17"/>
              </w:rPr>
              <w:t>0.810</w:t>
            </w:r>
          </w:p>
        </w:tc>
        <w:tc>
          <w:tcPr>
            <w:tcW w:type="dxa" w:w="1008"/>
          </w:tcPr>
          <w:p>
            <w:r>
              <w:rPr>
                <w:rFonts w:ascii="Times New Roman" w:hAnsi="Times New Roman" w:eastAsia="Times New Roman"/>
                <w:b w:val="0"/>
                <w:i w:val="0"/>
                <w:color w:val="000000"/>
                <w:sz w:val="17"/>
              </w:rPr>
              <w:t>0.770</w:t>
            </w:r>
          </w:p>
        </w:tc>
      </w:tr>
      <w:tr>
        <w:tc>
          <w:tcPr>
            <w:tcW w:type="dxa" w:w="1152"/>
          </w:tcPr>
          <w:p>
            <w:r>
              <w:rPr>
                <w:rFonts w:ascii="Times New Roman" w:hAnsi="Times New Roman" w:eastAsia="Times New Roman"/>
                <w:b w:val="0"/>
                <w:i w:val="0"/>
                <w:color w:val="000000"/>
                <w:sz w:val="17"/>
              </w:rPr>
              <w:t>mBRSET</w:t>
            </w:r>
          </w:p>
        </w:tc>
        <w:tc>
          <w:tcPr>
            <w:tcW w:type="dxa" w:w="1584"/>
          </w:tcPr>
          <w:p>
            <w:r>
              <w:rPr>
                <w:rFonts w:ascii="Times New Roman" w:hAnsi="Times New Roman" w:eastAsia="Times New Roman"/>
                <w:b w:val="0"/>
                <w:i w:val="0"/>
                <w:color w:val="000000"/>
                <w:sz w:val="17"/>
              </w:rPr>
              <w:t>Regularized</w:t>
            </w:r>
          </w:p>
        </w:tc>
        <w:tc>
          <w:tcPr>
            <w:tcW w:type="dxa" w:w="2592"/>
          </w:tcPr>
          <w:p>
            <w:r>
              <w:rPr>
                <w:rFonts w:ascii="Times New Roman" w:hAnsi="Times New Roman" w:eastAsia="Times New Roman"/>
                <w:b w:val="0"/>
                <w:i w:val="0"/>
                <w:color w:val="000000"/>
                <w:sz w:val="17"/>
              </w:rPr>
              <w:t>Diabetic Retinopathy</w:t>
            </w:r>
          </w:p>
        </w:tc>
        <w:tc>
          <w:tcPr>
            <w:tcW w:type="dxa" w:w="1008"/>
          </w:tcPr>
          <w:p>
            <w:r>
              <w:rPr>
                <w:rFonts w:ascii="Times New Roman" w:hAnsi="Times New Roman" w:eastAsia="Times New Roman"/>
                <w:b w:val="0"/>
                <w:i w:val="0"/>
                <w:color w:val="000000"/>
                <w:sz w:val="17"/>
              </w:rPr>
              <w:t>0.939</w:t>
            </w:r>
          </w:p>
        </w:tc>
        <w:tc>
          <w:tcPr>
            <w:tcW w:type="dxa" w:w="1008"/>
          </w:tcPr>
          <w:p>
            <w:r>
              <w:rPr>
                <w:rFonts w:ascii="Times New Roman" w:hAnsi="Times New Roman" w:eastAsia="Times New Roman"/>
                <w:b w:val="0"/>
                <w:i w:val="0"/>
                <w:color w:val="000000"/>
                <w:sz w:val="17"/>
              </w:rPr>
              <w:t>0.815</w:t>
            </w:r>
          </w:p>
        </w:tc>
        <w:tc>
          <w:tcPr>
            <w:tcW w:type="dxa" w:w="1296"/>
          </w:tcPr>
          <w:p>
            <w:r>
              <w:rPr>
                <w:rFonts w:ascii="Times New Roman" w:hAnsi="Times New Roman" w:eastAsia="Times New Roman"/>
                <w:b w:val="0"/>
                <w:i w:val="0"/>
                <w:color w:val="000000"/>
                <w:sz w:val="17"/>
              </w:rPr>
              <w:t>0.860</w:t>
            </w:r>
          </w:p>
        </w:tc>
        <w:tc>
          <w:tcPr>
            <w:tcW w:type="dxa" w:w="1008"/>
          </w:tcPr>
          <w:p>
            <w:r>
              <w:rPr>
                <w:rFonts w:ascii="Times New Roman" w:hAnsi="Times New Roman" w:eastAsia="Times New Roman"/>
                <w:b w:val="0"/>
                <w:i w:val="0"/>
                <w:color w:val="000000"/>
                <w:sz w:val="17"/>
              </w:rPr>
              <w:t>0.774</w:t>
            </w:r>
          </w:p>
        </w:tc>
      </w:tr>
      <w:tr>
        <w:tc>
          <w:tcPr>
            <w:tcW w:type="dxa" w:w="1152"/>
          </w:tcPr>
          <w:p>
            <w:r>
              <w:rPr>
                <w:rFonts w:ascii="Times New Roman" w:hAnsi="Times New Roman" w:eastAsia="Times New Roman"/>
                <w:b w:val="0"/>
                <w:i w:val="0"/>
                <w:color w:val="000000"/>
                <w:sz w:val="17"/>
              </w:rPr>
              <w:t>mBRSET</w:t>
            </w:r>
          </w:p>
        </w:tc>
        <w:tc>
          <w:tcPr>
            <w:tcW w:type="dxa" w:w="1584"/>
          </w:tcPr>
          <w:p>
            <w:r>
              <w:rPr>
                <w:rFonts w:ascii="Times New Roman" w:hAnsi="Times New Roman" w:eastAsia="Times New Roman"/>
                <w:b w:val="0"/>
                <w:i w:val="0"/>
                <w:color w:val="000000"/>
                <w:sz w:val="17"/>
              </w:rPr>
              <w:t>Regularized</w:t>
            </w:r>
          </w:p>
        </w:tc>
        <w:tc>
          <w:tcPr>
            <w:tcW w:type="dxa" w:w="2592"/>
          </w:tcPr>
          <w:p>
            <w:r>
              <w:rPr>
                <w:rFonts w:ascii="Times New Roman" w:hAnsi="Times New Roman" w:eastAsia="Times New Roman"/>
                <w:b w:val="0"/>
                <w:i w:val="0"/>
                <w:color w:val="000000"/>
                <w:sz w:val="17"/>
              </w:rPr>
              <w:t>Macular Edema</w:t>
            </w:r>
          </w:p>
        </w:tc>
        <w:tc>
          <w:tcPr>
            <w:tcW w:type="dxa" w:w="1008"/>
          </w:tcPr>
          <w:p>
            <w:r>
              <w:rPr>
                <w:rFonts w:ascii="Times New Roman" w:hAnsi="Times New Roman" w:eastAsia="Times New Roman"/>
                <w:b w:val="0"/>
                <w:i w:val="0"/>
                <w:color w:val="000000"/>
                <w:sz w:val="17"/>
              </w:rPr>
              <w:t>0.988</w:t>
            </w:r>
          </w:p>
        </w:tc>
        <w:tc>
          <w:tcPr>
            <w:tcW w:type="dxa" w:w="1008"/>
          </w:tcPr>
          <w:p>
            <w:r>
              <w:rPr>
                <w:rFonts w:ascii="Times New Roman" w:hAnsi="Times New Roman" w:eastAsia="Times New Roman"/>
                <w:b w:val="0"/>
                <w:i w:val="0"/>
                <w:color w:val="000000"/>
                <w:sz w:val="17"/>
              </w:rPr>
              <w:t>0.807</w:t>
            </w:r>
          </w:p>
        </w:tc>
        <w:tc>
          <w:tcPr>
            <w:tcW w:type="dxa" w:w="1296"/>
          </w:tcPr>
          <w:p>
            <w:r>
              <w:rPr>
                <w:rFonts w:ascii="Times New Roman" w:hAnsi="Times New Roman" w:eastAsia="Times New Roman"/>
                <w:b w:val="0"/>
                <w:i w:val="0"/>
                <w:color w:val="000000"/>
                <w:sz w:val="17"/>
              </w:rPr>
              <w:t>0.902</w:t>
            </w:r>
          </w:p>
        </w:tc>
        <w:tc>
          <w:tcPr>
            <w:tcW w:type="dxa" w:w="1008"/>
          </w:tcPr>
          <w:p>
            <w:r>
              <w:rPr>
                <w:rFonts w:ascii="Times New Roman" w:hAnsi="Times New Roman" w:eastAsia="Times New Roman"/>
                <w:b w:val="0"/>
                <w:i w:val="0"/>
                <w:color w:val="000000"/>
                <w:sz w:val="17"/>
              </w:rPr>
              <w:t>0.730</w:t>
            </w:r>
          </w:p>
        </w:tc>
      </w:tr>
    </w:tbl>
    <w:p>
      <w:pPr>
        <w:spacing w:after="40"/>
      </w:pPr>
    </w:p>
    <w:p>
      <w:pPr>
        <w:spacing w:after="80"/>
      </w:pPr>
      <w:r>
        <w:rPr>
          <w:rFonts w:ascii="Times New Roman" w:hAnsi="Times New Roman" w:eastAsia="Times New Roman"/>
          <w:b w:val="0"/>
          <w:i/>
          <w:color w:val="000000"/>
          <w:sz w:val="18"/>
        </w:rPr>
        <w:t>All values are means of 2,000 bootstrap resamples of the test set (95% CIs on file); thresholds tuned only on validation data, never on test.</w:t>
      </w:r>
    </w:p>
    <w:p>
      <w:pPr>
        <w:spacing w:before="160" w:after="60"/>
      </w:pPr>
      <w:r>
        <w:rPr>
          <w:rFonts w:ascii="Times New Roman" w:hAnsi="Times New Roman" w:eastAsia="Times New Roman"/>
          <w:b/>
          <w:i w:val="0"/>
          <w:color w:val="000000"/>
          <w:sz w:val="23"/>
        </w:rPr>
        <w:t>Comparison with the Original BRSET Paper (Nakayama et al., 2024)</w:t>
      </w:r>
    </w:p>
    <w:tbl>
      <w:tblPr>
        <w:tblStyle w:val="TableGrid"/>
        <w:tblW w:type="auto" w:w="0"/>
        <w:jc w:val="center"/>
        <w:tblLook w:firstColumn="1" w:firstRow="1" w:lastColumn="0" w:lastRow="0" w:noHBand="0" w:noVBand="1" w:val="04A0"/>
      </w:tblPr>
      <w:tblGrid>
        <w:gridCol w:w="3264"/>
        <w:gridCol w:w="3264"/>
        <w:gridCol w:w="3264"/>
      </w:tblGrid>
      <w:tr>
        <w:tc>
          <w:tcPr>
            <w:tcW w:type="dxa" w:w="2304"/>
          </w:tcPr>
          <w:p>
            <w:r>
              <w:rPr>
                <w:rFonts w:ascii="Times New Roman" w:hAnsi="Times New Roman" w:eastAsia="Times New Roman"/>
                <w:b/>
                <w:i w:val="0"/>
                <w:color w:val="000000"/>
                <w:sz w:val="17"/>
              </w:rPr>
              <w:t>Metric</w:t>
            </w:r>
          </w:p>
        </w:tc>
        <w:tc>
          <w:tcPr>
            <w:tcW w:type="dxa" w:w="3312"/>
          </w:tcPr>
          <w:p>
            <w:r>
              <w:rPr>
                <w:rFonts w:ascii="Times New Roman" w:hAnsi="Times New Roman" w:eastAsia="Times New Roman"/>
                <w:b/>
                <w:i w:val="0"/>
                <w:color w:val="000000"/>
                <w:sz w:val="17"/>
              </w:rPr>
              <w:t>Paper (Binary DR)</w:t>
            </w:r>
          </w:p>
        </w:tc>
        <w:tc>
          <w:tcPr>
            <w:tcW w:type="dxa" w:w="4176"/>
          </w:tcPr>
          <w:p>
            <w:r>
              <w:rPr>
                <w:rFonts w:ascii="Times New Roman" w:hAnsi="Times New Roman" w:eastAsia="Times New Roman"/>
                <w:b/>
                <w:i w:val="0"/>
                <w:color w:val="000000"/>
                <w:sz w:val="17"/>
              </w:rPr>
              <w:t>Our Model (BRSET, DR)</w:t>
            </w:r>
          </w:p>
        </w:tc>
      </w:tr>
      <w:tr>
        <w:tc>
          <w:tcPr>
            <w:tcW w:type="dxa" w:w="2304"/>
          </w:tcPr>
          <w:p>
            <w:r>
              <w:rPr>
                <w:rFonts w:ascii="Times New Roman" w:hAnsi="Times New Roman" w:eastAsia="Times New Roman"/>
                <w:b w:val="0"/>
                <w:i w:val="0"/>
                <w:color w:val="000000"/>
                <w:sz w:val="17"/>
              </w:rPr>
              <w:t>AUC</w:t>
            </w:r>
          </w:p>
        </w:tc>
        <w:tc>
          <w:tcPr>
            <w:tcW w:type="dxa" w:w="3312"/>
          </w:tcPr>
          <w:p>
            <w:r>
              <w:rPr>
                <w:rFonts w:ascii="Times New Roman" w:hAnsi="Times New Roman" w:eastAsia="Times New Roman"/>
                <w:b w:val="0"/>
                <w:i w:val="0"/>
                <w:color w:val="000000"/>
                <w:sz w:val="17"/>
              </w:rPr>
              <w:t>0.97</w:t>
            </w:r>
          </w:p>
        </w:tc>
        <w:tc>
          <w:tcPr>
            <w:tcW w:type="dxa" w:w="4176"/>
          </w:tcPr>
          <w:p>
            <w:r>
              <w:rPr>
                <w:rFonts w:ascii="Times New Roman" w:hAnsi="Times New Roman" w:eastAsia="Times New Roman"/>
                <w:b w:val="0"/>
                <w:i w:val="0"/>
                <w:color w:val="000000"/>
                <w:sz w:val="17"/>
              </w:rPr>
              <w:t>0.988 (better)</w:t>
            </w:r>
          </w:p>
        </w:tc>
      </w:tr>
      <w:tr>
        <w:tc>
          <w:tcPr>
            <w:tcW w:type="dxa" w:w="2304"/>
          </w:tcPr>
          <w:p>
            <w:r>
              <w:rPr>
                <w:rFonts w:ascii="Times New Roman" w:hAnsi="Times New Roman" w:eastAsia="Times New Roman"/>
                <w:b w:val="0"/>
                <w:i w:val="0"/>
                <w:color w:val="000000"/>
                <w:sz w:val="17"/>
              </w:rPr>
              <w:t>F1</w:t>
            </w:r>
          </w:p>
        </w:tc>
        <w:tc>
          <w:tcPr>
            <w:tcW w:type="dxa" w:w="3312"/>
          </w:tcPr>
          <w:p>
            <w:r>
              <w:rPr>
                <w:rFonts w:ascii="Times New Roman" w:hAnsi="Times New Roman" w:eastAsia="Times New Roman"/>
                <w:b w:val="0"/>
                <w:i w:val="0"/>
                <w:color w:val="000000"/>
                <w:sz w:val="17"/>
              </w:rPr>
              <w:t>0.89</w:t>
            </w:r>
          </w:p>
        </w:tc>
        <w:tc>
          <w:tcPr>
            <w:tcW w:type="dxa" w:w="4176"/>
          </w:tcPr>
          <w:p>
            <w:r>
              <w:rPr>
                <w:rFonts w:ascii="Times New Roman" w:hAnsi="Times New Roman" w:eastAsia="Times New Roman"/>
                <w:b w:val="0"/>
                <w:i w:val="0"/>
                <w:color w:val="000000"/>
                <w:sz w:val="17"/>
              </w:rPr>
              <w:t>0.869 (close, slightly below)</w:t>
            </w:r>
          </w:p>
        </w:tc>
      </w:tr>
    </w:tbl>
    <w:p>
      <w:pPr>
        <w:spacing w:after="40"/>
      </w:pPr>
    </w:p>
    <w:p>
      <w:pPr>
        <w:spacing w:after="80"/>
      </w:pPr>
      <w:r>
        <w:rPr>
          <w:rFonts w:ascii="Times New Roman" w:hAnsi="Times New Roman" w:eastAsia="Times New Roman"/>
          <w:b w:val="0"/>
          <w:i w:val="0"/>
          <w:color w:val="000000"/>
          <w:sz w:val="18"/>
        </w:rPr>
        <w:t>The paper does not report macular_edema or any per-label breakdown, so that result has no external benchmark to compare against.</w:t>
      </w:r>
    </w:p>
    <w:p>
      <w:pPr>
        <w:spacing w:before="160" w:after="60"/>
      </w:pPr>
      <w:r>
        <w:rPr>
          <w:rFonts w:ascii="Times New Roman" w:hAnsi="Times New Roman" w:eastAsia="Times New Roman"/>
          <w:b/>
          <w:i w:val="0"/>
          <w:color w:val="000000"/>
          <w:sz w:val="25"/>
        </w:rPr>
        <w:t>Training Behavior and Final Confusion Matrices</w:t>
      </w:r>
    </w:p>
    <w:p>
      <w:pPr>
        <w:jc w:val="center"/>
      </w:pPr>
      <w:r>
        <w:drawing>
          <wp:inline xmlns:a="http://schemas.openxmlformats.org/drawingml/2006/main" xmlns:pic="http://schemas.openxmlformats.org/drawingml/2006/picture">
            <wp:extent cx="5760720" cy="2073859"/>
            <wp:docPr id="1" name="Picture 1"/>
            <wp:cNvGraphicFramePr>
              <a:graphicFrameLocks noChangeAspect="1"/>
            </wp:cNvGraphicFramePr>
            <a:graphic>
              <a:graphicData uri="http://schemas.openxmlformats.org/drawingml/2006/picture">
                <pic:pic>
                  <pic:nvPicPr>
                    <pic:cNvPr id="0" name="executive_training_curves.jpg"/>
                    <pic:cNvPicPr/>
                  </pic:nvPicPr>
                  <pic:blipFill>
                    <a:blip r:embed="rId9"/>
                    <a:stretch>
                      <a:fillRect/>
                    </a:stretch>
                  </pic:blipFill>
                  <pic:spPr>
                    <a:xfrm>
                      <a:off x="0" y="0"/>
                      <a:ext cx="5760720" cy="2073859"/>
                    </a:xfrm>
                    <a:prstGeom prst="rect"/>
                  </pic:spPr>
                </pic:pic>
              </a:graphicData>
            </a:graphic>
          </wp:inline>
        </w:drawing>
      </w:r>
    </w:p>
    <w:p>
      <w:pPr>
        <w:spacing w:after="80"/>
        <w:jc w:val="center"/>
      </w:pPr>
      <w:r>
        <w:rPr>
          <w:rFonts w:ascii="Times New Roman" w:hAnsi="Times New Roman" w:eastAsia="Times New Roman"/>
          <w:b w:val="0"/>
          <w:i/>
          <w:color w:val="000000"/>
          <w:sz w:val="17"/>
        </w:rPr>
        <w:t>Figure 1. Validation macro AUC/F1 by epoch, regularized models (dashed line = best epoch). Both plateau early and remain stable - no late-stage divergence.</w:t>
      </w:r>
    </w:p>
    <w:p>
      <w:r>
        <w:br w:type="page"/>
      </w:r>
    </w:p>
    <w:p>
      <w:pPr>
        <w:jc w:val="center"/>
      </w:pPr>
      <w:r>
        <w:drawing>
          <wp:inline xmlns:a="http://schemas.openxmlformats.org/drawingml/2006/main" xmlns:pic="http://schemas.openxmlformats.org/drawingml/2006/picture">
            <wp:extent cx="5486400" cy="2468880"/>
            <wp:docPr id="2" name="Picture 2"/>
            <wp:cNvGraphicFramePr>
              <a:graphicFrameLocks noChangeAspect="1"/>
            </wp:cNvGraphicFramePr>
            <a:graphic>
              <a:graphicData uri="http://schemas.openxmlformats.org/drawingml/2006/picture">
                <pic:pic>
                  <pic:nvPicPr>
                    <pic:cNvPr id="0" name="confusion_matrices.jpg"/>
                    <pic:cNvPicPr/>
                  </pic:nvPicPr>
                  <pic:blipFill>
                    <a:blip r:embed="rId10"/>
                    <a:stretch>
                      <a:fillRect/>
                    </a:stretch>
                  </pic:blipFill>
                  <pic:spPr>
                    <a:xfrm>
                      <a:off x="0" y="0"/>
                      <a:ext cx="5486400" cy="2468880"/>
                    </a:xfrm>
                    <a:prstGeom prst="rect"/>
                  </pic:spPr>
                </pic:pic>
              </a:graphicData>
            </a:graphic>
          </wp:inline>
        </w:drawing>
      </w:r>
    </w:p>
    <w:p>
      <w:pPr>
        <w:spacing w:after="80"/>
        <w:jc w:val="center"/>
      </w:pPr>
      <w:r>
        <w:rPr>
          <w:rFonts w:ascii="Times New Roman" w:hAnsi="Times New Roman" w:eastAsia="Times New Roman"/>
          <w:b w:val="0"/>
          <w:i/>
          <w:color w:val="000000"/>
          <w:sz w:val="17"/>
        </w:rPr>
        <w:t>Figure 2. BRSET ensemble (final model) confusion matrices, test set.</w:t>
      </w:r>
    </w:p>
    <w:p>
      <w:pPr>
        <w:jc w:val="center"/>
      </w:pPr>
      <w:r>
        <w:drawing>
          <wp:inline xmlns:a="http://schemas.openxmlformats.org/drawingml/2006/main" xmlns:pic="http://schemas.openxmlformats.org/drawingml/2006/picture">
            <wp:extent cx="5486400" cy="2468880"/>
            <wp:docPr id="3" name="Picture 3"/>
            <wp:cNvGraphicFramePr>
              <a:graphicFrameLocks noChangeAspect="1"/>
            </wp:cNvGraphicFramePr>
            <a:graphic>
              <a:graphicData uri="http://schemas.openxmlformats.org/drawingml/2006/picture">
                <pic:pic>
                  <pic:nvPicPr>
                    <pic:cNvPr id="0" name="confusion_matrices.jpg"/>
                    <pic:cNvPicPr/>
                  </pic:nvPicPr>
                  <pic:blipFill>
                    <a:blip r:embed="rId11"/>
                    <a:stretch>
                      <a:fillRect/>
                    </a:stretch>
                  </pic:blipFill>
                  <pic:spPr>
                    <a:xfrm>
                      <a:off x="0" y="0"/>
                      <a:ext cx="5486400" cy="2468880"/>
                    </a:xfrm>
                    <a:prstGeom prst="rect"/>
                  </pic:spPr>
                </pic:pic>
              </a:graphicData>
            </a:graphic>
          </wp:inline>
        </w:drawing>
      </w:r>
    </w:p>
    <w:p>
      <w:pPr>
        <w:spacing w:after="80"/>
        <w:jc w:val="center"/>
      </w:pPr>
      <w:r>
        <w:rPr>
          <w:rFonts w:ascii="Times New Roman" w:hAnsi="Times New Roman" w:eastAsia="Times New Roman"/>
          <w:b w:val="0"/>
          <w:i/>
          <w:color w:val="000000"/>
          <w:sz w:val="17"/>
        </w:rPr>
        <w:t>Figure 3. mBRSET regularized (final model) confusion matrices, test set.</w:t>
      </w:r>
    </w:p>
    <w:p>
      <w:pPr>
        <w:spacing w:before="160" w:after="60"/>
      </w:pPr>
      <w:r>
        <w:rPr>
          <w:rFonts w:ascii="Times New Roman" w:hAnsi="Times New Roman" w:eastAsia="Times New Roman"/>
          <w:b/>
          <w:i w:val="0"/>
          <w:color w:val="000000"/>
          <w:sz w:val="25"/>
        </w:rPr>
        <w:t>Overfitting Gap: Before vs. After Regularization</w:t>
      </w:r>
    </w:p>
    <w:tbl>
      <w:tblPr>
        <w:tblStyle w:val="TableGrid"/>
        <w:tblW w:type="auto" w:w="0"/>
        <w:jc w:val="center"/>
        <w:tblLook w:firstColumn="1" w:firstRow="1" w:lastColumn="0" w:lastRow="0" w:noHBand="0" w:noVBand="1" w:val="04A0"/>
      </w:tblPr>
      <w:tblGrid>
        <w:gridCol w:w="3264"/>
        <w:gridCol w:w="3264"/>
        <w:gridCol w:w="3264"/>
      </w:tblGrid>
      <w:tr>
        <w:tc>
          <w:tcPr>
            <w:tcW w:type="dxa" w:w="3744"/>
          </w:tcPr>
          <w:p>
            <w:r>
              <w:rPr>
                <w:rFonts w:ascii="Times New Roman" w:hAnsi="Times New Roman" w:eastAsia="Times New Roman"/>
                <w:b/>
                <w:i w:val="0"/>
                <w:color w:val="000000"/>
                <w:sz w:val="17"/>
              </w:rPr>
              <w:t>Dataset / Label</w:t>
            </w:r>
          </w:p>
        </w:tc>
        <w:tc>
          <w:tcPr>
            <w:tcW w:type="dxa" w:w="3024"/>
          </w:tcPr>
          <w:p>
            <w:r>
              <w:rPr>
                <w:rFonts w:ascii="Times New Roman" w:hAnsi="Times New Roman" w:eastAsia="Times New Roman"/>
                <w:b/>
                <w:i w:val="0"/>
                <w:color w:val="000000"/>
                <w:sz w:val="17"/>
              </w:rPr>
              <w:t>Train-Test F1 Gap Before</w:t>
            </w:r>
          </w:p>
        </w:tc>
        <w:tc>
          <w:tcPr>
            <w:tcW w:type="dxa" w:w="3024"/>
          </w:tcPr>
          <w:p>
            <w:r>
              <w:rPr>
                <w:rFonts w:ascii="Times New Roman" w:hAnsi="Times New Roman" w:eastAsia="Times New Roman"/>
                <w:b/>
                <w:i w:val="0"/>
                <w:color w:val="000000"/>
                <w:sz w:val="17"/>
              </w:rPr>
              <w:t>After</w:t>
            </w:r>
          </w:p>
        </w:tc>
      </w:tr>
      <w:tr>
        <w:tc>
          <w:tcPr>
            <w:tcW w:type="dxa" w:w="3744"/>
          </w:tcPr>
          <w:p>
            <w:r>
              <w:rPr>
                <w:rFonts w:ascii="Times New Roman" w:hAnsi="Times New Roman" w:eastAsia="Times New Roman"/>
                <w:b w:val="0"/>
                <w:i w:val="0"/>
                <w:color w:val="000000"/>
                <w:sz w:val="17"/>
              </w:rPr>
              <w:t>BRSET, diabetic_retinopathy</w:t>
            </w:r>
          </w:p>
        </w:tc>
        <w:tc>
          <w:tcPr>
            <w:tcW w:type="dxa" w:w="3024"/>
          </w:tcPr>
          <w:p>
            <w:r>
              <w:rPr>
                <w:rFonts w:ascii="Times New Roman" w:hAnsi="Times New Roman" w:eastAsia="Times New Roman"/>
                <w:b w:val="0"/>
                <w:i w:val="0"/>
                <w:color w:val="000000"/>
                <w:sz w:val="17"/>
              </w:rPr>
              <w:t>13.2 pts</w:t>
            </w:r>
          </w:p>
        </w:tc>
        <w:tc>
          <w:tcPr>
            <w:tcW w:type="dxa" w:w="3024"/>
          </w:tcPr>
          <w:p>
            <w:r>
              <w:rPr>
                <w:rFonts w:ascii="Times New Roman" w:hAnsi="Times New Roman" w:eastAsia="Times New Roman"/>
                <w:b w:val="0"/>
                <w:i w:val="0"/>
                <w:color w:val="000000"/>
                <w:sz w:val="17"/>
              </w:rPr>
              <w:t>6.4 pts</w:t>
            </w:r>
          </w:p>
        </w:tc>
      </w:tr>
      <w:tr>
        <w:tc>
          <w:tcPr>
            <w:tcW w:type="dxa" w:w="3744"/>
          </w:tcPr>
          <w:p>
            <w:r>
              <w:rPr>
                <w:rFonts w:ascii="Times New Roman" w:hAnsi="Times New Roman" w:eastAsia="Times New Roman"/>
                <w:b w:val="0"/>
                <w:i w:val="0"/>
                <w:color w:val="000000"/>
                <w:sz w:val="17"/>
              </w:rPr>
              <w:t>BRSET, macular_edema</w:t>
            </w:r>
          </w:p>
        </w:tc>
        <w:tc>
          <w:tcPr>
            <w:tcW w:type="dxa" w:w="3024"/>
          </w:tcPr>
          <w:p>
            <w:r>
              <w:rPr>
                <w:rFonts w:ascii="Times New Roman" w:hAnsi="Times New Roman" w:eastAsia="Times New Roman"/>
                <w:b w:val="0"/>
                <w:i w:val="0"/>
                <w:color w:val="000000"/>
                <w:sz w:val="17"/>
              </w:rPr>
              <w:t>23.0 pts</w:t>
            </w:r>
          </w:p>
        </w:tc>
        <w:tc>
          <w:tcPr>
            <w:tcW w:type="dxa" w:w="3024"/>
          </w:tcPr>
          <w:p>
            <w:r>
              <w:rPr>
                <w:rFonts w:ascii="Times New Roman" w:hAnsi="Times New Roman" w:eastAsia="Times New Roman"/>
                <w:b w:val="0"/>
                <w:i w:val="0"/>
                <w:color w:val="000000"/>
                <w:sz w:val="17"/>
              </w:rPr>
              <w:t>20.3 pts</w:t>
            </w:r>
          </w:p>
        </w:tc>
      </w:tr>
      <w:tr>
        <w:tc>
          <w:tcPr>
            <w:tcW w:type="dxa" w:w="3744"/>
          </w:tcPr>
          <w:p>
            <w:r>
              <w:rPr>
                <w:rFonts w:ascii="Times New Roman" w:hAnsi="Times New Roman" w:eastAsia="Times New Roman"/>
                <w:b w:val="0"/>
                <w:i w:val="0"/>
                <w:color w:val="000000"/>
                <w:sz w:val="17"/>
              </w:rPr>
              <w:t>mBRSET, diabetic_retinopathy</w:t>
            </w:r>
          </w:p>
        </w:tc>
        <w:tc>
          <w:tcPr>
            <w:tcW w:type="dxa" w:w="3024"/>
          </w:tcPr>
          <w:p>
            <w:r>
              <w:rPr>
                <w:rFonts w:ascii="Times New Roman" w:hAnsi="Times New Roman" w:eastAsia="Times New Roman"/>
                <w:b w:val="0"/>
                <w:i w:val="0"/>
                <w:color w:val="000000"/>
                <w:sz w:val="17"/>
              </w:rPr>
              <w:t>20.5 pts</w:t>
            </w:r>
          </w:p>
        </w:tc>
        <w:tc>
          <w:tcPr>
            <w:tcW w:type="dxa" w:w="3024"/>
          </w:tcPr>
          <w:p>
            <w:r>
              <w:rPr>
                <w:rFonts w:ascii="Times New Roman" w:hAnsi="Times New Roman" w:eastAsia="Times New Roman"/>
                <w:b w:val="0"/>
                <w:i w:val="0"/>
                <w:color w:val="000000"/>
                <w:sz w:val="17"/>
              </w:rPr>
              <w:t>9.1 pts</w:t>
            </w:r>
          </w:p>
        </w:tc>
      </w:tr>
      <w:tr>
        <w:tc>
          <w:tcPr>
            <w:tcW w:type="dxa" w:w="3744"/>
          </w:tcPr>
          <w:p>
            <w:r>
              <w:rPr>
                <w:rFonts w:ascii="Times New Roman" w:hAnsi="Times New Roman" w:eastAsia="Times New Roman"/>
                <w:b w:val="0"/>
                <w:i w:val="0"/>
                <w:color w:val="000000"/>
                <w:sz w:val="17"/>
              </w:rPr>
              <w:t>mBRSET, macular_edema</w:t>
            </w:r>
          </w:p>
        </w:tc>
        <w:tc>
          <w:tcPr>
            <w:tcW w:type="dxa" w:w="3024"/>
          </w:tcPr>
          <w:p>
            <w:r>
              <w:rPr>
                <w:rFonts w:ascii="Times New Roman" w:hAnsi="Times New Roman" w:eastAsia="Times New Roman"/>
                <w:b w:val="0"/>
                <w:i w:val="0"/>
                <w:color w:val="000000"/>
                <w:sz w:val="17"/>
              </w:rPr>
              <w:t>31.1 pts</w:t>
            </w:r>
          </w:p>
        </w:tc>
        <w:tc>
          <w:tcPr>
            <w:tcW w:type="dxa" w:w="3024"/>
          </w:tcPr>
          <w:p>
            <w:r>
              <w:rPr>
                <w:rFonts w:ascii="Times New Roman" w:hAnsi="Times New Roman" w:eastAsia="Times New Roman"/>
                <w:b w:val="0"/>
                <w:i w:val="0"/>
                <w:color w:val="000000"/>
                <w:sz w:val="17"/>
              </w:rPr>
              <w:t>15.9 pts</w:t>
            </w:r>
          </w:p>
        </w:tc>
      </w:tr>
    </w:tbl>
    <w:p>
      <w:pPr>
        <w:spacing w:after="40"/>
      </w:pPr>
    </w:p>
    <w:p>
      <w:pPr>
        <w:spacing w:before="160" w:after="60"/>
      </w:pPr>
      <w:r>
        <w:rPr>
          <w:rFonts w:ascii="Times New Roman" w:hAnsi="Times New Roman" w:eastAsia="Times New Roman"/>
          <w:b/>
          <w:i w:val="0"/>
          <w:color w:val="000000"/>
          <w:sz w:val="25"/>
        </w:rPr>
        <w:t>Conclusion</w:t>
      </w:r>
    </w:p>
    <w:p>
      <w:pPr>
        <w:spacing w:after="80"/>
      </w:pPr>
      <w:r>
        <w:rPr>
          <w:rFonts w:ascii="Times New Roman" w:hAnsi="Times New Roman" w:eastAsia="Times New Roman"/>
          <w:b w:val="0"/>
          <w:i w:val="0"/>
          <w:color w:val="000000"/>
          <w:sz w:val="21"/>
        </w:rPr>
        <w:t>These are strong baseline models, not a rough starting point. Across both datasets, every AUC clears 0.93 and reaches 0.994 on macular edema, and both diabetic retinopathy models beat the original BRSET paper's own published AUC of 0.97. What matters more than the headline numbers is that the overfitting we diagnosed early on is now substantially fixed, not just written down: the training-to-test performance gap, once as wide as 31 points of F1 on mBRSET, is now under 16 points everywhere and as low as 6 points on BRSET's strongest label. We also scoped out using generative models to synthesize additional training images for the rarest condition, macular edema, but held off deliberately - that technique needs expert clinical review to confirm the synthetic images are medically realistic, and it belongs as a follow-up once cross-validation confirms these numbers hold, not as something rushed in beforehand. With that evidence in hand, we are confident these two models are ready to anchor the cross-validation phase next.</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