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12 September 2026 | Current state: Step 2 complete; Step 3 controls prepared</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current evidence establishes a strong joint BRSET–mBRSET baseline across three training seeds. It does not yet establish a novel method. The next experiments isolate domain exposure and joint-label balance before testing fitted appearance degradation. Numerical claims are linked to audited aggregate artifacts, and known limitations are retained rather than removed from later updates.</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and a repeated joint-training advantage. A paper-level novelty claim remains conditional on the balance controls and the later preservation-constrained appearance experiment.</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seed-0 controls submitted/running; no control result claimed yet. No Step-3 test assessment has been performed.</w:t>
      </w:r>
    </w:p>
    <w:p>
      <w:pPr>
        <w:spacing w:before="160" w:after="60" w:line="240" w:lineRule="auto"/>
      </w:pPr>
      <w:r>
        <w:rPr>
          <w:rFonts w:ascii="Times New Roman" w:hAnsi="Times New Roman" w:eastAsia="Times New Roman"/>
          <w:b/>
          <w:i w:val="0"/>
          <w:color w:val="000000"/>
          <w:sz w:val="22"/>
        </w:rPr>
        <w:t>VII.  NOVELTY GATE AND PAPER DIRECTION</w:t>
      </w:r>
    </w:p>
    <w:p>
      <w:pPr>
        <w:spacing w:before="0" w:after="80" w:line="240" w:lineRule="auto"/>
        <w:jc w:val="both"/>
      </w:pPr>
      <w:r>
        <w:rPr>
          <w:rFonts w:ascii="Times New Roman" w:hAnsi="Times New Roman" w:eastAsia="Times New Roman"/>
          <w:b w:val="0"/>
          <w:i w:val="0"/>
          <w:color w:val="000000"/>
          <w:sz w:val="20"/>
        </w:rPr>
        <w:t>Candidate method: a lightweight target-appearance augmentation fitted on training data, combined with an explicit diagnostic-damage or lesion-preservation constraint. Appearance matching alone is insufficient because transformations can improve global statistics while obscuring lesions.</w:t>
      </w:r>
    </w:p>
    <w:p>
      <w:pPr>
        <w:spacing w:before="0" w:after="80" w:line="240" w:lineRule="auto"/>
        <w:jc w:val="both"/>
      </w:pPr>
      <w:r>
        <w:rPr>
          <w:rFonts w:ascii="Times New Roman" w:hAnsi="Times New Roman" w:eastAsia="Times New Roman"/>
          <w:b w:val="0"/>
          <w:i w:val="0"/>
          <w:color w:val="000000"/>
          <w:sz w:val="20"/>
        </w:rPr>
        <w:t>The novelty claim becomes supportable only if the method is distinct from the closest augmentation, consistency, synthesis and structural-preservation methods; improves over the strongest fair baseline across seeds; survives an ablation that isolates the preservation constraint; and passes a qualified preservation review or a validated lesion-sensitive proxy.</w:t>
      </w:r>
    </w:p>
    <w:p>
      <w:pPr>
        <w:spacing w:before="0" w:after="80" w:line="240" w:lineRule="auto"/>
        <w:jc w:val="both"/>
      </w:pPr>
      <w:r>
        <w:rPr>
          <w:rFonts w:ascii="Times New Roman" w:hAnsi="Times New Roman" w:eastAsia="Times New Roman"/>
          <w:b w:val="0"/>
          <w:i w:val="0"/>
          <w:color w:val="000000"/>
          <w:sz w:val="20"/>
        </w:rPr>
        <w:t>Falsification rule: if balance controls explain the apparent gain, or fitted degradation fails to improve validation performance consistently, the mechanism will not be presented as an effective method. The paper direction must then shift to the strongest supported diagnostic finding rather than inventing a positive result.</w:t>
      </w:r>
    </w:p>
    <w:p>
      <w:pPr>
        <w:spacing w:before="160" w:after="60" w:line="240" w:lineRule="auto"/>
      </w:pPr>
      <w:r>
        <w:rPr>
          <w:rFonts w:ascii="Times New Roman" w:hAnsi="Times New Roman" w:eastAsia="Times New Roman"/>
          <w:b/>
          <w:i w:val="0"/>
          <w:color w:val="000000"/>
          <w:sz w:val="22"/>
        </w:rPr>
        <w:t>VIII.  NEXT ACTIONS</w:t>
      </w:r>
    </w:p>
    <w:p>
      <w:pPr>
        <w:spacing w:before="0" w:after="40" w:line="240" w:lineRule="auto"/>
        <w:ind w:left="288" w:hanging="216"/>
      </w:pPr>
      <w:r>
        <w:rPr>
          <w:rFonts w:ascii="Times New Roman" w:hAnsi="Times New Roman" w:eastAsia="Times New Roman"/>
          <w:b w:val="0"/>
          <w:i w:val="0"/>
          <w:color w:val="000000"/>
          <w:sz w:val="20"/>
        </w:rPr>
        <w:t>•  Complete allocated Step-3 unit/preflight checks and GPU smoke validation.</w:t>
      </w:r>
    </w:p>
    <w:p>
      <w:pPr>
        <w:spacing w:before="0" w:after="40" w:line="240" w:lineRule="auto"/>
        <w:ind w:left="288" w:hanging="216"/>
      </w:pPr>
      <w:r>
        <w:rPr>
          <w:rFonts w:ascii="Times New Roman" w:hAnsi="Times New Roman" w:eastAsia="Times New Roman"/>
          <w:b w:val="0"/>
          <w:i w:val="0"/>
          <w:color w:val="000000"/>
          <w:sz w:val="20"/>
        </w:rPr>
        <w:t>•  Run C1–C3 seed 0 concurrently on three nonexclusive nodes and use validation only for screening.</w:t>
      </w:r>
    </w:p>
    <w:p>
      <w:pPr>
        <w:spacing w:before="0" w:after="40" w:line="240" w:lineRule="auto"/>
        <w:ind w:left="288" w:hanging="216"/>
      </w:pPr>
      <w:r>
        <w:rPr>
          <w:rFonts w:ascii="Times New Roman" w:hAnsi="Times New Roman" w:eastAsia="Times New Roman"/>
          <w:b w:val="0"/>
          <w:i w:val="0"/>
          <w:color w:val="000000"/>
          <w:sz w:val="20"/>
        </w:rPr>
        <w:t>•  Replicate only interpretation-critical controls at seeds 1 and 2.</w:t>
      </w:r>
    </w:p>
    <w:p>
      <w:pPr>
        <w:spacing w:before="0" w:after="40" w:line="240" w:lineRule="auto"/>
        <w:ind w:left="288" w:hanging="216"/>
      </w:pPr>
      <w:r>
        <w:rPr>
          <w:rFonts w:ascii="Times New Roman" w:hAnsi="Times New Roman" w:eastAsia="Times New Roman"/>
          <w:b w:val="0"/>
          <w:i w:val="0"/>
          <w:color w:val="000000"/>
          <w:sz w:val="20"/>
        </w:rPr>
        <w:t>•  Select the simplest strong fair baseline, then compare ordinary augmentation, a faithful published component and FIT-only fitted degradation.</w:t>
      </w:r>
    </w:p>
    <w:p>
      <w:pPr>
        <w:spacing w:before="0" w:after="40" w:line="240" w:lineRule="auto"/>
        <w:ind w:left="288" w:hanging="216"/>
      </w:pPr>
      <w:r>
        <w:rPr>
          <w:rFonts w:ascii="Times New Roman" w:hAnsi="Times New Roman" w:eastAsia="Times New Roman"/>
          <w:b w:val="0"/>
          <w:i w:val="0"/>
          <w:color w:val="000000"/>
          <w:sz w:val="20"/>
        </w:rPr>
        <w:t>•  Validate diagnostic preservation and complete the closest-method novelty comparison before writing a contribution claim.</w:t>
      </w:r>
    </w:p>
    <w:p>
      <w:pPr>
        <w:spacing w:before="160" w:after="60" w:line="240" w:lineRule="auto"/>
      </w:pPr>
      <w:r>
        <w:rPr>
          <w:rFonts w:ascii="Times New Roman" w:hAnsi="Times New Roman" w:eastAsia="Times New Roman"/>
          <w:b/>
          <w:i w:val="0"/>
          <w:color w:val="000000"/>
          <w:sz w:val="22"/>
        </w:rPr>
        <w:t>IX.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 when complete</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