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BRSET to mBRSET Cross-Device Retinal Classification</w:t>
      </w:r>
    </w:p>
    <w:p>
      <w:pPr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Living Research Record and Evidence Audit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18"/>
        </w:rPr>
        <w:t>Updated 15 September 2026 | Current state: Step 5 mechanism direction selected; implementation gates pending</w:t>
      </w:r>
    </w:p>
    <w:p>
      <w:pPr>
        <w:spacing w:before="0" w:after="140" w:line="240" w:lineRule="auto"/>
        <w:jc w:val="both"/>
      </w:pPr>
      <w:r>
        <w:rPr>
          <w:rFonts w:ascii="Times New Roman" w:hAnsi="Times New Roman" w:eastAsia="Times New Roman"/>
          <w:b/>
          <w:i/>
          <w:color w:val="000000"/>
          <w:sz w:val="20"/>
        </w:rPr>
        <w:t>Abstract—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This record tracks a supervised cross-device study for image-level diabetic retinopathy (DR) and macular edema (ME) classification. The evidence establishes a strong joint BRSET–mBRSET baseline, closes the balance/exposure investigation, and rejects direct target-calibrated appearance augmentation under the frozen Step-4 screen. Step 5 will repair the missing strict source-only baseline, reproduce a published feature-pruning diagnostic, and test an action-conditioned latent-transition hypothesis. A novel method has not yet been established.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I.  RESEARCH QUESTION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Can a model trained with tabletop-camera BRSET images and labeled handheld-camera mBRSET images improve DR and ME recognition on mBRSET, and can the improvement be attributed to a defensible cross-device mechanism rather than data quantity, class balance, threshold choice, or random seed?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Current contribution status: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The study has a verified experimental foundation, a repeated joint-training advantage, and two informative negative mechanism analyses. A paper-level contribution remains conditional on Step-5 controlled validation, replication, and closest-method evidence.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II.  DATA AND EVALUATION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88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Dataset role</w:t>
            </w:r>
          </w:p>
        </w:tc>
        <w:tc>
          <w:tcPr>
            <w:tcW w:type="dxa" w:w="144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Images</w:t>
            </w:r>
          </w:p>
        </w:tc>
        <w:tc>
          <w:tcPr>
            <w:tcW w:type="dxa" w:w="144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Patients</w:t>
            </w:r>
          </w:p>
        </w:tc>
        <w:tc>
          <w:tcPr>
            <w:tcW w:type="dxa" w:w="43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Use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BRSET train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11,372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5,966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Source fitting only</w:t>
            </w:r>
          </w:p>
        </w:tc>
      </w:tr>
      <w:tr>
        <w:tc>
          <w:tcPr>
            <w:tcW w:type="dxa" w:w="288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mBRSET train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3,402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899</w:t>
            </w:r>
          </w:p>
        </w:tc>
        <w:tc>
          <w:tcPr>
            <w:tcW w:type="dxa" w:w="43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Target fitting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mBRSET validation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725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193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Checkpoint and threshold selection</w:t>
            </w:r>
          </w:p>
        </w:tc>
      </w:tr>
      <w:tr>
        <w:tc>
          <w:tcPr>
            <w:tcW w:type="dxa" w:w="288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mBRSET test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732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193</w:t>
            </w:r>
          </w:p>
        </w:tc>
        <w:tc>
          <w:tcPr>
            <w:tcW w:type="dxa" w:w="43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Gated assessment; historically reused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Labels are image-level binary outcomes: any DR and ME. A patient is counted as positive in prevalence summaries when at least one image is positive; this is not a separately adjudicated patient diagnosis. Exact native-RGB and EXIF-normalized duplicate scans passed for the included images, but near-duplicate and cross-dataset identity risks are not fully excluded.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III.  DEGRADATION STUDY COMPLETED FOR ADVISOR UPDATE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The fitted transform was estimated on training-only images and then applied, without refitting, to a patient-disjoint training-only check set. It changes image appearance; it has not yet been shown to preserve lesions or improve diagnosis.</w:t>
      </w:r>
    </w:p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D(x,t) = sqrt[Σₖ ((sₖ(x) − μₖ,t) / σₖ,t)²]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Here sₖ(x) is one measured appearance statistic for image x, while μₖ,t and σₖ,t are the target-domain mean and scale. Lower distance means closer agreement with the selected appearance statistics; it does not mean greater clinical realism.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Preprocessing</w:t>
            </w:r>
          </w:p>
        </w:tc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BRSET unchanged</w:t>
            </w:r>
          </w:p>
        </w:tc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Local generic transform</w:t>
            </w:r>
          </w:p>
        </w:tc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Frozen fitted transform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Legacy 512 resize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6.742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10.092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1.261</w:t>
            </w:r>
          </w:p>
        </w:tc>
      </w:tr>
      <w:tr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560 resize / 512 crop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8.474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12.011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4.294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Result: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the frozen fitted transform reduced the measured appearance distance in both preprocessing settings. Limitation: the target examples are unpaired, and the measured statistics do not validate diagnostic preservation or classifier improvement.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IV.  FIXED BASELINE PROTOCOL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All Step-2 arms use ConvNeXt V2 Tiny, 5,775 optimizer updates, effective batch size 64, focal loss, ordinary spatial/color augmentation, Mixup, AdamW, exponential moving average weights, and four-flip evaluation. The mBRSET validation split selects the checkpoint by mean DR/ME AUROC and selects one F1 threshold per label. No degradation, routing, or private encoder is used.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Arm</w:t>
            </w:r>
          </w:p>
        </w:tc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Training data</w:t>
            </w:r>
          </w:p>
        </w:tc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Meaning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B0 target-only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3,402 mBRSET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Learn only from labeled target images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B1 joint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11,372 BRSET + 3,402 mBRSET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Mix source and target in one training pool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B2 source to target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11,372 BRSET, then 3,402 mBRSET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Pretrain on source, then fine-tune on target</w:t>
            </w:r>
          </w:p>
        </w:tc>
      </w:tr>
    </w:tbl>
    <w:p>
      <w:pPr>
        <w:spacing w:after="20"/>
      </w:pP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V.  STEP-2 RESULTS: THREE TRAINING SEEDS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Seed</w:t>
            </w:r>
          </w:p>
        </w:tc>
        <w:tc>
          <w:tcPr>
            <w:tcW w:type="dxa" w:w="168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Arm</w:t>
            </w:r>
          </w:p>
        </w:tc>
        <w:tc>
          <w:tcPr>
            <w:tcW w:type="dxa" w:w="168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DR F1</w:t>
            </w:r>
          </w:p>
        </w:tc>
        <w:tc>
          <w:tcPr>
            <w:tcW w:type="dxa" w:w="168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DR AUROC</w:t>
            </w:r>
          </w:p>
        </w:tc>
        <w:tc>
          <w:tcPr>
            <w:tcW w:type="dxa" w:w="168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 F1</w:t>
            </w:r>
          </w:p>
        </w:tc>
        <w:tc>
          <w:tcPr>
            <w:tcW w:type="dxa" w:w="168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 AUROC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B0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0.8000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0.9339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0.8571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0.9687</w:t>
            </w:r>
          </w:p>
        </w:tc>
      </w:tr>
      <w:tr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B1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0.8312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0.9451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0.9060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0.9945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B2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0.8041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0.9410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0.7805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0.9866</w:t>
            </w:r>
          </w:p>
        </w:tc>
      </w:tr>
      <w:tr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B0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0.8051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0.9442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0.8000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0.9888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B1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0.8310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0.9489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0.8224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0.9950</w:t>
            </w:r>
          </w:p>
        </w:tc>
      </w:tr>
      <w:tr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B2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0.8239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0.9449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0.8430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0.9890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B0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0.8264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0.9404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0.8148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0.9930</w:t>
            </w:r>
          </w:p>
        </w:tc>
      </w:tr>
      <w:tr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B1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0.8393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0.9461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0.8571</w:t>
            </w:r>
          </w:p>
        </w:tc>
        <w:tc>
          <w:tcPr>
            <w:tcW w:type="dxa" w:w="168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0.9940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B2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0.8137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0.9388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0.8319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0.9889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Arm</w:t>
            </w:r>
          </w:p>
        </w:tc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DR F1 mean ± SD</w:t>
            </w:r>
          </w:p>
        </w:tc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DR AUROC</w:t>
            </w:r>
          </w:p>
        </w:tc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 F1 mean ± SD</w:t>
            </w:r>
          </w:p>
        </w:tc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 AUROC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B0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0.8105 ± 0.0140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0.9395 ± 0.0052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0.8240 ± 0.0297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0.9835 ± 0.0130</w:t>
            </w:r>
          </w:p>
        </w:tc>
      </w:tr>
      <w:tr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B1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0.8338 ± 0.0048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0.9467 ± 0.0020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0.8619 ± 0.0420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0.9945 ± 0.0005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B2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0.8139 ± 0.0099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0.9416 ± 0.0031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0.8184 ± 0.0333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0.9882 ± 0.0014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Verified finding: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B1 exceeded B0 F1 for DR and ME in every seed. Mean B1−B0 differences were +0.0233 for DR and +0.0379 for ME. B1 passes the prespecified engineering screen and becomes the Step-3 reference.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Interpretation limit: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Three seeds provide a limited estimate of training variability. Patient bootstrap intervals for a fixed trained model do not include all training uncertainty. The reused test split is development benchmark evidence, not untouched external validation. The result is neither a novelty claim nor a clinical superiority claim.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VI.  STEP-3 BALANCE AND EXPOSURE CONTROLS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Purpose: determine whether B1 benefits from domain mixing, the DR/ME label composition, or their interaction. Every model and optimization setting remains fixed; only the deterministic sampler changes.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Arm</w:t>
            </w:r>
          </w:p>
        </w:tc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BRSET/mBRSET sampling</w:t>
            </w:r>
          </w:p>
        </w:tc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Joint DR/ME sampling</w:t>
            </w:r>
          </w:p>
        </w:tc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Question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B1 existing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Natural pool ratio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Natural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Reference</w:t>
            </w:r>
          </w:p>
        </w:tc>
      </w:tr>
      <w:tr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C1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50% / 50%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Natural per domain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Effect of domain frequency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C2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Natural pool ratio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Target proportions per domain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Effect of label composition</w:t>
            </w:r>
          </w:p>
        </w:tc>
      </w:tr>
      <w:tr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C3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50% / 50%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Target proportions per domain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Interaction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Exposure fact: over 369,600 image draws, B0 sees about 369,600 target draws, natural B1 about 85,108, and an equal-domain control 184,800. B1 therefore did not improve simply because it saw more target draws than B0. This does not reveal why source data helped.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Small-cell risk: DR0/ME1 contains only 22 BRSET and 14 mBRSET training images. Repetition is reported explicitly and cannot be treated as new independent evidence. A sensitivity analysis is required before adopting a target-label-matched sampler as the paper baseline.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Implementation state: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deterministic exact-quota sampler, resume equivalence tests and exposure ledger prepared. Allocated preflight: passed; current run state: Step 3 complete; natural joint B1 retained for Step 4. No Step-3 test assessment has been performed.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Arm</w:t>
            </w:r>
          </w:p>
        </w:tc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Validation DR F1</w:t>
            </w:r>
          </w:p>
        </w:tc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DR AUROC</w:t>
            </w:r>
          </w:p>
        </w:tc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 F1</w:t>
            </w:r>
          </w:p>
        </w:tc>
        <w:tc>
          <w:tcPr>
            <w:tcW w:type="dxa" w:w="2016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 AUROC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B1 existing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0.8703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0.9563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0.8489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0.9904</w:t>
            </w:r>
          </w:p>
        </w:tc>
      </w:tr>
      <w:tr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C1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0.8768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0.9490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0.8636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0.9895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C2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0.8772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0.9551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0.8504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0.9914</w:t>
            </w:r>
          </w:p>
        </w:tc>
      </w:tr>
      <w:tr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C3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0.8739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0.9559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0.8507</w:t>
            </w:r>
          </w:p>
        </w:tc>
        <w:tc>
          <w:tcPr>
            <w:tcW w:type="dxa" w:w="2016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0.9890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These are validation-screening values. They must be verified and cannot be reported as test results.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Seed</w:t>
            </w:r>
          </w:p>
        </w:tc>
        <w:tc>
          <w:tcPr>
            <w:tcW w:type="dxa" w:w="144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B1 DR F1</w:t>
            </w:r>
          </w:p>
        </w:tc>
        <w:tc>
          <w:tcPr>
            <w:tcW w:type="dxa" w:w="144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C1 DR F1</w:t>
            </w:r>
          </w:p>
        </w:tc>
        <w:tc>
          <w:tcPr>
            <w:tcW w:type="dxa" w:w="144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Difference</w:t>
            </w:r>
          </w:p>
        </w:tc>
        <w:tc>
          <w:tcPr>
            <w:tcW w:type="dxa" w:w="144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B1 ME F1</w:t>
            </w:r>
          </w:p>
        </w:tc>
        <w:tc>
          <w:tcPr>
            <w:tcW w:type="dxa" w:w="144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C1 ME F1</w:t>
            </w:r>
          </w:p>
        </w:tc>
        <w:tc>
          <w:tcPr>
            <w:tcW w:type="dxa" w:w="144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Difference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0.8703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0.8768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+0.0065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0.8489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0.8636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+0.0147</w:t>
            </w:r>
          </w:p>
        </w:tc>
      </w:tr>
      <w:tr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0.8727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0.8652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-0.0076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0.8462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0.8467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+0.0006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0.8678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0.8795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+0.0117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0.8421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0.8504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+0.0083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C1 cross-seed values are validation-only evidence used to choose the Step-4 baseline. They are not an external test result.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Step-3 decision: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retain natural B1. Mean C1−B1 validation differences were +0.0035 DR F1 and +0.0079 ME F1. DR changed direction across seeds, while C1 mean AUROC was lower for both labels. All six B1/C1 runs peaked before the final quarter and declined thereafter, so the conditional longer-exposure run is not justified.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VII.  STEP-4 TRAINING-ONLY APPEARANCE AUDIT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Purpose: check whether unequal DR/ME prevalence materially changes the five measured BRSET–mBRSET appearance gaps before refitting the degradation transform.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Statistic</w:t>
            </w:r>
          </w:p>
        </w:tc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Raw gap / target SD</w:t>
            </w:r>
          </w:p>
        </w:tc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Common-composition gap / target SD</w:t>
            </w:r>
          </w:p>
        </w:tc>
        <w:tc>
          <w:tcPr>
            <w:tcW w:type="dxa" w:w="252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Change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Sharpness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+2.0943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+2.1209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+0.0266</w:t>
            </w:r>
          </w:p>
        </w:tc>
      </w:tr>
      <w:tr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Brightness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-0.3962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-0.3693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+0.0269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Contrast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+1.3073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+1.3436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+0.0363</w:t>
            </w:r>
          </w:p>
        </w:tc>
      </w:tr>
      <w:tr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Falloff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+0.1678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+0.1701</w:t>
            </w:r>
          </w:p>
        </w:tc>
        <w:tc>
          <w:tcPr>
            <w:tcW w:type="dxa" w:w="252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+0.0022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Saturation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-0.4149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-0.4587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-0.0438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Verified finding: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all 14,774 original-training images were measured. Standardizing both domains to the same pooled joint-label composition reversed no direction and changed each gap by less than 0.05 mBRSET standard deviations. Proceed with a global training-only refit; a label-standardized classifier arm is not justified.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Interpretation limit: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this is descriptive sensitivity analysis. Recorded DR/ME labels do not separate camera effects from population, site, image quality, other disease or unmeasured differences, and global appearance summaries do not establish lesion preservation.</w:t>
      </w:r>
    </w:p>
    <w:p>
      <w:pPr>
        <w:spacing w:before="100" w:after="60" w:line="240" w:lineRule="auto"/>
      </w:pPr>
      <w:r>
        <w:rPr>
          <w:rFonts w:ascii="Times New Roman" w:hAnsi="Times New Roman" w:eastAsia="Times New Roman"/>
          <w:b/>
          <w:i/>
          <w:color w:val="000000"/>
          <w:sz w:val="20"/>
        </w:rPr>
        <w:t>VII-A.  STEP-4 TRANSFORM REFIT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Validation transform</w:t>
            </w:r>
          </w:p>
        </w:tc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Appearance distance mean</w:t>
            </w:r>
          </w:p>
        </w:tc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Range across 3 draws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Unchanged source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6.066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6.066–6.066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Historical frozen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4.211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4.200–4.229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Refitted full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0.902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0.894–0.914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Refitted no overlays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0.942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0.936–0.948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The refit used target means/scales from all 3,402 target-training images and two patient-disjoint 96-image source subsets for fitting and validation. These distances measure five global statistics; they do not certify lesions or camera physics.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Parameter</w:t>
            </w:r>
          </w:p>
        </w:tc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Refitted full</w:t>
            </w:r>
          </w:p>
        </w:tc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Refitted no overlays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Blur sigma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0.5628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0.4367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Illumination strength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0.2936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0.1195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Spot / hole count; halo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 / 0; 0.1218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 / 0; 0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Brightness / contrast / saturation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0.8623 / 1.8712 / 0.6660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0.7451 / 1.8679 / 0.5687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Sensor-noise sigma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0.00436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0.00500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Implementation gate: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passed. The target-domain training transform is bitwise identical to B1, fitted parameters are valid, and a private four-row qualitative gallery was generated. The gallery is excluded from this report under the privacy policy.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Arm</w:t>
            </w:r>
          </w:p>
        </w:tc>
        <w:tc>
          <w:tcPr>
            <w:tcW w:type="dxa" w:w="12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DR F1</w:t>
            </w:r>
          </w:p>
        </w:tc>
        <w:tc>
          <w:tcPr>
            <w:tcW w:type="dxa" w:w="12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Δ from B1</w:t>
            </w:r>
          </w:p>
        </w:tc>
        <w:tc>
          <w:tcPr>
            <w:tcW w:type="dxa" w:w="12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DR AUROC</w:t>
            </w:r>
          </w:p>
        </w:tc>
        <w:tc>
          <w:tcPr>
            <w:tcW w:type="dxa" w:w="12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 F1</w:t>
            </w:r>
          </w:p>
        </w:tc>
        <w:tc>
          <w:tcPr>
            <w:tcW w:type="dxa" w:w="12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Δ from B1</w:t>
            </w:r>
          </w:p>
        </w:tc>
        <w:tc>
          <w:tcPr>
            <w:tcW w:type="dxa" w:w="12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 AUROC</w:t>
            </w:r>
          </w:p>
        </w:tc>
        <w:tc>
          <w:tcPr>
            <w:tcW w:type="dxa" w:w="12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Replicate?</w:t>
            </w:r>
          </w:p>
        </w:tc>
      </w:tr>
      <w:tr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B1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0.8703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0.9563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0.8489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0.9904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Reference</w:t>
            </w:r>
          </w:p>
        </w:tc>
      </w:tr>
      <w:tr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A1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0.8772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+0.0069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0.9530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0.8462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-0.0028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0.9904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A2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0.8739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+0.0036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0.9558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0.8485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-0.0004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0.9906</w:t>
            </w:r>
          </w:p>
        </w:tc>
        <w:tc>
          <w:tcPr>
            <w:tcW w:type="dxa" w:w="12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A3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0.8765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+0.0062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0.9601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0.8485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-0.0004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0.9903</w:t>
            </w:r>
          </w:p>
        </w:tc>
        <w:tc>
          <w:tcPr>
            <w:tcW w:type="dxa" w:w="12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No</w:t>
            </w:r>
          </w:p>
        </w:tc>
      </w:tr>
    </w:tbl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Step-4 seed-0 decision: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no arm passed the frozen replication gate. Each DR F1 change was positive but below +0.01, while ME was essentially flat or slightly lower. A3 improved DR AUROC by +0.0038, but this single-seed signal is insufficient for a gain claim. No Step-4 test assessment is included.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VIII.  NOVELTY GATE, WORLD MODEL AND PAPER DIRECTION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Selected hypothesis: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use the Step-4 overlay-free transform as a measured action rather than as an extra labeled image. Given an original BRSET view, a transformed view, and the sampled blur/color/noise strengths, a small predictor learns to recover the original ConvNeXt feature. A separate loss keeps DR and ME predictions stable. The predictor is discarded at inference.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Controls: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W1 uses paired feature consistency without the action; W2 adds the action-conditioned transition; W3 adds separate DR/ME prediction preservation. W3 must beat both the natural joint B1 reference and W1, pass the fixed validation gate, and then repeat at seeds 1 and 2 before any test assessment or contribution claim.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World-model decision: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CheXWorld (CVPR 2025) supports parameter-conditioned latent prediction, while I-JEPA (CVPR 2023) establishes non-generative feature prediction. A full diffusion/pixel generator is deferred because Step 4 shows that target-like appearance does not imply better diagnosis and generated lesions would require substantially stronger preservation evidence.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Closest-work audit: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generic consistency, grade-conditioned augmentation, retinal semantic/domain disentanglement, standardized-color masked modeling and feature pruning are already occupied. CVPR 2026 GFP will be reproduced as a low-cost comparator, not claimed as ours. CheXWorld code has no root license; the method will be independently implemented. The current Samba-linked repository contains an account-takeover warning and will not be executed.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Terminology boundary: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B1 trains on BRSET and labeled mBRSET training images, so it is supervised joint transfer. A new strict source-only run must train and select on BRSET before assessing mBRSET; only that run quantifies the pure BRSET-to-mBRSET gap.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IX.  NEXT ACTIONS</w:t>
      </w:r>
    </w:p>
    <w:p>
      <w:pPr>
        <w:spacing w:before="0" w:after="40" w:line="240" w:lineRule="auto"/>
        <w:ind w:left="288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Preserve A1/A2/A3 as a completed negative validation screen; do not assess them on test or replicate them automatically.</w:t>
      </w:r>
    </w:p>
    <w:p>
      <w:pPr>
        <w:spacing w:before="0" w:after="40" w:line="240" w:lineRule="auto"/>
        <w:ind w:left="288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Freeze and run the strict BRSET-only baseline using BRSET validation for checkpoint and threshold selection.</w:t>
      </w:r>
    </w:p>
    <w:p>
      <w:pPr>
        <w:spacing w:before="0" w:after="40" w:line="240" w:lineRule="auto"/>
        <w:ind w:left="288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Extract frozen B1 features and reproduce CVPR 2026 GFP on fitting/validation data as a published comparator and diagnostic.</w:t>
      </w:r>
    </w:p>
    <w:p>
      <w:pPr>
        <w:spacing w:before="0" w:after="40" w:line="240" w:lineRule="auto"/>
        <w:ind w:left="288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Freeze W1/W2/W3 action, feature, loss, exposure, resume and no-test contracts; then pass an allocated A40 smoke test.</w:t>
      </w:r>
    </w:p>
    <w:p>
      <w:pPr>
        <w:spacing w:before="0" w:after="40" w:line="240" w:lineRule="auto"/>
        <w:ind w:left="288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Run the three seed-0 arms concurrently on at most three nonexclusive single-GPU nodes; replicate only a qualifying arm.</w:t>
      </w:r>
    </w:p>
    <w:p>
      <w:pPr>
        <w:spacing w:before="0" w:after="40" w:line="240" w:lineRule="auto"/>
        <w:ind w:left="288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Ask Dong to confirm the exact world-model paper title and venue when he responds.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X.  AUDIT TRAIL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Date</w:t>
            </w:r>
          </w:p>
        </w:tc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Milestone</w:t>
            </w:r>
          </w:p>
        </w:tc>
        <w:tc>
          <w:tcPr>
            <w:tcW w:type="dxa" w:w="3360"/>
            <w:vAlign w:val="center"/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Evidence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 Sep 2026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Degradation update completed and user sent it to Dong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validation_summary.json; deliverable_checks.json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 Sep 2026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Comparison protocol frozen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STEP_1_PROTOCOL.md; preflight_v1.json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12 Sep 2026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Nine Step-2 runs and three assessments complete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baseline_assessment_three_seeds.json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12 Sep 2026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Independent seed checks and Step-2 closure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seed*_independent_verification.json; STEP_2_FINAL_REVIEW.md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12 Sep 2026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Step-3 sampler controls prepared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SAMPLER_PROTOCOL.md; preflight.json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13 Sep 2026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Step-3 controls, C1 replication and curve decision complete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c1_validation_three_seeds.json; final_curve_review.json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14 Sep 2026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Step-4 training-only label-composition audit complete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appearance_label_audit.json; APPEARANCE_LABEL_AUDIT_REVIEW.md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14 Sep 2026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Meeting/world-model direction audited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DONG_TRANSCRIPT_AUDIT_2026-09.md; STEP4_WORLD_MODEL_DIRECTION_REVIEW.md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15 Sep 2026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Step-4 seed-0 augmentation screen complete; no arm passed replication gate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seed0_validation_summary.json; SEED0_RESULTS_REVIEW.md</w:t>
            </w:r>
          </w:p>
        </w:tc>
      </w:tr>
      <w:tr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15 Sep 2026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Step-5 deep review and controlled mechanism direction selected</w:t>
            </w:r>
          </w:p>
        </w:tc>
        <w:tc>
          <w:tcPr>
            <w:tcW w:type="dxa" w:w="3360"/>
            <w:vAlign w:val="center"/>
            <w:shd w:fill="F3F5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STEP5_MECHANISM_DEEP_RESEARCH.md; STEP_5_PLAN_DRAFT.md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b w:val="0"/>
      <w:i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i w:val="0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