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15 September 2026 | Current state: Step 5 appearance premise rejected; spatial diagnostics next</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rejects direct appearance augmentation. A Step-5 error audit also found insufficient evidence that five global appearance variables explain B1 errors, so degradation-conditioned training is suspended. Strict source-only, feature-pruning and spatial-evidence diagnostics are next. A novel method has not yet been established.</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two informative negative mechanism analyses. A paper-level contribution remains conditional on Step-5 controlled validation, replication,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00" w:after="60" w:line="240" w:lineRule="auto"/>
      </w:pPr>
      <w:r>
        <w:rPr>
          <w:rFonts w:ascii="Times New Roman" w:hAnsi="Times New Roman" w:eastAsia="Times New Roman"/>
          <w:b/>
          <w:i/>
          <w:color w:val="000000"/>
          <w:sz w:val="20"/>
        </w:rPr>
        <w:t>VII-A.  STEP-4 TRANSFORM REFIT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Validation transform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Appearance distance mean</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Range across 3 draws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Unchanged source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6.066–6.066</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Historical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4.211</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4.200–4.229</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Refitted full</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0.902</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0.894–0.914</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Refitted no overlays</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0.942</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0.936–0.948</w:t>
            </w:r>
          </w:p>
        </w:tc>
      </w:tr>
    </w:tbl>
    <w:p>
      <w:pPr>
        <w:spacing w:after="20"/>
      </w:pPr>
    </w:p>
    <w:p>
      <w:pPr>
        <w:spacing w:before="0" w:after="80" w:line="240" w:lineRule="auto"/>
        <w:jc w:val="both"/>
      </w:pPr>
      <w:r>
        <w:rPr>
          <w:rFonts w:ascii="Times New Roman" w:hAnsi="Times New Roman" w:eastAsia="Times New Roman"/>
          <w:b w:val="0"/>
          <w:i w:val="0"/>
          <w:color w:val="000000"/>
          <w:sz w:val="20"/>
        </w:rPr>
        <w:t>The refit used target means/scales from all 3,402 target-training images and two patient-disjoint 96-image source subsets for fitting and validation. These distances measure five global statistics; they do not certify lesions or camera physics.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Parameter</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full</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no overlays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Blur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0.5628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0.4367</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Illumination strength</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0.2936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0.1195</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Spot / hole count; halo</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 / 0; 0.1218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 / 0; 0</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Brightness / contrast / saturation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0.8623 / 1.8712 / 0.6660</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0.7451 / 1.8679 / 0.5687</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Sensor-noise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0.00436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0.00500</w:t>
            </w:r>
          </w:p>
        </w:tc>
      </w:tr>
    </w:tbl>
    <w:p>
      <w:pPr>
        <w:spacing w:after="20"/>
      </w:pPr>
    </w:p>
    <w:p>
      <w:pPr>
        <w:spacing w:before="0" w:after="80" w:line="240" w:lineRule="auto"/>
        <w:jc w:val="both"/>
      </w:pPr>
      <w:r>
        <w:rPr>
          <w:rFonts w:ascii="Times New Roman" w:hAnsi="Times New Roman" w:eastAsia="Times New Roman"/>
          <w:b/>
          <w:i w:val="0"/>
          <w:color w:val="000000"/>
          <w:sz w:val="20"/>
        </w:rPr>
        <w:t>Implementation gate:</w:t>
      </w:r>
      <w:r>
        <w:rPr>
          <w:rFonts w:ascii="Times New Roman" w:hAnsi="Times New Roman" w:eastAsia="Times New Roman"/>
          <w:b w:val="0"/>
          <w:i w:val="0"/>
          <w:color w:val="000000"/>
          <w:sz w:val="20"/>
        </w:rPr>
        <w:t xml:space="preserve"> passed. The target-domain training transform is bitwise identical to B1, fitted parameters are valid, and a private four-row qualitative gallery was generated. The gallery is excluded from this report under the privacy policy.</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Replicate?</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B1</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0.8772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+0.0069</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0.9530</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-0.0028</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A2</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0.8739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+0.0036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0.9558</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0.8765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0.9601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bl>
    <w:p>
      <w:pPr>
        <w:spacing w:after="20"/>
      </w:pPr>
    </w:p>
    <w:p>
      <w:pPr>
        <w:spacing w:before="0" w:after="80" w:line="240" w:lineRule="auto"/>
        <w:jc w:val="both"/>
      </w:pPr>
      <w:r>
        <w:rPr>
          <w:rFonts w:ascii="Times New Roman" w:hAnsi="Times New Roman" w:eastAsia="Times New Roman"/>
          <w:b/>
          <w:i w:val="0"/>
          <w:color w:val="000000"/>
          <w:sz w:val="20"/>
        </w:rPr>
        <w:t>Step-4 seed-0 decision:</w:t>
      </w:r>
      <w:r>
        <w:rPr>
          <w:rFonts w:ascii="Times New Roman" w:hAnsi="Times New Roman" w:eastAsia="Times New Roman"/>
          <w:b w:val="0"/>
          <w:i w:val="0"/>
          <w:color w:val="000000"/>
          <w:sz w:val="20"/>
        </w:rPr>
        <w:t xml:space="preserve"> no arm passed the frozen replication gate. Each DR F1 change was positive but below +0.01, while ME was essentially flat or slightly lower. A3 improved DR AUROC by +0.0038, but this single-seed signal is insufficient for a gain claim. No Step-4 test assessment is included.</w:t>
      </w:r>
    </w:p>
    <w:p>
      <w:pPr>
        <w:spacing w:before="160" w:after="60" w:line="240" w:lineRule="auto"/>
      </w:pPr>
      <w:r>
        <w:rPr>
          <w:rFonts w:ascii="Times New Roman" w:hAnsi="Times New Roman" w:eastAsia="Times New Roman"/>
          <w:b/>
          <w:i w:val="0"/>
          <w:color w:val="000000"/>
          <w:sz w:val="22"/>
        </w:rPr>
        <w:t>VIII.  NOVELTY GATE, WORLD MODEL AND PAPER DIRECTION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Label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B1 error rate</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Appearance error-AUROC Δ</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Patient 95% interval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Positive-FN appearance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DR</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0.0611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+0.0108</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-0.0387 to +0.0605</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0.5547</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ME</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0.0285</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+0.0472</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-0.0287 to +0.1284</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0.4055</w:t>
            </w:r>
          </w:p>
        </w:tc>
      </w:tr>
    </w:tbl>
    <w:p>
      <w:pPr>
        <w:spacing w:after="20"/>
      </w:pPr>
    </w:p>
    <w:p>
      <w:pPr>
        <w:spacing w:before="0" w:after="80" w:line="240" w:lineRule="auto"/>
        <w:jc w:val="both"/>
      </w:pPr>
      <w:r>
        <w:rPr>
          <w:rFonts w:ascii="Times New Roman" w:hAnsi="Times New Roman" w:eastAsia="Times New Roman"/>
          <w:b/>
          <w:i w:val="0"/>
          <w:color w:val="000000"/>
          <w:sz w:val="20"/>
        </w:rPr>
        <w:t>Appearance-error gate:</w:t>
      </w:r>
      <w:r>
        <w:rPr>
          <w:rFonts w:ascii="Times New Roman" w:hAnsi="Times New Roman" w:eastAsia="Times New Roman"/>
          <w:b w:val="0"/>
          <w:i w:val="0"/>
          <w:color w:val="000000"/>
          <w:sz w:val="20"/>
        </w:rPr>
        <w:t xml:space="preserve"> neither AUROC-difference interval excludes zero, and positive-case false-negative appearance AUROCs of 0.5547 DR and 0.4055 ME are below the frozen 0.60 screen. Suspend action-conditioned W1/W2/W3. This is evidence about five global variables on development data, not proof that acquisition appearance never matters.</w:t>
      </w:r>
    </w:p>
    <w:p>
      <w:pPr>
        <w:spacing w:before="0" w:after="80" w:line="240" w:lineRule="auto"/>
        <w:jc w:val="both"/>
      </w:pPr>
      <w:r>
        <w:rPr>
          <w:rFonts w:ascii="Times New Roman" w:hAnsi="Times New Roman" w:eastAsia="Times New Roman"/>
          <w:b/>
          <w:i w:val="0"/>
          <w:color w:val="000000"/>
          <w:sz w:val="20"/>
        </w:rPr>
        <w:t>Revised direction:</w:t>
      </w:r>
      <w:r>
        <w:rPr>
          <w:rFonts w:ascii="Times New Roman" w:hAnsi="Times New Roman" w:eastAsia="Times New Roman"/>
          <w:b w:val="0"/>
          <w:i w:val="0"/>
          <w:color w:val="000000"/>
          <w:sz w:val="20"/>
        </w:rPr>
        <w:t xml:space="preserve"> first measure strict BRSET-only transfer, reproduce GFP on frozen B1 features, and test whether label-specific spatial patch evidence improves over global-average pooled features without retraining the backbone. Patch/adaptor training is conditional on that diagnostic.</w:t>
      </w:r>
    </w:p>
    <w:p>
      <w:pPr>
        <w:spacing w:before="0" w:after="80" w:line="240" w:lineRule="auto"/>
        <w:jc w:val="both"/>
      </w:pPr>
      <w:r>
        <w:rPr>
          <w:rFonts w:ascii="Times New Roman" w:hAnsi="Times New Roman" w:eastAsia="Times New Roman"/>
          <w:b/>
          <w:i w:val="0"/>
          <w:color w:val="000000"/>
          <w:sz w:val="20"/>
        </w:rPr>
        <w:t>Conditional controls:</w:t>
      </w:r>
      <w:r>
        <w:rPr>
          <w:rFonts w:ascii="Times New Roman" w:hAnsi="Times New Roman" w:eastAsia="Times New Roman"/>
          <w:b w:val="0"/>
          <w:i w:val="0"/>
          <w:color w:val="000000"/>
          <w:sz w:val="20"/>
        </w:rPr>
        <w:t xml:space="preserve"> P1 is a label-specific patch-evidence head, P2 uses known-device residual adapters with ordinary pooling, and P3 combines them. P3 must beat B1, P1 and P2 before an interaction claim. Generic patch attention, private encoders and adapters are established prior art, so even a gain would require a further novelty audit.</w:t>
      </w:r>
    </w:p>
    <w:p>
      <w:pPr>
        <w:spacing w:before="0" w:after="80" w:line="240" w:lineRule="auto"/>
        <w:jc w:val="both"/>
      </w:pPr>
      <w:r>
        <w:rPr>
          <w:rFonts w:ascii="Times New Roman" w:hAnsi="Times New Roman" w:eastAsia="Times New Roman"/>
          <w:b/>
          <w:i w:val="0"/>
          <w:color w:val="000000"/>
          <w:sz w:val="20"/>
        </w:rPr>
        <w:t>World-model decision:</w:t>
      </w:r>
      <w:r>
        <w:rPr>
          <w:rFonts w:ascii="Times New Roman" w:hAnsi="Times New Roman" w:eastAsia="Times New Roman"/>
          <w:b w:val="0"/>
          <w:i w:val="0"/>
          <w:color w:val="000000"/>
          <w:sz w:val="20"/>
        </w:rPr>
        <w:t xml:space="preserve"> CheXWorld (CVPR 2025) supports parameter-conditioned latent prediction, but our evidence gate does not support spending the first Step-5 GPU batch on the measured degradation action. Full diffusion/pixel generation remains deferred because target-like appearance did not imply better diagnosis and generated lesions require stronger preservation evidence.</w:t>
      </w:r>
    </w:p>
    <w:p>
      <w:pPr>
        <w:spacing w:before="0" w:after="80" w:line="240" w:lineRule="auto"/>
        <w:jc w:val="both"/>
      </w:pPr>
      <w:r>
        <w:rPr>
          <w:rFonts w:ascii="Times New Roman" w:hAnsi="Times New Roman" w:eastAsia="Times New Roman"/>
          <w:b/>
          <w:i w:val="0"/>
          <w:color w:val="000000"/>
          <w:sz w:val="20"/>
        </w:rPr>
        <w:t>Closest-work audit:</w:t>
      </w:r>
      <w:r>
        <w:rPr>
          <w:rFonts w:ascii="Times New Roman" w:hAnsi="Times New Roman" w:eastAsia="Times New Roman"/>
          <w:b w:val="0"/>
          <w:i w:val="0"/>
          <w:color w:val="000000"/>
          <w:sz w:val="20"/>
        </w:rPr>
        <w:t xml:space="preserve"> generic consistency, grade-conditioned augmentation, retinal semantic/domain disentanglement, standardized-color masked modeling and feature pruning are already occupied. CVPR 2026 GFP will be reproduced as a low-cost comparator, not claimed as ours. CheXWorld code has no root license; the method will be independently implemented. The current Samba-linked repository contains an account-takeover warning and will not be executed.</w:t>
      </w:r>
    </w:p>
    <w:p>
      <w:pPr>
        <w:spacing w:before="0" w:after="80" w:line="240" w:lineRule="auto"/>
        <w:jc w:val="both"/>
      </w:pPr>
      <w:r>
        <w:rPr>
          <w:rFonts w:ascii="Times New Roman" w:hAnsi="Times New Roman" w:eastAsia="Times New Roman"/>
          <w:b/>
          <w:i w:val="0"/>
          <w:color w:val="000000"/>
          <w:sz w:val="20"/>
        </w:rPr>
        <w:t>Terminology boundary:</w:t>
      </w:r>
      <w:r>
        <w:rPr>
          <w:rFonts w:ascii="Times New Roman" w:hAnsi="Times New Roman" w:eastAsia="Times New Roman"/>
          <w:b w:val="0"/>
          <w:i w:val="0"/>
          <w:color w:val="000000"/>
          <w:sz w:val="20"/>
        </w:rPr>
        <w:t xml:space="preserve"> B1 trains on BRSET and labeled mBRSET training images, so it is supervised joint transfer. A new strict source-only run must train and select on BRSET before assessing mBRSET; only that run quantifies the pure BRSET-to-mBRSET gap.</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Preserve A1/A2/A3 as a completed negative validation screen; do not assess them on test or replicate them automatically.</w:t>
      </w:r>
    </w:p>
    <w:p>
      <w:pPr>
        <w:spacing w:before="0" w:after="40" w:line="240" w:lineRule="auto"/>
        <w:ind w:left="288" w:hanging="216"/>
      </w:pPr>
      <w:r>
        <w:rPr>
          <w:rFonts w:ascii="Times New Roman" w:hAnsi="Times New Roman" w:eastAsia="Times New Roman"/>
          <w:b w:val="0"/>
          <w:i w:val="0"/>
          <w:color w:val="000000"/>
          <w:sz w:val="20"/>
        </w:rPr>
        <w:t>•  Freeze and run the strict BRSET-only baseline using BRSET validation for checkpoint and threshold selection.</w:t>
      </w:r>
    </w:p>
    <w:p>
      <w:pPr>
        <w:spacing w:before="0" w:after="40" w:line="240" w:lineRule="auto"/>
        <w:ind w:left="288" w:hanging="216"/>
      </w:pPr>
      <w:r>
        <w:rPr>
          <w:rFonts w:ascii="Times New Roman" w:hAnsi="Times New Roman" w:eastAsia="Times New Roman"/>
          <w:b w:val="0"/>
          <w:i w:val="0"/>
          <w:color w:val="000000"/>
          <w:sz w:val="20"/>
        </w:rPr>
        <w:t>•  Extract frozen B1 pooled/spatial features; reproduce CVPR 2026 GFP and compare global with label-specific spatial evidence without test access.</w:t>
      </w:r>
    </w:p>
    <w:p>
      <w:pPr>
        <w:spacing w:before="0" w:after="40" w:line="240" w:lineRule="auto"/>
        <w:ind w:left="288" w:hanging="216"/>
      </w:pPr>
      <w:r>
        <w:rPr>
          <w:rFonts w:ascii="Times New Roman" w:hAnsi="Times New Roman" w:eastAsia="Times New Roman"/>
          <w:b w:val="0"/>
          <w:i w:val="0"/>
          <w:color w:val="000000"/>
          <w:sz w:val="20"/>
        </w:rPr>
        <w:t>•  Launch P1/P2/P3 only if the frozen spatial diagnostic passes; otherwise move to a stronger published retinal backbone/comparator.</w:t>
      </w:r>
    </w:p>
    <w:p>
      <w:pPr>
        <w:spacing w:before="0" w:after="40" w:line="240" w:lineRule="auto"/>
        <w:ind w:left="288" w:hanging="216"/>
      </w:pPr>
      <w:r>
        <w:rPr>
          <w:rFonts w:ascii="Times New Roman" w:hAnsi="Times New Roman" w:eastAsia="Times New Roman"/>
          <w:b w:val="0"/>
          <w:i w:val="0"/>
          <w:color w:val="000000"/>
          <w:sz w:val="20"/>
        </w:rPr>
        <w:t>•  Require P3 to beat B1, P1 and P2, then replicate a qualifying arm before any test assessment.</w:t>
      </w:r>
    </w:p>
    <w:p>
      <w:pPr>
        <w:spacing w:before="0" w:after="40" w:line="240" w:lineRule="auto"/>
        <w:ind w:left="288" w:hanging="216"/>
      </w:pPr>
      <w:r>
        <w:rPr>
          <w:rFonts w:ascii="Times New Roman" w:hAnsi="Times New Roman" w:eastAsia="Times New Roman"/>
          <w:b w:val="0"/>
          <w:i w:val="0"/>
          <w:color w:val="000000"/>
          <w:sz w:val="20"/>
        </w:rPr>
        <w:t>•  Ask Dong to confirm the exact world-model paper title and venue when he responds.</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Meeting/world-model direction audited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DONG_TRANSCRIPT_AUDIT_2026-09.md; STEP4_WORLD_MODEL_DIRECTION_REVIEW.md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seed-0 augmentation screen complete; no arm passed replication gate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seed0_validation_summary.json; SEED0_RESULTS_REVIEW.md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 deep review and controlled mechanism direction selected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STEP5_MECHANISM_DEEP_RESEARCH.md; STEP_5_PLAN_DRAFT.md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Appearance-error premise failed; degradation-conditioned Step 5 suspended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appearance_error_gate.json; APPEARANCE_ERROR_GATE_REVIEW.md</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