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WORKING RF SYSTEMS ENGINEER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M.S : Electrical and Computer Engineering , Dec. 2013 PURDUE UNIVERSITY GPA: GPA: 3.9/4.0 Electrical and Computer Engineering GPA:</w:t>
        <w:br/>
        <w:t>• 3.9/4.0</w:t>
        <w:br/>
        <w:t>• B.S : Electrical and Computer Engineering , Dec. 2011 GPA: GPA: 3.2/4.0 Electrical and Computer Engineering GPA: 3.2/4.0 Thesis The Design</w:t>
        <w:br/>
        <w:t>• and Evaluation of a 5.8 GHz Laptop-Based Radar System Publication Â· Innovative laptop radar design to operate in both FMCW and CW</w:t>
        <w:br/>
        <w:t>• mode Â· Doppler shift (DTI), ranging (RTI), and SAR measurement capability Â· Operate in ISM frequency band with +13dBm transmitting</w:t>
        <w:br/>
        <w:t>• power Â· Data acquisition and signal processing using Matlab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