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78C57" w14:textId="77777777" w:rsidR="00401605" w:rsidRPr="00401605" w:rsidRDefault="00401605" w:rsidP="00401605">
      <w:pPr>
        <w:spacing w:line="360" w:lineRule="auto"/>
        <w:rPr>
          <w:b/>
          <w:bCs/>
          <w:sz w:val="22"/>
          <w:szCs w:val="22"/>
          <w:lang w:val="en-AU"/>
        </w:rPr>
      </w:pPr>
      <w:r w:rsidRPr="00401605">
        <w:rPr>
          <w:b/>
          <w:bCs/>
          <w:sz w:val="22"/>
          <w:szCs w:val="22"/>
          <w:lang w:val="en-AU"/>
        </w:rPr>
        <w:t>Cloud Services</w:t>
      </w:r>
    </w:p>
    <w:p w14:paraId="787C2DDE" w14:textId="77777777" w:rsidR="00401605" w:rsidRDefault="00401605" w:rsidP="00401605">
      <w:pPr>
        <w:spacing w:line="360" w:lineRule="auto"/>
        <w:rPr>
          <w:sz w:val="22"/>
          <w:szCs w:val="22"/>
          <w:lang w:val="en-AU"/>
        </w:rPr>
      </w:pPr>
    </w:p>
    <w:p w14:paraId="2073706D" w14:textId="2187F985" w:rsidR="00401605" w:rsidRPr="00401605" w:rsidRDefault="00401605" w:rsidP="00401605">
      <w:pPr>
        <w:spacing w:line="360" w:lineRule="auto"/>
        <w:rPr>
          <w:sz w:val="22"/>
          <w:szCs w:val="22"/>
          <w:lang w:val="en-AU"/>
        </w:rPr>
      </w:pPr>
      <w:r w:rsidRPr="00401605">
        <w:rPr>
          <w:sz w:val="22"/>
          <w:szCs w:val="22"/>
          <w:lang w:val="en-AU"/>
        </w:rPr>
        <w:t>We investigated the costs of hosting Truelec’s servers using Microsoft Azure and Amazon AWS. The official cloud pricing calculators were used, and the exported estimates are provided in our repository for verification:</w:t>
      </w:r>
    </w:p>
    <w:p w14:paraId="07ACC2BE" w14:textId="77777777" w:rsidR="00401605" w:rsidRPr="00401605" w:rsidRDefault="00401605" w:rsidP="00401605">
      <w:pPr>
        <w:numPr>
          <w:ilvl w:val="0"/>
          <w:numId w:val="2"/>
        </w:numPr>
        <w:spacing w:line="360" w:lineRule="auto"/>
        <w:rPr>
          <w:sz w:val="22"/>
          <w:szCs w:val="22"/>
          <w:lang w:val="en-AU"/>
        </w:rPr>
      </w:pPr>
      <w:r w:rsidRPr="00401605">
        <w:rPr>
          <w:sz w:val="22"/>
          <w:szCs w:val="22"/>
          <w:lang w:val="en-AU"/>
        </w:rPr>
        <w:t>AzureEstimate.xlsx</w:t>
      </w:r>
    </w:p>
    <w:p w14:paraId="09B7AEE5" w14:textId="77777777" w:rsidR="00401605" w:rsidRPr="00401605" w:rsidRDefault="00401605" w:rsidP="00401605">
      <w:pPr>
        <w:numPr>
          <w:ilvl w:val="0"/>
          <w:numId w:val="2"/>
        </w:numPr>
        <w:spacing w:line="360" w:lineRule="auto"/>
        <w:rPr>
          <w:sz w:val="22"/>
          <w:szCs w:val="22"/>
          <w:lang w:val="en-AU"/>
        </w:rPr>
      </w:pPr>
      <w:r w:rsidRPr="00401605">
        <w:rPr>
          <w:sz w:val="22"/>
          <w:szCs w:val="22"/>
          <w:lang w:val="en-AU"/>
        </w:rPr>
        <w:t>AWSEstimate.csv</w:t>
      </w:r>
    </w:p>
    <w:p w14:paraId="66BD3FAF" w14:textId="77777777" w:rsidR="00401605" w:rsidRPr="00401605" w:rsidRDefault="00401605" w:rsidP="00401605">
      <w:pPr>
        <w:spacing w:line="360" w:lineRule="auto"/>
        <w:rPr>
          <w:sz w:val="22"/>
          <w:szCs w:val="22"/>
          <w:lang w:val="en-AU"/>
        </w:rPr>
      </w:pPr>
      <w:r w:rsidRPr="00401605">
        <w:rPr>
          <w:sz w:val="22"/>
          <w:szCs w:val="22"/>
          <w:lang w:val="en-AU"/>
        </w:rPr>
        <w:t>VM Specifications (per server)</w:t>
      </w:r>
    </w:p>
    <w:p w14:paraId="05411B22" w14:textId="77777777" w:rsidR="00401605" w:rsidRPr="00401605" w:rsidRDefault="00401605" w:rsidP="00401605">
      <w:pPr>
        <w:numPr>
          <w:ilvl w:val="0"/>
          <w:numId w:val="3"/>
        </w:numPr>
        <w:spacing w:line="360" w:lineRule="auto"/>
        <w:rPr>
          <w:sz w:val="22"/>
          <w:szCs w:val="22"/>
          <w:lang w:val="en-AU"/>
        </w:rPr>
      </w:pPr>
      <w:r w:rsidRPr="00401605">
        <w:rPr>
          <w:sz w:val="22"/>
          <w:szCs w:val="22"/>
          <w:lang w:val="en-AU"/>
        </w:rPr>
        <w:t>Region: Australia East (Azure) / Asia Pacific (Sydney) AWS</w:t>
      </w:r>
    </w:p>
    <w:p w14:paraId="2DBA92D0" w14:textId="77777777" w:rsidR="00401605" w:rsidRPr="00401605" w:rsidRDefault="00401605" w:rsidP="00401605">
      <w:pPr>
        <w:numPr>
          <w:ilvl w:val="0"/>
          <w:numId w:val="3"/>
        </w:numPr>
        <w:spacing w:line="360" w:lineRule="auto"/>
        <w:rPr>
          <w:sz w:val="22"/>
          <w:szCs w:val="22"/>
          <w:lang w:val="en-AU"/>
        </w:rPr>
      </w:pPr>
      <w:r w:rsidRPr="00401605">
        <w:rPr>
          <w:sz w:val="22"/>
          <w:szCs w:val="22"/>
          <w:lang w:val="en-AU"/>
        </w:rPr>
        <w:t>Operating System: Windows Server 2022</w:t>
      </w:r>
    </w:p>
    <w:p w14:paraId="699EF686" w14:textId="77777777" w:rsidR="00401605" w:rsidRPr="00401605" w:rsidRDefault="00401605" w:rsidP="00401605">
      <w:pPr>
        <w:numPr>
          <w:ilvl w:val="0"/>
          <w:numId w:val="3"/>
        </w:numPr>
        <w:spacing w:line="360" w:lineRule="auto"/>
        <w:rPr>
          <w:sz w:val="22"/>
          <w:szCs w:val="22"/>
          <w:lang w:val="en-AU"/>
        </w:rPr>
      </w:pPr>
      <w:r w:rsidRPr="00401605">
        <w:rPr>
          <w:sz w:val="22"/>
          <w:szCs w:val="22"/>
          <w:lang w:val="en-AU"/>
        </w:rPr>
        <w:t>vCPUs: 4</w:t>
      </w:r>
    </w:p>
    <w:p w14:paraId="12645F07" w14:textId="77777777" w:rsidR="00401605" w:rsidRPr="00401605" w:rsidRDefault="00401605" w:rsidP="00401605">
      <w:pPr>
        <w:numPr>
          <w:ilvl w:val="0"/>
          <w:numId w:val="3"/>
        </w:numPr>
        <w:spacing w:line="360" w:lineRule="auto"/>
        <w:rPr>
          <w:sz w:val="22"/>
          <w:szCs w:val="22"/>
          <w:lang w:val="en-AU"/>
        </w:rPr>
      </w:pPr>
      <w:r w:rsidRPr="00401605">
        <w:rPr>
          <w:sz w:val="22"/>
          <w:szCs w:val="22"/>
          <w:lang w:val="en-AU"/>
        </w:rPr>
        <w:t>RAM: 16 GB</w:t>
      </w:r>
    </w:p>
    <w:p w14:paraId="2F9E5C0C" w14:textId="77777777" w:rsidR="00401605" w:rsidRPr="00401605" w:rsidRDefault="00401605" w:rsidP="00401605">
      <w:pPr>
        <w:numPr>
          <w:ilvl w:val="0"/>
          <w:numId w:val="3"/>
        </w:numPr>
        <w:spacing w:line="360" w:lineRule="auto"/>
        <w:rPr>
          <w:sz w:val="22"/>
          <w:szCs w:val="22"/>
          <w:lang w:val="en-AU"/>
        </w:rPr>
      </w:pPr>
      <w:r w:rsidRPr="00401605">
        <w:rPr>
          <w:sz w:val="22"/>
          <w:szCs w:val="22"/>
          <w:lang w:val="en-AU"/>
        </w:rPr>
        <w:t>Storage: 256 GB SSD</w:t>
      </w:r>
    </w:p>
    <w:p w14:paraId="693DFD4B" w14:textId="77777777" w:rsidR="00401605" w:rsidRPr="00401605" w:rsidRDefault="00401605" w:rsidP="00401605">
      <w:pPr>
        <w:spacing w:line="360" w:lineRule="auto"/>
        <w:rPr>
          <w:sz w:val="22"/>
          <w:szCs w:val="22"/>
          <w:lang w:val="en-AU"/>
        </w:rPr>
      </w:pPr>
      <w:r w:rsidRPr="00401605">
        <w:rPr>
          <w:sz w:val="22"/>
          <w:szCs w:val="22"/>
          <w:lang w:val="en-AU"/>
        </w:rPr>
        <w:t>Cost Comparison</w:t>
      </w:r>
    </w:p>
    <w:tbl>
      <w:tblPr>
        <w:tblStyle w:val="TableGrid"/>
        <w:tblW w:w="0" w:type="auto"/>
        <w:tblLook w:val="04A0" w:firstRow="1" w:lastRow="0" w:firstColumn="1" w:lastColumn="0" w:noHBand="0" w:noVBand="1"/>
      </w:tblPr>
      <w:tblGrid>
        <w:gridCol w:w="1344"/>
        <w:gridCol w:w="1352"/>
        <w:gridCol w:w="1344"/>
        <w:gridCol w:w="1361"/>
        <w:gridCol w:w="1377"/>
        <w:gridCol w:w="1744"/>
      </w:tblGrid>
      <w:tr w:rsidR="00401605" w14:paraId="7DC87391" w14:textId="77777777" w:rsidTr="00401605">
        <w:tc>
          <w:tcPr>
            <w:tcW w:w="1420" w:type="dxa"/>
          </w:tcPr>
          <w:p w14:paraId="76395201" w14:textId="647D72C4" w:rsidR="00401605" w:rsidRDefault="00401605" w:rsidP="00401605">
            <w:pPr>
              <w:spacing w:line="360" w:lineRule="auto"/>
              <w:rPr>
                <w:sz w:val="22"/>
                <w:szCs w:val="22"/>
                <w:lang w:val="en-AU"/>
              </w:rPr>
            </w:pPr>
            <w:r w:rsidRPr="000E5E71">
              <w:t>Provider</w:t>
            </w:r>
          </w:p>
        </w:tc>
        <w:tc>
          <w:tcPr>
            <w:tcW w:w="1420" w:type="dxa"/>
          </w:tcPr>
          <w:p w14:paraId="100BDFC9" w14:textId="3BA8BA0C" w:rsidR="00401605" w:rsidRDefault="00401605" w:rsidP="00401605">
            <w:pPr>
              <w:spacing w:line="360" w:lineRule="auto"/>
              <w:rPr>
                <w:sz w:val="22"/>
                <w:szCs w:val="22"/>
                <w:lang w:val="en-AU"/>
              </w:rPr>
            </w:pPr>
            <w:r w:rsidRPr="000E5E71">
              <w:t>VM Specs (Sydney Region)</w:t>
            </w:r>
          </w:p>
        </w:tc>
        <w:tc>
          <w:tcPr>
            <w:tcW w:w="1420" w:type="dxa"/>
          </w:tcPr>
          <w:p w14:paraId="3294D965" w14:textId="52F626F7" w:rsidR="00401605" w:rsidRDefault="00401605" w:rsidP="00401605">
            <w:pPr>
              <w:spacing w:line="360" w:lineRule="auto"/>
              <w:rPr>
                <w:sz w:val="22"/>
                <w:szCs w:val="22"/>
                <w:lang w:val="en-AU"/>
              </w:rPr>
            </w:pPr>
            <w:r w:rsidRPr="000E5E71">
              <w:t>Monthly Cost</w:t>
            </w:r>
          </w:p>
        </w:tc>
        <w:tc>
          <w:tcPr>
            <w:tcW w:w="1420" w:type="dxa"/>
          </w:tcPr>
          <w:p w14:paraId="1364B416" w14:textId="4841ABF2" w:rsidR="00401605" w:rsidRDefault="00401605" w:rsidP="00401605">
            <w:pPr>
              <w:spacing w:line="360" w:lineRule="auto"/>
              <w:rPr>
                <w:sz w:val="22"/>
                <w:szCs w:val="22"/>
                <w:lang w:val="en-AU"/>
              </w:rPr>
            </w:pPr>
            <w:r w:rsidRPr="000E5E71">
              <w:t>12-Month Cost</w:t>
            </w:r>
          </w:p>
        </w:tc>
        <w:tc>
          <w:tcPr>
            <w:tcW w:w="1421" w:type="dxa"/>
          </w:tcPr>
          <w:p w14:paraId="195D72E8" w14:textId="1A6E3111" w:rsidR="00401605" w:rsidRDefault="00401605" w:rsidP="00401605">
            <w:pPr>
              <w:spacing w:line="360" w:lineRule="auto"/>
              <w:rPr>
                <w:sz w:val="22"/>
                <w:szCs w:val="22"/>
                <w:lang w:val="en-AU"/>
              </w:rPr>
            </w:pPr>
            <w:r w:rsidRPr="000E5E71">
              <w:t>5-Year Total</w:t>
            </w:r>
          </w:p>
        </w:tc>
        <w:tc>
          <w:tcPr>
            <w:tcW w:w="1421" w:type="dxa"/>
          </w:tcPr>
          <w:p w14:paraId="310DE9A0" w14:textId="105D1DF7" w:rsidR="00401605" w:rsidRDefault="00401605" w:rsidP="00401605">
            <w:pPr>
              <w:spacing w:line="360" w:lineRule="auto"/>
              <w:rPr>
                <w:sz w:val="22"/>
                <w:szCs w:val="22"/>
                <w:lang w:val="en-AU"/>
              </w:rPr>
            </w:pPr>
            <w:r w:rsidRPr="000E5E71">
              <w:t>Estimate File</w:t>
            </w:r>
          </w:p>
        </w:tc>
      </w:tr>
      <w:tr w:rsidR="00401605" w14:paraId="079A3605" w14:textId="77777777" w:rsidTr="00401605">
        <w:tc>
          <w:tcPr>
            <w:tcW w:w="1420" w:type="dxa"/>
          </w:tcPr>
          <w:p w14:paraId="0E0676B8" w14:textId="5F533677" w:rsidR="00401605" w:rsidRDefault="00401605" w:rsidP="00401605">
            <w:pPr>
              <w:spacing w:line="360" w:lineRule="auto"/>
              <w:rPr>
                <w:sz w:val="22"/>
                <w:szCs w:val="22"/>
                <w:lang w:val="en-AU"/>
              </w:rPr>
            </w:pPr>
            <w:r w:rsidRPr="000E5E71">
              <w:t>Azure</w:t>
            </w:r>
          </w:p>
        </w:tc>
        <w:tc>
          <w:tcPr>
            <w:tcW w:w="1420" w:type="dxa"/>
          </w:tcPr>
          <w:p w14:paraId="290519D5" w14:textId="165D53BE" w:rsidR="00401605" w:rsidRDefault="00401605" w:rsidP="00401605">
            <w:pPr>
              <w:spacing w:line="360" w:lineRule="auto"/>
              <w:rPr>
                <w:sz w:val="22"/>
                <w:szCs w:val="22"/>
                <w:lang w:val="en-AU"/>
              </w:rPr>
            </w:pPr>
            <w:r w:rsidRPr="000E5E71">
              <w:t>4 vCPUs, 16 GB RAM, 256 GB Premium SSD</w:t>
            </w:r>
          </w:p>
        </w:tc>
        <w:tc>
          <w:tcPr>
            <w:tcW w:w="1420" w:type="dxa"/>
          </w:tcPr>
          <w:p w14:paraId="43BCC191" w14:textId="156251B4" w:rsidR="00401605" w:rsidRDefault="00401605" w:rsidP="00401605">
            <w:pPr>
              <w:spacing w:line="360" w:lineRule="auto"/>
              <w:rPr>
                <w:sz w:val="22"/>
                <w:szCs w:val="22"/>
                <w:lang w:val="en-AU"/>
              </w:rPr>
            </w:pPr>
            <w:r w:rsidRPr="000E5E71">
              <w:t>$392.79</w:t>
            </w:r>
          </w:p>
        </w:tc>
        <w:tc>
          <w:tcPr>
            <w:tcW w:w="1420" w:type="dxa"/>
          </w:tcPr>
          <w:p w14:paraId="3B5AB290" w14:textId="77E52A46" w:rsidR="00401605" w:rsidRDefault="00401605" w:rsidP="00401605">
            <w:pPr>
              <w:spacing w:line="360" w:lineRule="auto"/>
              <w:rPr>
                <w:sz w:val="22"/>
                <w:szCs w:val="22"/>
                <w:lang w:val="en-AU"/>
              </w:rPr>
            </w:pPr>
            <w:r w:rsidRPr="000E5E71">
              <w:t>$4,713.50</w:t>
            </w:r>
          </w:p>
        </w:tc>
        <w:tc>
          <w:tcPr>
            <w:tcW w:w="1421" w:type="dxa"/>
          </w:tcPr>
          <w:p w14:paraId="218124D1" w14:textId="2D93AF00" w:rsidR="00401605" w:rsidRDefault="00401605" w:rsidP="00401605">
            <w:pPr>
              <w:spacing w:line="360" w:lineRule="auto"/>
              <w:rPr>
                <w:sz w:val="22"/>
                <w:szCs w:val="22"/>
                <w:lang w:val="en-AU"/>
              </w:rPr>
            </w:pPr>
            <w:r w:rsidRPr="000E5E71">
              <w:t>$23,567.52</w:t>
            </w:r>
          </w:p>
        </w:tc>
        <w:tc>
          <w:tcPr>
            <w:tcW w:w="1421" w:type="dxa"/>
          </w:tcPr>
          <w:p w14:paraId="726E2BFB" w14:textId="15AD5850" w:rsidR="00401605" w:rsidRDefault="00401605" w:rsidP="00401605">
            <w:pPr>
              <w:spacing w:line="360" w:lineRule="auto"/>
              <w:rPr>
                <w:sz w:val="22"/>
                <w:szCs w:val="22"/>
                <w:lang w:val="en-AU"/>
              </w:rPr>
            </w:pPr>
            <w:r w:rsidRPr="000E5E71">
              <w:t>AzureEstimate.xlsx</w:t>
            </w:r>
          </w:p>
        </w:tc>
      </w:tr>
      <w:tr w:rsidR="00401605" w14:paraId="28AEC460" w14:textId="77777777" w:rsidTr="00401605">
        <w:tc>
          <w:tcPr>
            <w:tcW w:w="1420" w:type="dxa"/>
          </w:tcPr>
          <w:p w14:paraId="42171EC8" w14:textId="3621A937" w:rsidR="00401605" w:rsidRDefault="00401605" w:rsidP="00401605">
            <w:pPr>
              <w:spacing w:line="360" w:lineRule="auto"/>
              <w:rPr>
                <w:sz w:val="22"/>
                <w:szCs w:val="22"/>
                <w:lang w:val="en-AU"/>
              </w:rPr>
            </w:pPr>
            <w:r w:rsidRPr="000E5E71">
              <w:t>AWS</w:t>
            </w:r>
          </w:p>
        </w:tc>
        <w:tc>
          <w:tcPr>
            <w:tcW w:w="1420" w:type="dxa"/>
          </w:tcPr>
          <w:p w14:paraId="0C04A4A5" w14:textId="446566A4" w:rsidR="00401605" w:rsidRDefault="00401605" w:rsidP="00401605">
            <w:pPr>
              <w:spacing w:line="360" w:lineRule="auto"/>
              <w:rPr>
                <w:sz w:val="22"/>
                <w:szCs w:val="22"/>
                <w:lang w:val="en-AU"/>
              </w:rPr>
            </w:pPr>
            <w:r w:rsidRPr="000E5E71">
              <w:t>4 vCPUs, 16 GB RAM, 256 GB gp2 SSD (EBS)</w:t>
            </w:r>
          </w:p>
        </w:tc>
        <w:tc>
          <w:tcPr>
            <w:tcW w:w="1420" w:type="dxa"/>
          </w:tcPr>
          <w:p w14:paraId="292CF415" w14:textId="011F7C3F" w:rsidR="00401605" w:rsidRDefault="00401605" w:rsidP="00401605">
            <w:pPr>
              <w:spacing w:line="360" w:lineRule="auto"/>
              <w:rPr>
                <w:sz w:val="22"/>
                <w:szCs w:val="22"/>
                <w:lang w:val="en-AU"/>
              </w:rPr>
            </w:pPr>
            <w:r w:rsidRPr="000E5E71">
              <w:t>$327.01</w:t>
            </w:r>
          </w:p>
        </w:tc>
        <w:tc>
          <w:tcPr>
            <w:tcW w:w="1420" w:type="dxa"/>
          </w:tcPr>
          <w:p w14:paraId="3C9C8E90" w14:textId="2FEE281F" w:rsidR="00401605" w:rsidRDefault="00401605" w:rsidP="00401605">
            <w:pPr>
              <w:spacing w:line="360" w:lineRule="auto"/>
              <w:rPr>
                <w:sz w:val="22"/>
                <w:szCs w:val="22"/>
                <w:lang w:val="en-AU"/>
              </w:rPr>
            </w:pPr>
            <w:r w:rsidRPr="000E5E71">
              <w:t>$3,924.12</w:t>
            </w:r>
          </w:p>
        </w:tc>
        <w:tc>
          <w:tcPr>
            <w:tcW w:w="1421" w:type="dxa"/>
          </w:tcPr>
          <w:p w14:paraId="5D160859" w14:textId="5E85FFAF" w:rsidR="00401605" w:rsidRDefault="00401605" w:rsidP="00401605">
            <w:pPr>
              <w:spacing w:line="360" w:lineRule="auto"/>
              <w:rPr>
                <w:sz w:val="22"/>
                <w:szCs w:val="22"/>
                <w:lang w:val="en-AU"/>
              </w:rPr>
            </w:pPr>
            <w:r w:rsidRPr="000E5E71">
              <w:t>$19,620.60</w:t>
            </w:r>
          </w:p>
        </w:tc>
        <w:tc>
          <w:tcPr>
            <w:tcW w:w="1421" w:type="dxa"/>
          </w:tcPr>
          <w:p w14:paraId="314B1699" w14:textId="55AEBA6C" w:rsidR="00401605" w:rsidRDefault="00401605" w:rsidP="00401605">
            <w:pPr>
              <w:spacing w:line="360" w:lineRule="auto"/>
              <w:rPr>
                <w:sz w:val="22"/>
                <w:szCs w:val="22"/>
                <w:lang w:val="en-AU"/>
              </w:rPr>
            </w:pPr>
            <w:r w:rsidRPr="000E5E71">
              <w:t>AWSEstimate.csv</w:t>
            </w:r>
          </w:p>
        </w:tc>
      </w:tr>
    </w:tbl>
    <w:p w14:paraId="3142B7BC" w14:textId="77777777" w:rsidR="00401605" w:rsidRDefault="00401605" w:rsidP="00401605">
      <w:pPr>
        <w:spacing w:line="360" w:lineRule="auto"/>
        <w:rPr>
          <w:sz w:val="22"/>
          <w:szCs w:val="22"/>
          <w:lang w:val="en-AU"/>
        </w:rPr>
      </w:pPr>
    </w:p>
    <w:p w14:paraId="07BE88DD" w14:textId="77777777" w:rsidR="00401605" w:rsidRDefault="00401605" w:rsidP="00401605">
      <w:pPr>
        <w:spacing w:line="360" w:lineRule="auto"/>
        <w:rPr>
          <w:sz w:val="22"/>
          <w:szCs w:val="22"/>
          <w:lang w:val="en-AU"/>
        </w:rPr>
      </w:pPr>
    </w:p>
    <w:p w14:paraId="00261063" w14:textId="77777777" w:rsidR="00401605" w:rsidRDefault="00401605" w:rsidP="00401605">
      <w:pPr>
        <w:spacing w:line="360" w:lineRule="auto"/>
        <w:rPr>
          <w:sz w:val="22"/>
          <w:szCs w:val="22"/>
          <w:lang w:val="en-AU"/>
        </w:rPr>
      </w:pPr>
    </w:p>
    <w:p w14:paraId="5E5DEACA" w14:textId="33954287" w:rsidR="00401605" w:rsidRPr="00401605" w:rsidRDefault="00401605" w:rsidP="00401605">
      <w:pPr>
        <w:spacing w:line="360" w:lineRule="auto"/>
        <w:rPr>
          <w:sz w:val="22"/>
          <w:szCs w:val="22"/>
          <w:lang w:val="en-AU"/>
        </w:rPr>
      </w:pPr>
      <w:r w:rsidRPr="00401605">
        <w:rPr>
          <w:sz w:val="22"/>
          <w:szCs w:val="22"/>
          <w:lang w:val="en-AU"/>
        </w:rPr>
        <w:t>Note: Values are in USD. Each cost is for one VM. Truelec requires 6 servers, so totals would be 6× these values.</w:t>
      </w:r>
    </w:p>
    <w:p w14:paraId="54053CA5" w14:textId="77777777" w:rsidR="00401605" w:rsidRPr="00401605" w:rsidRDefault="00401605" w:rsidP="00401605">
      <w:pPr>
        <w:spacing w:line="360" w:lineRule="auto"/>
        <w:rPr>
          <w:sz w:val="22"/>
          <w:szCs w:val="22"/>
          <w:lang w:val="en-AU"/>
        </w:rPr>
      </w:pPr>
      <w:r w:rsidRPr="00401605">
        <w:rPr>
          <w:sz w:val="22"/>
          <w:szCs w:val="22"/>
          <w:lang w:val="en-AU"/>
        </w:rPr>
        <w:t>Analysis</w:t>
      </w:r>
    </w:p>
    <w:p w14:paraId="67F46A0B" w14:textId="77777777" w:rsidR="00401605" w:rsidRPr="00401605" w:rsidRDefault="00401605" w:rsidP="00401605">
      <w:pPr>
        <w:numPr>
          <w:ilvl w:val="0"/>
          <w:numId w:val="4"/>
        </w:numPr>
        <w:spacing w:line="360" w:lineRule="auto"/>
        <w:rPr>
          <w:sz w:val="22"/>
          <w:szCs w:val="22"/>
          <w:lang w:val="en-AU"/>
        </w:rPr>
      </w:pPr>
      <w:r w:rsidRPr="00401605">
        <w:rPr>
          <w:sz w:val="22"/>
          <w:szCs w:val="22"/>
          <w:lang w:val="en-AU"/>
        </w:rPr>
        <w:t>Azure Advantages: Tighter integration with Microsoft ecosystem (AD, Office 365, licensing). Easier for existing Windows workloads.</w:t>
      </w:r>
    </w:p>
    <w:p w14:paraId="26951B9D" w14:textId="77777777" w:rsidR="00401605" w:rsidRPr="00401605" w:rsidRDefault="00401605" w:rsidP="00401605">
      <w:pPr>
        <w:numPr>
          <w:ilvl w:val="0"/>
          <w:numId w:val="4"/>
        </w:numPr>
        <w:spacing w:line="360" w:lineRule="auto"/>
        <w:rPr>
          <w:sz w:val="22"/>
          <w:szCs w:val="22"/>
          <w:lang w:val="en-AU"/>
        </w:rPr>
      </w:pPr>
      <w:r w:rsidRPr="00401605">
        <w:rPr>
          <w:sz w:val="22"/>
          <w:szCs w:val="22"/>
          <w:lang w:val="en-AU"/>
        </w:rPr>
        <w:t>AWS Advantages: Slightly lower costs, flexible services, broader global network.</w:t>
      </w:r>
    </w:p>
    <w:p w14:paraId="415113ED" w14:textId="77777777" w:rsidR="00401605" w:rsidRPr="00401605" w:rsidRDefault="00401605" w:rsidP="00401605">
      <w:pPr>
        <w:numPr>
          <w:ilvl w:val="0"/>
          <w:numId w:val="4"/>
        </w:numPr>
        <w:spacing w:line="360" w:lineRule="auto"/>
        <w:rPr>
          <w:sz w:val="22"/>
          <w:szCs w:val="22"/>
          <w:lang w:val="en-AU"/>
        </w:rPr>
      </w:pPr>
      <w:r w:rsidRPr="00401605">
        <w:rPr>
          <w:sz w:val="22"/>
          <w:szCs w:val="22"/>
          <w:lang w:val="en-AU"/>
        </w:rPr>
        <w:lastRenderedPageBreak/>
        <w:t>Disadvantages of Cloud: Recurring operational costs, vendor lock-in, dependency on internet availability.</w:t>
      </w:r>
    </w:p>
    <w:p w14:paraId="5E764649" w14:textId="77777777" w:rsidR="00401605" w:rsidRPr="00401605" w:rsidRDefault="00401605" w:rsidP="00401605">
      <w:pPr>
        <w:spacing w:line="360" w:lineRule="auto"/>
        <w:rPr>
          <w:sz w:val="22"/>
          <w:szCs w:val="22"/>
          <w:lang w:val="en-AU"/>
        </w:rPr>
      </w:pPr>
      <w:r w:rsidRPr="00401605">
        <w:rPr>
          <w:sz w:val="22"/>
          <w:szCs w:val="22"/>
          <w:lang w:val="en-AU"/>
        </w:rPr>
        <w:t>Recommendation</w:t>
      </w:r>
    </w:p>
    <w:p w14:paraId="7A733A87" w14:textId="77777777" w:rsidR="00401605" w:rsidRPr="00401605" w:rsidRDefault="00401605" w:rsidP="00401605">
      <w:pPr>
        <w:spacing w:line="360" w:lineRule="auto"/>
        <w:rPr>
          <w:sz w:val="22"/>
          <w:szCs w:val="22"/>
          <w:lang w:val="en-AU"/>
        </w:rPr>
      </w:pPr>
      <w:r w:rsidRPr="00401605">
        <w:rPr>
          <w:sz w:val="22"/>
          <w:szCs w:val="22"/>
          <w:lang w:val="en-AU"/>
        </w:rPr>
        <w:t>While AWS offers lower costs (~17% cheaper), we recommend Microsoft Azure for Truelec. The integration with Microsoft services, licensing compatibility, and simplified administration outweigh the modest cost difference.</w:t>
      </w:r>
    </w:p>
    <w:p w14:paraId="234E320B" w14:textId="77777777" w:rsidR="008A1717" w:rsidRPr="00401605" w:rsidRDefault="008A1717" w:rsidP="00401605">
      <w:pPr>
        <w:spacing w:line="360" w:lineRule="auto"/>
        <w:rPr>
          <w:sz w:val="22"/>
          <w:szCs w:val="22"/>
        </w:rPr>
      </w:pPr>
    </w:p>
    <w:sectPr w:rsidR="008A1717" w:rsidRPr="0040160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EED25" w14:textId="77777777" w:rsidR="00A96C90" w:rsidRDefault="00A96C90">
      <w:r>
        <w:separator/>
      </w:r>
    </w:p>
  </w:endnote>
  <w:endnote w:type="continuationSeparator" w:id="0">
    <w:p w14:paraId="5B9A5A79" w14:textId="77777777" w:rsidR="00A96C90" w:rsidRDefault="00A9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04233" w14:textId="77777777" w:rsidR="00A96C90" w:rsidRDefault="00A96C90">
      <w:r>
        <w:separator/>
      </w:r>
    </w:p>
  </w:footnote>
  <w:footnote w:type="continuationSeparator" w:id="0">
    <w:p w14:paraId="4E5BBAE8" w14:textId="77777777" w:rsidR="00A96C90" w:rsidRDefault="00A96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73BFC0"/>
    <w:multiLevelType w:val="singleLevel"/>
    <w:tmpl w:val="9773BFC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08648D0"/>
    <w:multiLevelType w:val="multilevel"/>
    <w:tmpl w:val="172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F664D"/>
    <w:multiLevelType w:val="multilevel"/>
    <w:tmpl w:val="B14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A12ED"/>
    <w:multiLevelType w:val="multilevel"/>
    <w:tmpl w:val="899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22830">
    <w:abstractNumId w:val="0"/>
  </w:num>
  <w:num w:numId="2" w16cid:durableId="559051332">
    <w:abstractNumId w:val="2"/>
  </w:num>
  <w:num w:numId="3" w16cid:durableId="690110029">
    <w:abstractNumId w:val="3"/>
  </w:num>
  <w:num w:numId="4" w16cid:durableId="183514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F48EC"/>
    <w:rsid w:val="00401605"/>
    <w:rsid w:val="00707743"/>
    <w:rsid w:val="008A1717"/>
    <w:rsid w:val="00A868FD"/>
    <w:rsid w:val="00A96C90"/>
    <w:rsid w:val="00BC5EB5"/>
    <w:rsid w:val="1E3F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C887F"/>
  <w15:docId w15:val="{76D296FE-A516-4165-8D6A-0D6B4F9A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rsid w:val="004016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4016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character" w:styleId="Hyperlink">
    <w:name w:val="Hyperlink"/>
    <w:basedOn w:val="DefaultParagraphFont"/>
    <w:rPr>
      <w:color w:val="0000FF"/>
      <w:u w:val="single"/>
    </w:rPr>
  </w:style>
  <w:style w:type="character" w:customStyle="1" w:styleId="Heading2Char">
    <w:name w:val="Heading 2 Char"/>
    <w:basedOn w:val="DefaultParagraphFont"/>
    <w:link w:val="Heading2"/>
    <w:semiHidden/>
    <w:rsid w:val="00401605"/>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semiHidden/>
    <w:rsid w:val="00401605"/>
    <w:rPr>
      <w:rFonts w:asciiTheme="majorHAnsi" w:eastAsiaTheme="majorEastAsia" w:hAnsiTheme="majorHAnsi" w:cstheme="majorBidi"/>
      <w:color w:val="1F4D78" w:themeColor="accent1" w:themeShade="7F"/>
      <w:sz w:val="24"/>
      <w:szCs w:val="24"/>
      <w:lang w:val="en-US" w:eastAsia="zh-CN"/>
    </w:rPr>
  </w:style>
  <w:style w:type="table" w:styleId="TableGrid">
    <w:name w:val="Table Grid"/>
    <w:basedOn w:val="TableNormal"/>
    <w:rsid w:val="00401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Sandhya Aryal</cp:lastModifiedBy>
  <cp:revision>3</cp:revision>
  <dcterms:created xsi:type="dcterms:W3CDTF">2025-09-08T04:13:00Z</dcterms:created>
  <dcterms:modified xsi:type="dcterms:W3CDTF">2025-09-11T12:57:00Z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3A3E8EFD29A6421CBF11A854B3522794_11</vt:lpwstr>
  </property>
</Properties>
</file>