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BA6FB" w14:textId="572A6DF5" w:rsidR="00D20B16" w:rsidRDefault="00334B4C" w:rsidP="00382C61">
      <w:pPr>
        <w:spacing w:after="0"/>
      </w:pPr>
      <w:r w:rsidRPr="001D3AEE">
        <w:rPr>
          <w:rFonts w:ascii="Elephant" w:hAnsi="Elephant"/>
          <w:noProof/>
          <w:sz w:val="40"/>
          <w:szCs w:val="40"/>
        </w:rPr>
        <w:drawing>
          <wp:anchor distT="0" distB="0" distL="114300" distR="114300" simplePos="0" relativeHeight="251659264" behindDoc="1" locked="0" layoutInCell="1" allowOverlap="1" wp14:anchorId="5029F377" wp14:editId="756087C6">
            <wp:simplePos x="0" y="0"/>
            <wp:positionH relativeFrom="margin">
              <wp:align>left</wp:align>
            </wp:positionH>
            <wp:positionV relativeFrom="paragraph">
              <wp:posOffset>0</wp:posOffset>
            </wp:positionV>
            <wp:extent cx="1460500" cy="1448435"/>
            <wp:effectExtent l="0" t="0" r="6350" b="0"/>
            <wp:wrapSquare wrapText="bothSides"/>
            <wp:docPr id="5" name="Picture 4" descr="Garividi - Admissions ...">
              <a:extLst xmlns:a="http://schemas.openxmlformats.org/drawingml/2006/main">
                <a:ext uri="{FF2B5EF4-FFF2-40B4-BE49-F238E27FC236}">
                  <a16:creationId xmlns:a16="http://schemas.microsoft.com/office/drawing/2014/main" id="{9F02F2A1-7003-3300-FD73-CCD91BB6CA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Garividi - Admissions ...">
                      <a:extLst>
                        <a:ext uri="{FF2B5EF4-FFF2-40B4-BE49-F238E27FC236}">
                          <a16:creationId xmlns:a16="http://schemas.microsoft.com/office/drawing/2014/main" id="{9F02F2A1-7003-3300-FD73-CCD91BB6CAE5}"/>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0500" cy="1448435"/>
                    </a:xfrm>
                    <a:prstGeom prst="rect">
                      <a:avLst/>
                    </a:prstGeom>
                    <a:noFill/>
                  </pic:spPr>
                </pic:pic>
              </a:graphicData>
            </a:graphic>
            <wp14:sizeRelH relativeFrom="margin">
              <wp14:pctWidth>0</wp14:pctWidth>
            </wp14:sizeRelH>
            <wp14:sizeRelV relativeFrom="margin">
              <wp14:pctHeight>0</wp14:pctHeight>
            </wp14:sizeRelV>
          </wp:anchor>
        </w:drawing>
      </w:r>
    </w:p>
    <w:p w14:paraId="740B2B0B" w14:textId="79FD2784" w:rsidR="00334B4C" w:rsidRDefault="00334B4C" w:rsidP="00334B4C">
      <w:pPr>
        <w:rPr>
          <w:rFonts w:ascii="Elephant" w:hAnsi="Elephant"/>
          <w:sz w:val="28"/>
          <w:szCs w:val="28"/>
          <w:lang w:val="en-US"/>
        </w:rPr>
      </w:pPr>
      <w:r w:rsidRPr="00334B4C">
        <w:rPr>
          <w:rFonts w:ascii="Elephant" w:hAnsi="Elephant"/>
          <w:sz w:val="52"/>
          <w:szCs w:val="52"/>
          <w:lang w:val="en-US"/>
        </w:rPr>
        <w:t xml:space="preserve">AVANTHI ST.THERESSA </w:t>
      </w:r>
      <w:r w:rsidRPr="00334B4C">
        <w:rPr>
          <w:rFonts w:ascii="Elephant" w:hAnsi="Elephant"/>
          <w:sz w:val="28"/>
          <w:szCs w:val="28"/>
          <w:lang w:val="en-US"/>
        </w:rPr>
        <w:t>INSTITUTE OF ENGINEERING &amp;TECHNOLOGY</w:t>
      </w:r>
    </w:p>
    <w:p w14:paraId="193D22A9" w14:textId="4CA0A34D" w:rsidR="00334B4C" w:rsidRPr="00586B90" w:rsidRDefault="00334B4C" w:rsidP="00334B4C">
      <w:pPr>
        <w:rPr>
          <w:rFonts w:ascii="Elephant" w:hAnsi="Elephant"/>
          <w:sz w:val="22"/>
          <w:szCs w:val="22"/>
          <w:lang w:val="en-US"/>
        </w:rPr>
      </w:pPr>
      <w:r w:rsidRPr="00586B90">
        <w:rPr>
          <w:rFonts w:ascii="Elephant" w:hAnsi="Elephant"/>
          <w:sz w:val="22"/>
          <w:szCs w:val="22"/>
          <w:lang w:val="en-US"/>
        </w:rPr>
        <w:t>(</w:t>
      </w:r>
      <w:r w:rsidR="00586B90" w:rsidRPr="00586B90">
        <w:rPr>
          <w:rFonts w:ascii="Elephant" w:hAnsi="Elephant"/>
          <w:sz w:val="22"/>
          <w:szCs w:val="22"/>
          <w:lang w:val="en-US"/>
        </w:rPr>
        <w:t>Affilicated to JNTUGV,AP,Approved by AICTE,Garividi,Viziangaram District,Andhra Pradesh,535101)</w:t>
      </w:r>
    </w:p>
    <w:p w14:paraId="67B2FD6D" w14:textId="77777777" w:rsidR="00586B90" w:rsidRDefault="00586B90" w:rsidP="00586B90">
      <w:pPr>
        <w:jc w:val="center"/>
        <w:rPr>
          <w:rFonts w:ascii="Algerian" w:hAnsi="Algerian"/>
          <w:b/>
          <w:bCs/>
          <w:i/>
          <w:iCs/>
          <w:sz w:val="56"/>
          <w:szCs w:val="56"/>
        </w:rPr>
      </w:pPr>
    </w:p>
    <w:p w14:paraId="7416A343" w14:textId="722DF23D" w:rsidR="00382C61" w:rsidRDefault="0095781C" w:rsidP="00586B90">
      <w:pPr>
        <w:jc w:val="center"/>
        <w:rPr>
          <w:rFonts w:ascii="Algerian" w:hAnsi="Algerian"/>
          <w:b/>
          <w:bCs/>
          <w:sz w:val="56"/>
          <w:szCs w:val="56"/>
        </w:rPr>
      </w:pPr>
      <w:r w:rsidRPr="0095781C">
        <w:rPr>
          <w:rFonts w:ascii="Algerian" w:hAnsi="Algerian"/>
          <w:b/>
          <w:bCs/>
          <w:i/>
          <w:iCs/>
          <w:sz w:val="56"/>
          <w:szCs w:val="56"/>
        </w:rPr>
        <w:t>EcoLens-</w:t>
      </w:r>
      <w:r w:rsidRPr="0095781C">
        <w:rPr>
          <w:rFonts w:ascii="Algerian" w:hAnsi="Algerian"/>
          <w:b/>
          <w:bCs/>
          <w:sz w:val="56"/>
          <w:szCs w:val="56"/>
        </w:rPr>
        <w:t>An AI-Based System For Detecting Greenwashing In Sustainability Claims</w:t>
      </w:r>
    </w:p>
    <w:p w14:paraId="2141E17A" w14:textId="77777777" w:rsidR="00586B90" w:rsidRDefault="00586B90" w:rsidP="00382C61">
      <w:pPr>
        <w:jc w:val="center"/>
        <w:rPr>
          <w:rFonts w:ascii="Britannic Bold" w:hAnsi="Britannic Bold"/>
          <w:sz w:val="48"/>
          <w:szCs w:val="48"/>
        </w:rPr>
      </w:pPr>
    </w:p>
    <w:p w14:paraId="52EBF35A" w14:textId="58B134C2" w:rsidR="00382C61" w:rsidRPr="00382C61" w:rsidRDefault="00382C61" w:rsidP="00382C61">
      <w:pPr>
        <w:jc w:val="center"/>
        <w:rPr>
          <w:rFonts w:ascii="Bodoni MT" w:hAnsi="Bodoni MT"/>
          <w:sz w:val="36"/>
          <w:szCs w:val="36"/>
        </w:rPr>
      </w:pPr>
      <w:r w:rsidRPr="00382C61">
        <w:rPr>
          <w:rFonts w:ascii="Bodoni MT" w:hAnsi="Bodoni MT"/>
          <w:sz w:val="36"/>
          <w:szCs w:val="36"/>
        </w:rPr>
        <w:t xml:space="preserve">A project report submitted in conformity with the requirements for the degree of </w:t>
      </w:r>
      <w:r w:rsidRPr="00382C61">
        <w:rPr>
          <w:rFonts w:ascii="Bodoni MT" w:hAnsi="Bodoni MT"/>
          <w:b/>
          <w:bCs/>
          <w:sz w:val="36"/>
          <w:szCs w:val="36"/>
        </w:rPr>
        <w:t>Bachelor of Technology</w:t>
      </w:r>
    </w:p>
    <w:p w14:paraId="0FA5DC0B" w14:textId="77777777" w:rsidR="00382C61" w:rsidRDefault="00382C61" w:rsidP="00382C61">
      <w:pPr>
        <w:rPr>
          <w:rFonts w:ascii="Britannic Bold" w:hAnsi="Britannic Bold"/>
          <w:sz w:val="44"/>
          <w:szCs w:val="44"/>
        </w:rPr>
      </w:pPr>
    </w:p>
    <w:p w14:paraId="017F029D" w14:textId="2C4BCE2D" w:rsidR="004B6FF8" w:rsidRDefault="004B6FF8" w:rsidP="004B6FF8">
      <w:pPr>
        <w:jc w:val="center"/>
        <w:rPr>
          <w:rFonts w:ascii="Bookman Old Style" w:hAnsi="Bookman Old Style"/>
          <w:sz w:val="52"/>
          <w:szCs w:val="52"/>
        </w:rPr>
      </w:pPr>
      <w:r w:rsidRPr="004B6FF8">
        <w:rPr>
          <w:rFonts w:ascii="Bookman Old Style" w:hAnsi="Bookman Old Style"/>
          <w:sz w:val="52"/>
          <w:szCs w:val="52"/>
        </w:rPr>
        <w:t>Department of Computer Science and Engineering</w:t>
      </w:r>
    </w:p>
    <w:p w14:paraId="23A8D324" w14:textId="77777777" w:rsidR="004B6FF8" w:rsidRDefault="004B6FF8" w:rsidP="004B6FF8">
      <w:pPr>
        <w:rPr>
          <w:rFonts w:ascii="Bookman Old Style" w:hAnsi="Bookman Old Style"/>
          <w:sz w:val="52"/>
          <w:szCs w:val="52"/>
        </w:rPr>
      </w:pPr>
    </w:p>
    <w:p w14:paraId="3417740A" w14:textId="09439765" w:rsidR="004B6FF8" w:rsidRDefault="004B6FF8" w:rsidP="004B6FF8">
      <w:pPr>
        <w:jc w:val="center"/>
        <w:rPr>
          <w:rFonts w:ascii="Bookman Old Style" w:hAnsi="Bookman Old Style"/>
          <w:sz w:val="52"/>
          <w:szCs w:val="52"/>
        </w:rPr>
      </w:pPr>
      <w:r w:rsidRPr="004B6FF8">
        <w:rPr>
          <w:rFonts w:ascii="Bookman Old Style" w:hAnsi="Bookman Old Style"/>
          <w:sz w:val="52"/>
          <w:szCs w:val="52"/>
        </w:rPr>
        <w:t>JNTU-GV University</w:t>
      </w:r>
    </w:p>
    <w:p w14:paraId="4F9AAA30" w14:textId="758D7AB6" w:rsidR="004B6FF8" w:rsidRDefault="004B6FF8" w:rsidP="004B6FF8">
      <w:pPr>
        <w:jc w:val="center"/>
        <w:rPr>
          <w:rFonts w:ascii="Bookman Old Style" w:hAnsi="Bookman Old Style"/>
          <w:sz w:val="52"/>
          <w:szCs w:val="52"/>
        </w:rPr>
      </w:pPr>
    </w:p>
    <w:p w14:paraId="7DA10A85" w14:textId="77777777" w:rsidR="004B6FF8" w:rsidRDefault="004B6FF8" w:rsidP="004B6FF8">
      <w:pPr>
        <w:jc w:val="center"/>
        <w:rPr>
          <w:rFonts w:ascii="Bookman Old Style" w:hAnsi="Bookman Old Style"/>
          <w:sz w:val="52"/>
          <w:szCs w:val="52"/>
        </w:rPr>
      </w:pPr>
    </w:p>
    <w:p w14:paraId="2A306906" w14:textId="77777777" w:rsidR="00334B4C" w:rsidRDefault="00334B4C" w:rsidP="0095781C">
      <w:pPr>
        <w:jc w:val="center"/>
        <w:rPr>
          <w:rFonts w:ascii="Bookman Old Style" w:hAnsi="Bookman Old Style"/>
          <w:b/>
          <w:bCs/>
          <w:sz w:val="52"/>
          <w:szCs w:val="52"/>
        </w:rPr>
      </w:pPr>
    </w:p>
    <w:p w14:paraId="2BB53DC7" w14:textId="77777777" w:rsidR="00334B4C" w:rsidRDefault="00334B4C" w:rsidP="0095781C">
      <w:pPr>
        <w:jc w:val="center"/>
        <w:rPr>
          <w:rFonts w:ascii="Bookman Old Style" w:hAnsi="Bookman Old Style"/>
          <w:b/>
          <w:bCs/>
          <w:sz w:val="52"/>
          <w:szCs w:val="52"/>
        </w:rPr>
      </w:pPr>
    </w:p>
    <w:p w14:paraId="6F7381E9" w14:textId="77777777" w:rsidR="00334B4C" w:rsidRDefault="00334B4C" w:rsidP="0095781C">
      <w:pPr>
        <w:jc w:val="center"/>
        <w:rPr>
          <w:rFonts w:ascii="Bookman Old Style" w:hAnsi="Bookman Old Style"/>
          <w:b/>
          <w:bCs/>
          <w:sz w:val="52"/>
          <w:szCs w:val="52"/>
        </w:rPr>
      </w:pPr>
    </w:p>
    <w:p w14:paraId="65ABEA56" w14:textId="630FC7DE" w:rsidR="004B6FF8" w:rsidRPr="004B6FF8" w:rsidRDefault="004B6FF8" w:rsidP="0095781C">
      <w:pPr>
        <w:jc w:val="center"/>
        <w:rPr>
          <w:rFonts w:ascii="Bookman Old Style" w:hAnsi="Bookman Old Style"/>
          <w:b/>
          <w:bCs/>
          <w:sz w:val="52"/>
          <w:szCs w:val="52"/>
        </w:rPr>
      </w:pPr>
      <w:r w:rsidRPr="004B6FF8">
        <w:rPr>
          <w:rFonts w:ascii="Bookman Old Style" w:hAnsi="Bookman Old Style"/>
          <w:b/>
          <w:bCs/>
          <w:sz w:val="52"/>
          <w:szCs w:val="52"/>
        </w:rPr>
        <w:t>Batch-0</w:t>
      </w:r>
      <w:r w:rsidR="0095781C">
        <w:rPr>
          <w:rFonts w:ascii="Bookman Old Style" w:hAnsi="Bookman Old Style"/>
          <w:b/>
          <w:bCs/>
          <w:sz w:val="52"/>
          <w:szCs w:val="52"/>
        </w:rPr>
        <w:t>1</w:t>
      </w:r>
    </w:p>
    <w:p w14:paraId="3BCAC0C3" w14:textId="22108494" w:rsidR="00BF2158" w:rsidRDefault="004B6FF8" w:rsidP="00D40C51">
      <w:pPr>
        <w:rPr>
          <w:rFonts w:ascii="Bookman Old Style" w:hAnsi="Bookman Old Style"/>
          <w:b/>
          <w:bCs/>
          <w:sz w:val="52"/>
          <w:szCs w:val="52"/>
        </w:rPr>
      </w:pPr>
      <w:r w:rsidRPr="004B6FF8">
        <w:rPr>
          <w:rFonts w:ascii="Bookman Old Style" w:hAnsi="Bookman Old Style"/>
          <w:b/>
          <w:bCs/>
          <w:sz w:val="52"/>
          <w:szCs w:val="52"/>
        </w:rPr>
        <w:t>Group Members</w:t>
      </w:r>
      <w:r w:rsidR="0095781C">
        <w:rPr>
          <w:rFonts w:ascii="Bookman Old Style" w:hAnsi="Bookman Old Style"/>
          <w:b/>
          <w:bCs/>
          <w:sz w:val="52"/>
          <w:szCs w:val="52"/>
        </w:rPr>
        <w:t>:</w:t>
      </w:r>
    </w:p>
    <w:p w14:paraId="768DF191" w14:textId="3DF2FDE0" w:rsidR="0095781C" w:rsidRPr="0095781C" w:rsidRDefault="0095781C" w:rsidP="0095781C">
      <w:pPr>
        <w:rPr>
          <w:rFonts w:ascii="Bookman Old Style" w:hAnsi="Bookman Old Style"/>
          <w:sz w:val="48"/>
          <w:szCs w:val="48"/>
        </w:rPr>
      </w:pPr>
      <w:r w:rsidRPr="0095781C">
        <w:rPr>
          <w:rFonts w:ascii="Bookman Old Style" w:hAnsi="Bookman Old Style"/>
          <w:sz w:val="48"/>
          <w:szCs w:val="48"/>
        </w:rPr>
        <w:t>Movva Sahitya      (22991A0502)</w:t>
      </w:r>
    </w:p>
    <w:p w14:paraId="3E793572" w14:textId="4AB222E8" w:rsidR="0095781C" w:rsidRPr="0095781C" w:rsidRDefault="0095781C" w:rsidP="0095781C">
      <w:pPr>
        <w:rPr>
          <w:rFonts w:ascii="Bookman Old Style" w:hAnsi="Bookman Old Style"/>
          <w:sz w:val="48"/>
          <w:szCs w:val="48"/>
        </w:rPr>
      </w:pPr>
      <w:r w:rsidRPr="0095781C">
        <w:rPr>
          <w:rFonts w:ascii="Bookman Old Style" w:hAnsi="Bookman Old Style"/>
          <w:sz w:val="48"/>
          <w:szCs w:val="48"/>
        </w:rPr>
        <w:t>Vana LeelaKrishna  (22991A0546)</w:t>
      </w:r>
    </w:p>
    <w:p w14:paraId="4B04344D" w14:textId="7FF173F6" w:rsidR="0095781C" w:rsidRPr="0095781C" w:rsidRDefault="0095781C" w:rsidP="0095781C">
      <w:pPr>
        <w:rPr>
          <w:rFonts w:ascii="Bookman Old Style" w:hAnsi="Bookman Old Style"/>
          <w:sz w:val="48"/>
          <w:szCs w:val="48"/>
        </w:rPr>
      </w:pPr>
      <w:r w:rsidRPr="0095781C">
        <w:rPr>
          <w:rFonts w:ascii="Bookman Old Style" w:hAnsi="Bookman Old Style"/>
          <w:sz w:val="48"/>
          <w:szCs w:val="48"/>
        </w:rPr>
        <w:t>Karri Chandini       (22991A0555)</w:t>
      </w:r>
    </w:p>
    <w:p w14:paraId="7B57384C" w14:textId="505264DC" w:rsidR="0095781C" w:rsidRPr="0095781C" w:rsidRDefault="0095781C" w:rsidP="0095781C">
      <w:pPr>
        <w:rPr>
          <w:rFonts w:ascii="Bookman Old Style" w:hAnsi="Bookman Old Style"/>
          <w:sz w:val="48"/>
          <w:szCs w:val="48"/>
        </w:rPr>
      </w:pPr>
      <w:r w:rsidRPr="0095781C">
        <w:rPr>
          <w:rFonts w:ascii="Bookman Old Style" w:hAnsi="Bookman Old Style"/>
          <w:sz w:val="48"/>
          <w:szCs w:val="48"/>
        </w:rPr>
        <w:t>Kadagala Mohini    (22991A0570)</w:t>
      </w:r>
    </w:p>
    <w:p w14:paraId="5C17C301" w14:textId="060C3782" w:rsidR="0095781C" w:rsidRPr="00D40C51" w:rsidRDefault="0095781C" w:rsidP="0095781C">
      <w:pPr>
        <w:rPr>
          <w:rFonts w:ascii="Bookman Old Style" w:hAnsi="Bookman Old Style"/>
          <w:sz w:val="48"/>
          <w:szCs w:val="48"/>
        </w:rPr>
      </w:pPr>
      <w:r w:rsidRPr="0095781C">
        <w:rPr>
          <w:rFonts w:ascii="Bookman Old Style" w:hAnsi="Bookman Old Style"/>
          <w:sz w:val="48"/>
          <w:szCs w:val="48"/>
        </w:rPr>
        <w:t>Kimidi</w:t>
      </w:r>
      <w:r w:rsidRPr="00D40C51">
        <w:rPr>
          <w:rFonts w:ascii="Bookman Old Style" w:hAnsi="Bookman Old Style"/>
          <w:sz w:val="48"/>
          <w:szCs w:val="48"/>
        </w:rPr>
        <w:t xml:space="preserve"> </w:t>
      </w:r>
      <w:r w:rsidRPr="0095781C">
        <w:rPr>
          <w:rFonts w:ascii="Bookman Old Style" w:hAnsi="Bookman Old Style"/>
          <w:sz w:val="48"/>
          <w:szCs w:val="48"/>
        </w:rPr>
        <w:t>Venkataramana(23995A0503)</w:t>
      </w:r>
    </w:p>
    <w:p w14:paraId="13901ACC" w14:textId="77777777" w:rsidR="0095781C" w:rsidRDefault="0095781C" w:rsidP="0095781C">
      <w:pPr>
        <w:rPr>
          <w:rFonts w:ascii="Bookman Old Style" w:hAnsi="Bookman Old Style"/>
          <w:b/>
          <w:bCs/>
          <w:sz w:val="48"/>
          <w:szCs w:val="48"/>
        </w:rPr>
      </w:pPr>
    </w:p>
    <w:p w14:paraId="45B4A6AA" w14:textId="04A90E14" w:rsidR="00D40C51" w:rsidRDefault="00D40C51" w:rsidP="0095781C">
      <w:pPr>
        <w:rPr>
          <w:rFonts w:ascii="Bookman Old Style" w:hAnsi="Bookman Old Style"/>
          <w:b/>
          <w:bCs/>
          <w:sz w:val="48"/>
          <w:szCs w:val="48"/>
        </w:rPr>
      </w:pPr>
      <w:r>
        <w:rPr>
          <w:rFonts w:ascii="Bookman Old Style" w:hAnsi="Bookman Old Style"/>
          <w:b/>
          <w:bCs/>
          <w:sz w:val="48"/>
          <w:szCs w:val="48"/>
        </w:rPr>
        <w:t>Guide:</w:t>
      </w:r>
    </w:p>
    <w:p w14:paraId="5563F670" w14:textId="5E2B35CE" w:rsidR="00D40C51" w:rsidRPr="00D40C51" w:rsidRDefault="00D40C51" w:rsidP="00D40C51">
      <w:pPr>
        <w:rPr>
          <w:rFonts w:ascii="Bookman Old Style" w:hAnsi="Bookman Old Style"/>
          <w:sz w:val="48"/>
          <w:szCs w:val="48"/>
        </w:rPr>
      </w:pPr>
      <w:r w:rsidRPr="00D40C51">
        <w:rPr>
          <w:rFonts w:ascii="Bookman Old Style" w:hAnsi="Bookman Old Style"/>
          <w:sz w:val="48"/>
          <w:szCs w:val="48"/>
        </w:rPr>
        <w:t>M</w:t>
      </w:r>
      <w:r w:rsidR="00A957ED">
        <w:rPr>
          <w:rFonts w:ascii="Bookman Old Style" w:hAnsi="Bookman Old Style"/>
          <w:sz w:val="48"/>
          <w:szCs w:val="48"/>
        </w:rPr>
        <w:t>r.Uma Maheswar Rao</w:t>
      </w:r>
    </w:p>
    <w:p w14:paraId="76F1FEBA" w14:textId="05971713" w:rsidR="00D40C51" w:rsidRPr="00D40C51" w:rsidRDefault="00A957ED" w:rsidP="00D40C51">
      <w:pPr>
        <w:rPr>
          <w:rFonts w:ascii="Bookman Old Style" w:hAnsi="Bookman Old Style"/>
          <w:sz w:val="48"/>
          <w:szCs w:val="48"/>
        </w:rPr>
      </w:pPr>
      <w:r>
        <w:rPr>
          <w:rFonts w:ascii="Bookman Old Style" w:hAnsi="Bookman Old Style"/>
          <w:sz w:val="48"/>
          <w:szCs w:val="48"/>
        </w:rPr>
        <w:t>Head of the Department(HOD),</w:t>
      </w:r>
      <w:r w:rsidR="00D40C51" w:rsidRPr="00D40C51">
        <w:rPr>
          <w:rFonts w:ascii="Bookman Old Style" w:hAnsi="Bookman Old Style"/>
          <w:sz w:val="48"/>
          <w:szCs w:val="48"/>
        </w:rPr>
        <w:t>CSE</w:t>
      </w:r>
    </w:p>
    <w:p w14:paraId="2ECB0DA7" w14:textId="77777777" w:rsidR="00D40C51" w:rsidRPr="00D40C51" w:rsidRDefault="00D40C51" w:rsidP="0095781C">
      <w:pPr>
        <w:rPr>
          <w:rFonts w:ascii="Bookman Old Style" w:hAnsi="Bookman Old Style"/>
          <w:sz w:val="52"/>
          <w:szCs w:val="52"/>
        </w:rPr>
      </w:pPr>
    </w:p>
    <w:p w14:paraId="2DA6592B" w14:textId="78F24CB1" w:rsidR="009B4A7A" w:rsidRDefault="009B4A7A" w:rsidP="009B140E">
      <w:pPr>
        <w:rPr>
          <w:rFonts w:ascii="Arial Black" w:hAnsi="Arial Black"/>
          <w:sz w:val="52"/>
          <w:szCs w:val="52"/>
        </w:rPr>
      </w:pPr>
    </w:p>
    <w:p w14:paraId="4D7339F3" w14:textId="74891DD1" w:rsidR="009B4A7A" w:rsidRPr="009B4A7A" w:rsidRDefault="009B4A7A" w:rsidP="009B4A7A">
      <w:pPr>
        <w:rPr>
          <w:rFonts w:ascii="Arial Black" w:hAnsi="Arial Black"/>
          <w:sz w:val="52"/>
          <w:szCs w:val="52"/>
        </w:rPr>
      </w:pPr>
      <w:r>
        <w:rPr>
          <w:rFonts w:ascii="Arial Black" w:hAnsi="Arial Black"/>
          <w:sz w:val="52"/>
          <w:szCs w:val="52"/>
        </w:rPr>
        <w:br w:type="page"/>
      </w:r>
    </w:p>
    <w:p w14:paraId="04A9E1FB" w14:textId="61D62DAA" w:rsidR="008408AB" w:rsidRPr="00E470B4" w:rsidRDefault="00334B4C" w:rsidP="00334B4C">
      <w:pPr>
        <w:rPr>
          <w:rFonts w:ascii="Times New Roman" w:hAnsi="Times New Roman" w:cs="Times New Roman"/>
          <w:b/>
          <w:bCs/>
          <w:sz w:val="52"/>
          <w:szCs w:val="52"/>
          <w:u w:val="single"/>
        </w:rPr>
      </w:pPr>
      <w:r w:rsidRPr="00E470B4">
        <w:rPr>
          <w:rFonts w:ascii="Times New Roman" w:hAnsi="Times New Roman" w:cs="Times New Roman"/>
          <w:b/>
          <w:bCs/>
          <w:sz w:val="52"/>
          <w:szCs w:val="52"/>
          <w:u w:val="single"/>
        </w:rPr>
        <w:lastRenderedPageBreak/>
        <w:t>ABSTRACT:</w:t>
      </w:r>
    </w:p>
    <w:p w14:paraId="5900385F" w14:textId="77777777" w:rsidR="008408AB" w:rsidRPr="00E470B4" w:rsidRDefault="008408AB" w:rsidP="00AC023C">
      <w:pPr>
        <w:spacing w:after="0"/>
        <w:jc w:val="both"/>
        <w:rPr>
          <w:rFonts w:ascii="Cambria Math" w:hAnsi="Cambria Math"/>
          <w:sz w:val="29"/>
          <w:szCs w:val="29"/>
        </w:rPr>
      </w:pPr>
      <w:r w:rsidRPr="00E470B4">
        <w:rPr>
          <w:rFonts w:ascii="Cambria Math" w:hAnsi="Cambria Math"/>
          <w:sz w:val="29"/>
          <w:szCs w:val="29"/>
        </w:rPr>
        <w:t xml:space="preserve">In recent years, environmental sustainability has become a major concern across industries due to increasing climate change, pollution, and depletion of natural resources. As a result, companies actively promote their products using sustainability-related terms such as </w:t>
      </w:r>
      <w:r w:rsidRPr="00E470B4">
        <w:rPr>
          <w:rFonts w:ascii="Cambria Math" w:hAnsi="Cambria Math"/>
          <w:i/>
          <w:iCs/>
          <w:sz w:val="29"/>
          <w:szCs w:val="29"/>
        </w:rPr>
        <w:t>eco-friendly</w:t>
      </w:r>
      <w:r w:rsidRPr="00E470B4">
        <w:rPr>
          <w:rFonts w:ascii="Cambria Math" w:hAnsi="Cambria Math"/>
          <w:sz w:val="29"/>
          <w:szCs w:val="29"/>
        </w:rPr>
        <w:t xml:space="preserve">, </w:t>
      </w:r>
      <w:r w:rsidRPr="00E470B4">
        <w:rPr>
          <w:rFonts w:ascii="Cambria Math" w:hAnsi="Cambria Math"/>
          <w:i/>
          <w:iCs/>
          <w:sz w:val="29"/>
          <w:szCs w:val="29"/>
        </w:rPr>
        <w:t>green</w:t>
      </w:r>
      <w:r w:rsidRPr="00E470B4">
        <w:rPr>
          <w:rFonts w:ascii="Cambria Math" w:hAnsi="Cambria Math"/>
          <w:sz w:val="29"/>
          <w:szCs w:val="29"/>
        </w:rPr>
        <w:t xml:space="preserve">, </w:t>
      </w:r>
      <w:r w:rsidRPr="00E470B4">
        <w:rPr>
          <w:rFonts w:ascii="Cambria Math" w:hAnsi="Cambria Math"/>
          <w:i/>
          <w:iCs/>
          <w:sz w:val="29"/>
          <w:szCs w:val="29"/>
        </w:rPr>
        <w:t>biodegradable</w:t>
      </w:r>
      <w:r w:rsidRPr="00E470B4">
        <w:rPr>
          <w:rFonts w:ascii="Cambria Math" w:hAnsi="Cambria Math"/>
          <w:sz w:val="29"/>
          <w:szCs w:val="29"/>
        </w:rPr>
        <w:t xml:space="preserve">, and </w:t>
      </w:r>
      <w:r w:rsidRPr="00E470B4">
        <w:rPr>
          <w:rFonts w:ascii="Cambria Math" w:hAnsi="Cambria Math"/>
          <w:i/>
          <w:iCs/>
          <w:sz w:val="29"/>
          <w:szCs w:val="29"/>
        </w:rPr>
        <w:t>sustainable</w:t>
      </w:r>
      <w:r w:rsidRPr="00E470B4">
        <w:rPr>
          <w:rFonts w:ascii="Cambria Math" w:hAnsi="Cambria Math"/>
          <w:sz w:val="29"/>
          <w:szCs w:val="29"/>
        </w:rPr>
        <w:t xml:space="preserve">. While some organizations genuinely adopt sustainable practices, many others use such terminology without providing verifiable evidence. This misleading marketing strategy is commonly referred to as </w:t>
      </w:r>
      <w:r w:rsidRPr="00E470B4">
        <w:rPr>
          <w:rFonts w:ascii="Cambria Math" w:hAnsi="Cambria Math"/>
          <w:i/>
          <w:iCs/>
          <w:sz w:val="29"/>
          <w:szCs w:val="29"/>
        </w:rPr>
        <w:t>greenwashing</w:t>
      </w:r>
      <w:r w:rsidRPr="00E470B4">
        <w:rPr>
          <w:rFonts w:ascii="Cambria Math" w:hAnsi="Cambria Math"/>
          <w:sz w:val="29"/>
          <w:szCs w:val="29"/>
        </w:rPr>
        <w:t>. Greenwashing not only misleads consumers but also undermines trust in genuine sustainability efforts.</w:t>
      </w:r>
    </w:p>
    <w:p w14:paraId="2DBD3557" w14:textId="77777777" w:rsidR="008408AB" w:rsidRPr="00E470B4" w:rsidRDefault="008408AB" w:rsidP="008408AB">
      <w:pPr>
        <w:spacing w:after="0"/>
        <w:jc w:val="both"/>
        <w:rPr>
          <w:rFonts w:ascii="Cambria Math" w:hAnsi="Cambria Math"/>
          <w:sz w:val="29"/>
          <w:szCs w:val="29"/>
        </w:rPr>
      </w:pPr>
    </w:p>
    <w:p w14:paraId="787F7CCF" w14:textId="77777777" w:rsidR="008408AB" w:rsidRPr="00E470B4" w:rsidRDefault="008408AB" w:rsidP="008408AB">
      <w:pPr>
        <w:spacing w:after="0"/>
        <w:jc w:val="both"/>
        <w:rPr>
          <w:rFonts w:ascii="Cambria Math" w:hAnsi="Cambria Math"/>
          <w:sz w:val="29"/>
          <w:szCs w:val="29"/>
        </w:rPr>
      </w:pPr>
      <w:r w:rsidRPr="00E470B4">
        <w:rPr>
          <w:rFonts w:ascii="Cambria Math" w:hAnsi="Cambria Math"/>
          <w:sz w:val="29"/>
          <w:szCs w:val="29"/>
        </w:rPr>
        <w:t>Consumers today face difficulty in distinguishing between authentic environmental claims and deceptive marketing statements. Verifying sustainability claims manually requires technical knowledge, access to certification databases, and significant time, which is impractical for everyday consumers. Existing systems do not provide real-time, explainable analysis of sustainability claims, leading to uninformed purchasing decisions.</w:t>
      </w:r>
    </w:p>
    <w:p w14:paraId="6F62C108" w14:textId="77777777" w:rsidR="008408AB" w:rsidRPr="00E470B4" w:rsidRDefault="008408AB" w:rsidP="008408AB">
      <w:pPr>
        <w:spacing w:after="0"/>
        <w:jc w:val="both"/>
        <w:rPr>
          <w:rFonts w:ascii="Cambria Math" w:hAnsi="Cambria Math"/>
          <w:sz w:val="29"/>
          <w:szCs w:val="29"/>
        </w:rPr>
      </w:pPr>
    </w:p>
    <w:p w14:paraId="4DE40B68" w14:textId="77777777" w:rsidR="008408AB" w:rsidRPr="00E470B4" w:rsidRDefault="008408AB" w:rsidP="008408AB">
      <w:pPr>
        <w:spacing w:after="0"/>
        <w:jc w:val="both"/>
        <w:rPr>
          <w:rFonts w:ascii="Cambria Math" w:hAnsi="Cambria Math"/>
          <w:sz w:val="29"/>
          <w:szCs w:val="29"/>
        </w:rPr>
      </w:pPr>
      <w:r w:rsidRPr="00E470B4">
        <w:rPr>
          <w:rFonts w:ascii="Cambria Math" w:hAnsi="Cambria Math"/>
          <w:sz w:val="29"/>
          <w:szCs w:val="29"/>
        </w:rPr>
        <w:t xml:space="preserve">This project proposes </w:t>
      </w:r>
      <w:r w:rsidRPr="00E470B4">
        <w:rPr>
          <w:rFonts w:ascii="Cambria Math" w:hAnsi="Cambria Math"/>
          <w:b/>
          <w:bCs/>
          <w:sz w:val="29"/>
          <w:szCs w:val="29"/>
        </w:rPr>
        <w:t>EcoLens</w:t>
      </w:r>
      <w:r w:rsidRPr="00E470B4">
        <w:rPr>
          <w:rFonts w:ascii="Cambria Math" w:hAnsi="Cambria Math"/>
          <w:sz w:val="29"/>
          <w:szCs w:val="29"/>
        </w:rPr>
        <w:t>, an AI-based system designed to detect greenwashing in sustainability claims using Natural Language Processing (NLP). EcoLens analyzes textual claims provided by users or extracted through QR code scanning and evaluates them for credibility, risk level, and environmental confidence. The system identifies vague language, absence of measurable data, and lack of recognized certifications to determine the likelihood of greenwashing.</w:t>
      </w:r>
    </w:p>
    <w:p w14:paraId="666A9893" w14:textId="77777777" w:rsidR="008408AB" w:rsidRPr="00E470B4" w:rsidRDefault="008408AB" w:rsidP="008408AB">
      <w:pPr>
        <w:spacing w:after="0"/>
        <w:jc w:val="both"/>
        <w:rPr>
          <w:rFonts w:ascii="Cambria Math" w:hAnsi="Cambria Math"/>
          <w:sz w:val="29"/>
          <w:szCs w:val="29"/>
        </w:rPr>
      </w:pPr>
    </w:p>
    <w:p w14:paraId="40967883" w14:textId="77777777" w:rsidR="008408AB" w:rsidRPr="00E470B4" w:rsidRDefault="008408AB" w:rsidP="008408AB">
      <w:pPr>
        <w:spacing w:after="0"/>
        <w:jc w:val="both"/>
        <w:rPr>
          <w:rFonts w:ascii="Cambria Math" w:hAnsi="Cambria Math"/>
          <w:sz w:val="29"/>
          <w:szCs w:val="29"/>
        </w:rPr>
      </w:pPr>
      <w:r w:rsidRPr="00E470B4">
        <w:rPr>
          <w:rFonts w:ascii="Cambria Math" w:hAnsi="Cambria Math"/>
          <w:sz w:val="29"/>
          <w:szCs w:val="29"/>
        </w:rPr>
        <w:t>EcoLens provides detailed outputs including greenwashing risk level, reasons for flagging the claim, type of greenwashing, consumer risk score, environmental confidence score, and credibility score. Additionally, it suggests eco-friendly alternatives and provides waste awareness guidance to encourage responsible disposal practices. The system also allows users to download a structured PDF report and share the analysis results.</w:t>
      </w:r>
    </w:p>
    <w:p w14:paraId="2847CEBD" w14:textId="77777777" w:rsidR="008408AB" w:rsidRPr="00E470B4" w:rsidRDefault="008408AB" w:rsidP="008408AB">
      <w:pPr>
        <w:spacing w:after="0"/>
        <w:jc w:val="both"/>
        <w:rPr>
          <w:rFonts w:ascii="Cambria Math" w:hAnsi="Cambria Math"/>
          <w:sz w:val="29"/>
          <w:szCs w:val="29"/>
        </w:rPr>
      </w:pPr>
    </w:p>
    <w:p w14:paraId="679A0A5C" w14:textId="77777777" w:rsidR="008408AB" w:rsidRPr="00E470B4" w:rsidRDefault="008408AB" w:rsidP="008408AB">
      <w:pPr>
        <w:spacing w:after="0"/>
        <w:jc w:val="both"/>
        <w:rPr>
          <w:rFonts w:ascii="Cambria Math" w:hAnsi="Cambria Math"/>
          <w:sz w:val="29"/>
          <w:szCs w:val="29"/>
        </w:rPr>
      </w:pPr>
      <w:r w:rsidRPr="00E470B4">
        <w:rPr>
          <w:rFonts w:ascii="Cambria Math" w:hAnsi="Cambria Math"/>
          <w:sz w:val="29"/>
          <w:szCs w:val="29"/>
        </w:rPr>
        <w:t>By integrating frontend technologies with a FastAPI backend and NLP-based analysis logic, EcoLens offers a transparent, explainable, and practical solution for sustainability claim verification. The project aims to empower consumers, promote accountability among manufacturers, and support informed decision-making toward genuine sustainability.</w:t>
      </w:r>
    </w:p>
    <w:p w14:paraId="3279CE0E" w14:textId="77777777" w:rsidR="00597F43" w:rsidRPr="00E470B4" w:rsidRDefault="00597F43" w:rsidP="00FE18B2">
      <w:pPr>
        <w:spacing w:after="0"/>
        <w:jc w:val="both"/>
        <w:rPr>
          <w:rFonts w:ascii="Cambria Math" w:hAnsi="Cambria Math" w:cs="Arial"/>
          <w:sz w:val="28"/>
          <w:szCs w:val="28"/>
        </w:rPr>
      </w:pPr>
    </w:p>
    <w:p w14:paraId="54FA740E" w14:textId="77777777" w:rsidR="00E470B4" w:rsidRDefault="00E470B4" w:rsidP="00FE18B2">
      <w:pPr>
        <w:jc w:val="both"/>
        <w:rPr>
          <w:rFonts w:ascii="Arial" w:hAnsi="Arial" w:cs="Arial"/>
          <w:b/>
          <w:bCs/>
          <w:sz w:val="28"/>
          <w:szCs w:val="28"/>
        </w:rPr>
      </w:pPr>
    </w:p>
    <w:p w14:paraId="4959FB5A" w14:textId="1C0C913A" w:rsidR="00E470B4" w:rsidRPr="00E470B4" w:rsidRDefault="00E470B4" w:rsidP="00FE18B2">
      <w:pPr>
        <w:jc w:val="both"/>
        <w:rPr>
          <w:rFonts w:ascii="Times New Roman" w:hAnsi="Times New Roman" w:cs="Times New Roman"/>
          <w:b/>
          <w:bCs/>
          <w:sz w:val="56"/>
          <w:szCs w:val="56"/>
          <w:u w:val="single"/>
        </w:rPr>
      </w:pPr>
      <w:r w:rsidRPr="00E470B4">
        <w:rPr>
          <w:rFonts w:ascii="Times New Roman" w:hAnsi="Times New Roman" w:cs="Times New Roman"/>
          <w:b/>
          <w:bCs/>
          <w:sz w:val="56"/>
          <w:szCs w:val="56"/>
          <w:u w:val="single"/>
        </w:rPr>
        <w:lastRenderedPageBreak/>
        <w:t>LITERATURE REVIEW:</w:t>
      </w:r>
    </w:p>
    <w:p w14:paraId="1B5F1163" w14:textId="77777777" w:rsidR="00E470B4" w:rsidRDefault="00E470B4" w:rsidP="00E470B4">
      <w:pPr>
        <w:jc w:val="both"/>
        <w:rPr>
          <w:rFonts w:ascii="Cambria Math" w:hAnsi="Cambria Math"/>
          <w:sz w:val="29"/>
          <w:szCs w:val="29"/>
        </w:rPr>
      </w:pPr>
    </w:p>
    <w:p w14:paraId="49808D23" w14:textId="0FFC2788" w:rsidR="00885A93" w:rsidRPr="00885A93" w:rsidRDefault="00885A93" w:rsidP="00885A93">
      <w:pPr>
        <w:jc w:val="both"/>
        <w:rPr>
          <w:rFonts w:ascii="Cambria Math" w:hAnsi="Cambria Math"/>
          <w:b/>
          <w:bCs/>
          <w:sz w:val="36"/>
          <w:szCs w:val="36"/>
          <w:u w:val="single"/>
        </w:rPr>
      </w:pPr>
      <w:r w:rsidRPr="00885A93">
        <w:rPr>
          <w:rFonts w:ascii="Cambria Math" w:hAnsi="Cambria Math"/>
          <w:b/>
          <w:bCs/>
          <w:sz w:val="36"/>
          <w:szCs w:val="36"/>
          <w:u w:val="single"/>
        </w:rPr>
        <w:t>Introduction</w:t>
      </w:r>
    </w:p>
    <w:p w14:paraId="63B358BF" w14:textId="77777777" w:rsidR="00885A93" w:rsidRPr="00885A93" w:rsidRDefault="00885A93" w:rsidP="00885A93">
      <w:pPr>
        <w:jc w:val="both"/>
        <w:rPr>
          <w:rFonts w:ascii="Cambria Math" w:hAnsi="Cambria Math"/>
          <w:sz w:val="30"/>
          <w:szCs w:val="30"/>
        </w:rPr>
      </w:pPr>
      <w:r w:rsidRPr="00885A93">
        <w:rPr>
          <w:rFonts w:ascii="Cambria Math" w:hAnsi="Cambria Math"/>
          <w:sz w:val="30"/>
          <w:szCs w:val="30"/>
        </w:rPr>
        <w:t>Greenwashing has emerged as a critical concern in the field of environmental sustainability and consumer protection. With the increasing awareness of climate change and environmental degradation, consumers are actively seeking products that claim to be eco-friendly, sustainable, or environmentally responsible. This growing demand has resulted in several companies using misleading or exaggerated environmental claims to improve brand perception without making genuine sustainability efforts. Academic research over the past decade has focused on identifying greenwashing practices, developing classification frameworks, and proposing analytical techniques to evaluate environmental claims. This chapter reviews existing literature related to greenwashing detection, sustainability communication, certification-based evaluation, and the application of computational techniques for analyzing environmental claims.</w:t>
      </w:r>
    </w:p>
    <w:p w14:paraId="726079D7" w14:textId="38485B06" w:rsidR="00885A93" w:rsidRPr="00885A93" w:rsidRDefault="00885A93" w:rsidP="00885A93">
      <w:pPr>
        <w:jc w:val="both"/>
        <w:rPr>
          <w:rFonts w:ascii="Cambria Math" w:hAnsi="Cambria Math"/>
          <w:sz w:val="32"/>
          <w:szCs w:val="32"/>
          <w:u w:val="single"/>
        </w:rPr>
      </w:pPr>
    </w:p>
    <w:p w14:paraId="7A2F20DE" w14:textId="0A52B467" w:rsidR="00885A93" w:rsidRPr="00885A93" w:rsidRDefault="00885A93" w:rsidP="00885A93">
      <w:pPr>
        <w:jc w:val="both"/>
        <w:rPr>
          <w:rFonts w:ascii="Cambria Math" w:hAnsi="Cambria Math"/>
          <w:b/>
          <w:bCs/>
          <w:sz w:val="32"/>
          <w:szCs w:val="32"/>
          <w:u w:val="single"/>
        </w:rPr>
      </w:pPr>
      <w:r w:rsidRPr="00885A93">
        <w:rPr>
          <w:rFonts w:ascii="Cambria Math" w:hAnsi="Cambria Math"/>
          <w:b/>
          <w:bCs/>
          <w:sz w:val="32"/>
          <w:szCs w:val="32"/>
          <w:u w:val="single"/>
        </w:rPr>
        <w:t>Greenwashing and Sustainability Claims</w:t>
      </w:r>
    </w:p>
    <w:p w14:paraId="7D0CD6E9" w14:textId="77777777" w:rsidR="00885A93" w:rsidRPr="00885A93" w:rsidRDefault="00885A93" w:rsidP="00885A93">
      <w:pPr>
        <w:jc w:val="both"/>
        <w:rPr>
          <w:rFonts w:ascii="Cambria Math" w:hAnsi="Cambria Math"/>
          <w:sz w:val="30"/>
          <w:szCs w:val="30"/>
        </w:rPr>
      </w:pPr>
      <w:r w:rsidRPr="00885A93">
        <w:rPr>
          <w:rFonts w:ascii="Cambria Math" w:hAnsi="Cambria Math"/>
          <w:sz w:val="30"/>
          <w:szCs w:val="30"/>
        </w:rPr>
        <w:t>Delmas and Burbano [1] define greenwashing as the practice of selectively disclosing positive environmental information while concealing negative environmental impacts. Their study highlights that firms often use vague terminology such as “eco-friendly” or “green” without measurable evidence, which creates consumer confusion. The work emphasizes the importance of transparency and third-party verification in sustainability communication.</w:t>
      </w:r>
    </w:p>
    <w:p w14:paraId="709DA8FE" w14:textId="77777777" w:rsidR="00885A93" w:rsidRPr="00885A93" w:rsidRDefault="00885A93" w:rsidP="00885A93">
      <w:pPr>
        <w:jc w:val="both"/>
        <w:rPr>
          <w:rFonts w:ascii="Cambria Math" w:hAnsi="Cambria Math"/>
          <w:sz w:val="30"/>
          <w:szCs w:val="30"/>
        </w:rPr>
      </w:pPr>
      <w:r w:rsidRPr="00885A93">
        <w:rPr>
          <w:rFonts w:ascii="Cambria Math" w:hAnsi="Cambria Math"/>
          <w:sz w:val="30"/>
          <w:szCs w:val="30"/>
        </w:rPr>
        <w:t>Lyon and Montgomery [2] further explain greenwashing as a market failure caused by information asymmetry between producers and consumers. Their research demonstrates that firms exploit consumers’ limited ability to verify environmental claims, leading to distorted market competition. The study stresses the need for independent evaluation mechanisms to validate environmental assertions.</w:t>
      </w:r>
    </w:p>
    <w:p w14:paraId="6B691E51" w14:textId="77777777" w:rsidR="00885A93" w:rsidRPr="00885A93" w:rsidRDefault="00885A93" w:rsidP="00885A93">
      <w:pPr>
        <w:jc w:val="both"/>
        <w:rPr>
          <w:rFonts w:ascii="Cambria Math" w:hAnsi="Cambria Math"/>
          <w:sz w:val="30"/>
          <w:szCs w:val="30"/>
        </w:rPr>
      </w:pPr>
      <w:r w:rsidRPr="00885A93">
        <w:rPr>
          <w:rFonts w:ascii="Cambria Math" w:hAnsi="Cambria Math"/>
          <w:sz w:val="30"/>
          <w:szCs w:val="30"/>
        </w:rPr>
        <w:t>TerraChoice Group [3] introduced the concept of the “Seven Sins of Greenwashing,” which categorizes misleading environmental claims into sins such as vagueness, lack of proof, irrelevance, and false labels. This framework has been widely cited and forms the foundation for many subsequent greenwashing detection studies.</w:t>
      </w:r>
    </w:p>
    <w:p w14:paraId="3ABD07FB" w14:textId="21DF79A2" w:rsidR="00885A93" w:rsidRPr="00885A93" w:rsidRDefault="00885A93" w:rsidP="00885A93">
      <w:pPr>
        <w:jc w:val="both"/>
        <w:rPr>
          <w:rFonts w:ascii="Cambria Math" w:hAnsi="Cambria Math"/>
          <w:sz w:val="30"/>
          <w:szCs w:val="30"/>
        </w:rPr>
      </w:pPr>
    </w:p>
    <w:p w14:paraId="0FE16946" w14:textId="77777777" w:rsidR="00885A93" w:rsidRPr="00885A93" w:rsidRDefault="00885A93" w:rsidP="00885A93">
      <w:pPr>
        <w:jc w:val="both"/>
        <w:rPr>
          <w:rFonts w:ascii="Cambria Math" w:hAnsi="Cambria Math"/>
          <w:b/>
          <w:bCs/>
          <w:sz w:val="30"/>
          <w:szCs w:val="30"/>
        </w:rPr>
      </w:pPr>
    </w:p>
    <w:p w14:paraId="00E7FA16" w14:textId="4751644C" w:rsidR="00885A93" w:rsidRPr="00885A93" w:rsidRDefault="00885A93" w:rsidP="00885A93">
      <w:pPr>
        <w:jc w:val="both"/>
        <w:rPr>
          <w:rFonts w:ascii="Cambria Math" w:hAnsi="Cambria Math"/>
          <w:b/>
          <w:bCs/>
          <w:sz w:val="32"/>
          <w:szCs w:val="32"/>
          <w:u w:val="single"/>
        </w:rPr>
      </w:pPr>
      <w:r w:rsidRPr="00885A93">
        <w:rPr>
          <w:rFonts w:ascii="Cambria Math" w:hAnsi="Cambria Math"/>
          <w:b/>
          <w:bCs/>
          <w:sz w:val="32"/>
          <w:szCs w:val="32"/>
          <w:u w:val="single"/>
        </w:rPr>
        <w:t>Role of Environmental Certifications</w:t>
      </w:r>
    </w:p>
    <w:p w14:paraId="5E71BF8F" w14:textId="77777777" w:rsidR="00885A93" w:rsidRPr="00885A93" w:rsidRDefault="00885A93" w:rsidP="00885A93">
      <w:pPr>
        <w:jc w:val="both"/>
        <w:rPr>
          <w:rFonts w:ascii="Cambria Math" w:hAnsi="Cambria Math"/>
          <w:sz w:val="30"/>
          <w:szCs w:val="30"/>
        </w:rPr>
      </w:pPr>
      <w:r w:rsidRPr="00885A93">
        <w:rPr>
          <w:rFonts w:ascii="Cambria Math" w:hAnsi="Cambria Math"/>
          <w:sz w:val="30"/>
          <w:szCs w:val="30"/>
        </w:rPr>
        <w:t>Environmental certifications serve as an important indicator of genuine sustainability efforts. Testa et al. [4] analyzed the effectiveness of eco-labels such as FSC, Energy Star, and EU Ecolabel in enhancing consumer trust. Their findings indicate that certified products are perceived as more credible when certification information is clearly communicated.</w:t>
      </w:r>
    </w:p>
    <w:p w14:paraId="4CCEB92D" w14:textId="77777777" w:rsidR="00885A93" w:rsidRPr="00885A93" w:rsidRDefault="00885A93" w:rsidP="00885A93">
      <w:pPr>
        <w:jc w:val="both"/>
        <w:rPr>
          <w:rFonts w:ascii="Cambria Math" w:hAnsi="Cambria Math"/>
          <w:sz w:val="30"/>
          <w:szCs w:val="30"/>
        </w:rPr>
      </w:pPr>
      <w:r w:rsidRPr="00885A93">
        <w:rPr>
          <w:rFonts w:ascii="Cambria Math" w:hAnsi="Cambria Math"/>
          <w:sz w:val="30"/>
          <w:szCs w:val="30"/>
        </w:rPr>
        <w:t>Darnall et al. [5] studied voluntary environmental programs and concluded that certification systems significantly reduce greenwashing risk by enforcing compliance standards and audits. However, the study also highlights that consumers often lack awareness about certification meanings, reducing their effectiveness.</w:t>
      </w:r>
    </w:p>
    <w:p w14:paraId="44B55F32" w14:textId="7D11EB69" w:rsidR="00885A93" w:rsidRDefault="00885A93" w:rsidP="00885A93">
      <w:pPr>
        <w:jc w:val="both"/>
        <w:rPr>
          <w:rFonts w:ascii="Cambria Math" w:hAnsi="Cambria Math"/>
          <w:sz w:val="30"/>
          <w:szCs w:val="30"/>
        </w:rPr>
      </w:pPr>
      <w:r w:rsidRPr="00885A93">
        <w:rPr>
          <w:rFonts w:ascii="Cambria Math" w:hAnsi="Cambria Math"/>
          <w:sz w:val="30"/>
          <w:szCs w:val="30"/>
        </w:rPr>
        <w:t>Grankvist et al. [6] examined consumer responses to eco-labels and found that trust in certifications depends heavily on label familiarity. This research supports the need for educational tools that explain certification relevance to consumers.</w:t>
      </w:r>
    </w:p>
    <w:p w14:paraId="7884D3C9" w14:textId="77777777" w:rsidR="00885A93" w:rsidRPr="00885A93" w:rsidRDefault="00885A93" w:rsidP="00885A93">
      <w:pPr>
        <w:jc w:val="both"/>
        <w:rPr>
          <w:rFonts w:ascii="Cambria Math" w:hAnsi="Cambria Math"/>
          <w:sz w:val="30"/>
          <w:szCs w:val="30"/>
        </w:rPr>
      </w:pPr>
    </w:p>
    <w:p w14:paraId="6973D1BF" w14:textId="522DFDA5" w:rsidR="00885A93" w:rsidRPr="00885A93" w:rsidRDefault="00885A93" w:rsidP="00885A93">
      <w:pPr>
        <w:jc w:val="both"/>
        <w:rPr>
          <w:rFonts w:ascii="Cambria Math" w:hAnsi="Cambria Math"/>
          <w:b/>
          <w:bCs/>
          <w:sz w:val="32"/>
          <w:szCs w:val="32"/>
          <w:u w:val="single"/>
        </w:rPr>
      </w:pPr>
      <w:r w:rsidRPr="00885A93">
        <w:rPr>
          <w:rFonts w:ascii="Cambria Math" w:hAnsi="Cambria Math"/>
          <w:b/>
          <w:bCs/>
          <w:sz w:val="32"/>
          <w:szCs w:val="32"/>
          <w:u w:val="single"/>
        </w:rPr>
        <w:t>Computational Approaches to Greenwashing Detection</w:t>
      </w:r>
    </w:p>
    <w:p w14:paraId="1B42797C" w14:textId="77777777" w:rsidR="00885A93" w:rsidRPr="00885A93" w:rsidRDefault="00885A93" w:rsidP="00885A93">
      <w:pPr>
        <w:jc w:val="both"/>
        <w:rPr>
          <w:rFonts w:ascii="Cambria Math" w:hAnsi="Cambria Math"/>
          <w:sz w:val="30"/>
          <w:szCs w:val="30"/>
        </w:rPr>
      </w:pPr>
      <w:r w:rsidRPr="00885A93">
        <w:rPr>
          <w:rFonts w:ascii="Cambria Math" w:hAnsi="Cambria Math"/>
          <w:sz w:val="30"/>
          <w:szCs w:val="30"/>
        </w:rPr>
        <w:t>With advancements in natural language processing, researchers have explored automated methods to detect greenwashing. Chen et al. [7] proposed a text-based classification model that analyzes sustainability reports using linguistic cues and sentiment patterns. Their results show that vague language correlates strongly with greenwashing behavior.</w:t>
      </w:r>
    </w:p>
    <w:p w14:paraId="603B4F81" w14:textId="77777777" w:rsidR="00885A93" w:rsidRPr="00885A93" w:rsidRDefault="00885A93" w:rsidP="00885A93">
      <w:pPr>
        <w:jc w:val="both"/>
        <w:rPr>
          <w:rFonts w:ascii="Cambria Math" w:hAnsi="Cambria Math"/>
          <w:sz w:val="30"/>
          <w:szCs w:val="30"/>
        </w:rPr>
      </w:pPr>
      <w:r w:rsidRPr="00885A93">
        <w:rPr>
          <w:rFonts w:ascii="Cambria Math" w:hAnsi="Cambria Math"/>
          <w:sz w:val="30"/>
          <w:szCs w:val="30"/>
        </w:rPr>
        <w:t>Hahn and Lülfs [8] developed a sustainability disclosure analysis framework that identifies symbolic versus substantive environmental communication. Their work demonstrates that excessive positive wording without quantitative backing is a key indicator of greenwashing.</w:t>
      </w:r>
    </w:p>
    <w:p w14:paraId="07C10ED9" w14:textId="4E76F3EF" w:rsidR="00885A93" w:rsidRPr="00885A93" w:rsidRDefault="00885A93" w:rsidP="00885A93">
      <w:pPr>
        <w:jc w:val="both"/>
        <w:rPr>
          <w:rFonts w:ascii="Cambria Math" w:hAnsi="Cambria Math"/>
          <w:sz w:val="30"/>
          <w:szCs w:val="30"/>
        </w:rPr>
      </w:pPr>
      <w:r w:rsidRPr="00885A93">
        <w:rPr>
          <w:rFonts w:ascii="Cambria Math" w:hAnsi="Cambria Math"/>
          <w:sz w:val="30"/>
          <w:szCs w:val="30"/>
        </w:rPr>
        <w:t>Bergmann et al. [9] used machine learning techniques to classify corporate sustainability disclosures and reported improved detection accuracy compared to manual review. However, the study notes that explainability remains a challenge in complex models.</w:t>
      </w:r>
    </w:p>
    <w:p w14:paraId="6ED338D1" w14:textId="77777777" w:rsidR="00885A93" w:rsidRPr="00885A93" w:rsidRDefault="00885A93" w:rsidP="00885A93">
      <w:pPr>
        <w:jc w:val="both"/>
        <w:rPr>
          <w:rFonts w:ascii="Cambria Math" w:hAnsi="Cambria Math"/>
          <w:sz w:val="30"/>
          <w:szCs w:val="30"/>
        </w:rPr>
      </w:pPr>
    </w:p>
    <w:p w14:paraId="3940C44E" w14:textId="77777777" w:rsidR="00885A93" w:rsidRPr="00885A93" w:rsidRDefault="00885A93" w:rsidP="00885A93">
      <w:pPr>
        <w:jc w:val="both"/>
        <w:rPr>
          <w:rFonts w:ascii="Cambria Math" w:hAnsi="Cambria Math"/>
          <w:b/>
          <w:bCs/>
          <w:sz w:val="30"/>
          <w:szCs w:val="30"/>
        </w:rPr>
      </w:pPr>
    </w:p>
    <w:p w14:paraId="7D842936" w14:textId="77777777" w:rsidR="00885A93" w:rsidRDefault="00885A93" w:rsidP="00885A93">
      <w:pPr>
        <w:jc w:val="both"/>
        <w:rPr>
          <w:rFonts w:ascii="Cambria Math" w:hAnsi="Cambria Math"/>
          <w:b/>
          <w:bCs/>
          <w:sz w:val="30"/>
          <w:szCs w:val="30"/>
        </w:rPr>
      </w:pPr>
    </w:p>
    <w:p w14:paraId="14634FE2" w14:textId="1ABDC6E6" w:rsidR="00885A93" w:rsidRPr="00885A93" w:rsidRDefault="00885A93" w:rsidP="00885A93">
      <w:pPr>
        <w:jc w:val="both"/>
        <w:rPr>
          <w:rFonts w:ascii="Cambria Math" w:hAnsi="Cambria Math"/>
          <w:b/>
          <w:bCs/>
          <w:sz w:val="32"/>
          <w:szCs w:val="32"/>
          <w:u w:val="single"/>
        </w:rPr>
      </w:pPr>
      <w:r w:rsidRPr="00885A93">
        <w:rPr>
          <w:rFonts w:ascii="Cambria Math" w:hAnsi="Cambria Math"/>
          <w:b/>
          <w:bCs/>
          <w:sz w:val="32"/>
          <w:szCs w:val="32"/>
          <w:u w:val="single"/>
        </w:rPr>
        <w:lastRenderedPageBreak/>
        <w:t>QR Codes and Product Transparency</w:t>
      </w:r>
    </w:p>
    <w:p w14:paraId="40FC5BA8" w14:textId="77777777" w:rsidR="00885A93" w:rsidRPr="00885A93" w:rsidRDefault="00885A93" w:rsidP="00885A93">
      <w:pPr>
        <w:jc w:val="both"/>
        <w:rPr>
          <w:rFonts w:ascii="Cambria Math" w:hAnsi="Cambria Math"/>
          <w:sz w:val="30"/>
          <w:szCs w:val="30"/>
        </w:rPr>
      </w:pPr>
      <w:r w:rsidRPr="00885A93">
        <w:rPr>
          <w:rFonts w:ascii="Cambria Math" w:hAnsi="Cambria Math"/>
          <w:sz w:val="30"/>
          <w:szCs w:val="30"/>
        </w:rPr>
        <w:t>QR codes have increasingly been adopted as a mechanism for providing digital access to product information. Shin et al. [10] explored QR-based transparency systems and found that consumers are more likely to trust products when sustainability information is accessible through QR scans.</w:t>
      </w:r>
    </w:p>
    <w:p w14:paraId="2C550B9B" w14:textId="77777777" w:rsidR="00885A93" w:rsidRPr="00885A93" w:rsidRDefault="00885A93" w:rsidP="00885A93">
      <w:pPr>
        <w:jc w:val="both"/>
        <w:rPr>
          <w:rFonts w:ascii="Cambria Math" w:hAnsi="Cambria Math"/>
          <w:sz w:val="30"/>
          <w:szCs w:val="30"/>
        </w:rPr>
      </w:pPr>
      <w:r w:rsidRPr="00885A93">
        <w:rPr>
          <w:rFonts w:ascii="Cambria Math" w:hAnsi="Cambria Math"/>
          <w:sz w:val="30"/>
          <w:szCs w:val="30"/>
        </w:rPr>
        <w:t>Li and Wang [11] demonstrated that QR-enabled product traceability improves consumer engagement and allows real-time verification of environmental claims. Their research supports the integration of QR scanning into sustainability assessment systems.</w:t>
      </w:r>
    </w:p>
    <w:p w14:paraId="55AB0F66" w14:textId="3AA921CA" w:rsidR="00885A93" w:rsidRPr="00885A93" w:rsidRDefault="00885A93" w:rsidP="00885A93">
      <w:pPr>
        <w:jc w:val="both"/>
        <w:rPr>
          <w:rFonts w:ascii="Cambria Math" w:hAnsi="Cambria Math"/>
          <w:sz w:val="30"/>
          <w:szCs w:val="30"/>
        </w:rPr>
      </w:pPr>
    </w:p>
    <w:p w14:paraId="1E7AB0F2" w14:textId="0390A719" w:rsidR="00885A93" w:rsidRPr="00885A93" w:rsidRDefault="00885A93" w:rsidP="00885A93">
      <w:pPr>
        <w:jc w:val="both"/>
        <w:rPr>
          <w:rFonts w:ascii="Cambria Math" w:hAnsi="Cambria Math"/>
          <w:b/>
          <w:bCs/>
          <w:sz w:val="32"/>
          <w:szCs w:val="32"/>
          <w:u w:val="single"/>
        </w:rPr>
      </w:pPr>
      <w:r w:rsidRPr="00885A93">
        <w:rPr>
          <w:rFonts w:ascii="Cambria Math" w:hAnsi="Cambria Math"/>
          <w:b/>
          <w:bCs/>
          <w:sz w:val="32"/>
          <w:szCs w:val="32"/>
          <w:u w:val="single"/>
        </w:rPr>
        <w:t>Summary of Literature Review</w:t>
      </w:r>
    </w:p>
    <w:p w14:paraId="63E2F52D" w14:textId="77777777" w:rsidR="00885A93" w:rsidRPr="00885A93" w:rsidRDefault="00885A93" w:rsidP="00885A93">
      <w:pPr>
        <w:jc w:val="both"/>
        <w:rPr>
          <w:rFonts w:ascii="Cambria Math" w:hAnsi="Cambria Math"/>
          <w:sz w:val="30"/>
          <w:szCs w:val="30"/>
        </w:rPr>
      </w:pPr>
      <w:r w:rsidRPr="00885A93">
        <w:rPr>
          <w:rFonts w:ascii="Cambria Math" w:hAnsi="Cambria Math"/>
          <w:sz w:val="30"/>
          <w:szCs w:val="30"/>
        </w:rPr>
        <w:t>The reviewed literature establishes that greenwashing is a widespread issue driven by vague environmental language, lack of proof, and insufficient consumer awareness. Existing research highlights the importance of certifications, transparency tools, and computational analysis for addressing greenwashing. However, there is limited work that integrates real-time claim analysis, QR-based verification, and explainable scoring within a single system. This gap motivates the development of the EcoLens system.</w:t>
      </w:r>
    </w:p>
    <w:p w14:paraId="25546E27" w14:textId="77777777" w:rsidR="00E470B4" w:rsidRPr="00885A93" w:rsidRDefault="00E470B4" w:rsidP="00E470B4">
      <w:pPr>
        <w:jc w:val="both"/>
        <w:rPr>
          <w:rFonts w:ascii="Cambria Math" w:hAnsi="Cambria Math"/>
          <w:b/>
          <w:bCs/>
          <w:sz w:val="30"/>
          <w:szCs w:val="30"/>
        </w:rPr>
      </w:pPr>
    </w:p>
    <w:p w14:paraId="7200E801" w14:textId="05821E53" w:rsidR="00597F43" w:rsidRDefault="00597F43" w:rsidP="00597F43">
      <w:pPr>
        <w:ind w:firstLine="720"/>
        <w:jc w:val="both"/>
        <w:rPr>
          <w:rFonts w:ascii="Aptos Display" w:hAnsi="Aptos Display"/>
          <w:sz w:val="30"/>
          <w:szCs w:val="30"/>
        </w:rPr>
      </w:pPr>
    </w:p>
    <w:p w14:paraId="67794265" w14:textId="77777777" w:rsidR="00885A93" w:rsidRDefault="00885A93" w:rsidP="00597F43">
      <w:pPr>
        <w:ind w:firstLine="720"/>
        <w:jc w:val="both"/>
        <w:rPr>
          <w:rFonts w:ascii="Aptos Display" w:hAnsi="Aptos Display"/>
          <w:sz w:val="30"/>
          <w:szCs w:val="30"/>
        </w:rPr>
      </w:pPr>
    </w:p>
    <w:p w14:paraId="22DB4068" w14:textId="77777777" w:rsidR="00885A93" w:rsidRDefault="00885A93" w:rsidP="00597F43">
      <w:pPr>
        <w:ind w:firstLine="720"/>
        <w:jc w:val="both"/>
        <w:rPr>
          <w:rFonts w:ascii="Aptos Display" w:hAnsi="Aptos Display"/>
          <w:sz w:val="30"/>
          <w:szCs w:val="30"/>
        </w:rPr>
      </w:pPr>
    </w:p>
    <w:p w14:paraId="285B43D1" w14:textId="77777777" w:rsidR="00885A93" w:rsidRDefault="00885A93" w:rsidP="00597F43">
      <w:pPr>
        <w:ind w:firstLine="720"/>
        <w:jc w:val="both"/>
        <w:rPr>
          <w:rFonts w:ascii="Aptos Display" w:hAnsi="Aptos Display"/>
          <w:sz w:val="30"/>
          <w:szCs w:val="30"/>
        </w:rPr>
      </w:pPr>
    </w:p>
    <w:p w14:paraId="12804FDE" w14:textId="77777777" w:rsidR="00885A93" w:rsidRDefault="00885A93" w:rsidP="00597F43">
      <w:pPr>
        <w:ind w:firstLine="720"/>
        <w:jc w:val="both"/>
        <w:rPr>
          <w:rFonts w:ascii="Aptos Display" w:hAnsi="Aptos Display"/>
          <w:sz w:val="30"/>
          <w:szCs w:val="30"/>
        </w:rPr>
      </w:pPr>
    </w:p>
    <w:p w14:paraId="7DFC4F6F" w14:textId="77777777" w:rsidR="00885A93" w:rsidRDefault="00885A93" w:rsidP="00597F43">
      <w:pPr>
        <w:ind w:firstLine="720"/>
        <w:jc w:val="both"/>
        <w:rPr>
          <w:rFonts w:ascii="Aptos Display" w:hAnsi="Aptos Display"/>
          <w:sz w:val="30"/>
          <w:szCs w:val="30"/>
        </w:rPr>
      </w:pPr>
    </w:p>
    <w:p w14:paraId="7CB7354A" w14:textId="77777777" w:rsidR="00885A93" w:rsidRDefault="00885A93" w:rsidP="00597F43">
      <w:pPr>
        <w:ind w:firstLine="720"/>
        <w:jc w:val="both"/>
        <w:rPr>
          <w:rFonts w:ascii="Aptos Display" w:hAnsi="Aptos Display"/>
          <w:sz w:val="30"/>
          <w:szCs w:val="30"/>
        </w:rPr>
      </w:pPr>
    </w:p>
    <w:p w14:paraId="3BC19D5E" w14:textId="77777777" w:rsidR="00885A93" w:rsidRDefault="00885A93" w:rsidP="00597F43">
      <w:pPr>
        <w:ind w:firstLine="720"/>
        <w:jc w:val="both"/>
        <w:rPr>
          <w:rFonts w:ascii="Aptos Display" w:hAnsi="Aptos Display"/>
          <w:sz w:val="30"/>
          <w:szCs w:val="30"/>
        </w:rPr>
      </w:pPr>
    </w:p>
    <w:p w14:paraId="7231F5C7" w14:textId="77777777" w:rsidR="00885A93" w:rsidRDefault="00885A93" w:rsidP="00597F43">
      <w:pPr>
        <w:ind w:firstLine="720"/>
        <w:jc w:val="both"/>
        <w:rPr>
          <w:rFonts w:ascii="Aptos Display" w:hAnsi="Aptos Display"/>
          <w:sz w:val="30"/>
          <w:szCs w:val="30"/>
        </w:rPr>
      </w:pPr>
    </w:p>
    <w:p w14:paraId="29E36D19" w14:textId="77777777" w:rsidR="00885A93" w:rsidRDefault="00885A93" w:rsidP="00597F43">
      <w:pPr>
        <w:ind w:firstLine="720"/>
        <w:jc w:val="both"/>
        <w:rPr>
          <w:rFonts w:ascii="Aptos Display" w:hAnsi="Aptos Display"/>
          <w:sz w:val="30"/>
          <w:szCs w:val="30"/>
        </w:rPr>
      </w:pPr>
    </w:p>
    <w:p w14:paraId="2F572DE7" w14:textId="77777777" w:rsidR="00885A93" w:rsidRDefault="00885A93" w:rsidP="00597F43">
      <w:pPr>
        <w:ind w:firstLine="720"/>
        <w:jc w:val="both"/>
        <w:rPr>
          <w:rFonts w:ascii="Aptos Display" w:hAnsi="Aptos Display"/>
          <w:sz w:val="30"/>
          <w:szCs w:val="30"/>
        </w:rPr>
      </w:pPr>
    </w:p>
    <w:p w14:paraId="7079532B" w14:textId="6B9F353E" w:rsidR="00A45C3B" w:rsidRPr="00A45C3B" w:rsidRDefault="00A45C3B" w:rsidP="002C3829">
      <w:pPr>
        <w:jc w:val="both"/>
        <w:rPr>
          <w:rFonts w:ascii="Cambria Math" w:hAnsi="Cambria Math"/>
          <w:b/>
          <w:bCs/>
          <w:sz w:val="52"/>
          <w:szCs w:val="52"/>
          <w:u w:val="single"/>
        </w:rPr>
      </w:pPr>
      <w:r w:rsidRPr="00A45C3B">
        <w:rPr>
          <w:rFonts w:ascii="Cambria Math" w:hAnsi="Cambria Math"/>
          <w:b/>
          <w:bCs/>
          <w:sz w:val="52"/>
          <w:szCs w:val="52"/>
          <w:u w:val="single"/>
        </w:rPr>
        <w:lastRenderedPageBreak/>
        <w:t>METHODOLOGY:</w:t>
      </w:r>
    </w:p>
    <w:p w14:paraId="607E185F" w14:textId="77777777" w:rsidR="00A45C3B" w:rsidRDefault="00A45C3B" w:rsidP="002C3829">
      <w:pPr>
        <w:jc w:val="both"/>
        <w:rPr>
          <w:rFonts w:ascii="Cambria Math" w:hAnsi="Cambria Math"/>
          <w:b/>
          <w:bCs/>
          <w:sz w:val="32"/>
          <w:szCs w:val="32"/>
          <w:u w:val="single"/>
        </w:rPr>
      </w:pPr>
    </w:p>
    <w:p w14:paraId="324A2C4D" w14:textId="5C090127"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t>Overview of the Proposed System</w:t>
      </w:r>
    </w:p>
    <w:p w14:paraId="62925984"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EcoLens is designed as an intelligent, transparent, and user-oriented system for detecting misleading environmental claims, commonly referred to as greenwashing. The system aims to evaluate sustainability claims made by products or brands and provide an interpretable assessment of their credibility, environmental confidence, and consumer risk. The methodology focuses on explainability and practical applicability rather than opaque decision-making. To achieve this, EcoLens integrates natural language processing techniques, a structured sustainability dataset, QR-code–based product identification, and automated report generation within a unified architecture.</w:t>
      </w:r>
    </w:p>
    <w:p w14:paraId="23810B1A"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The system supports both real-time claim analysis and product-specific verification, enabling it to operate on unseen claims as well as known products. This approach ensures that EcoLens remains useful beyond a fixed dataset and can adapt to real-world usage scenarios.</w:t>
      </w:r>
    </w:p>
    <w:p w14:paraId="2893985F" w14:textId="0461D020" w:rsidR="002C3829" w:rsidRPr="002C3829" w:rsidRDefault="002C3829" w:rsidP="002C3829">
      <w:pPr>
        <w:ind w:firstLine="720"/>
        <w:jc w:val="both"/>
        <w:rPr>
          <w:rFonts w:ascii="Cambria Math" w:hAnsi="Cambria Math"/>
          <w:sz w:val="30"/>
          <w:szCs w:val="30"/>
        </w:rPr>
      </w:pPr>
    </w:p>
    <w:p w14:paraId="414949A1" w14:textId="0E6371C9"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t>System Architecture</w:t>
      </w:r>
    </w:p>
    <w:p w14:paraId="339A8C84"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The architecture of EcoLens follows a modular client–server model consisting of three primary layers: the presentation layer, the application logic layer, and the data layer. The presentation layer is implemented as a web-based frontend using React, providing an interactive dashboard for users. The application logic layer is implemented using FastAPI, which exposes RESTful endpoints for claim analysis, QR-based evaluation, comparison, report generation, and sharing. The data layer consists of a structured CSV dataset containing sustainability-related attributes, certification information, waste guidance, and QR identifiers.</w:t>
      </w:r>
    </w:p>
    <w:p w14:paraId="4B0D746D"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This layered architecture ensures separation of concerns, scalability, and ease of maintenance. Each module can be extended independently without affecting the overall system functionality.</w:t>
      </w:r>
    </w:p>
    <w:p w14:paraId="5E385695" w14:textId="3A482658" w:rsidR="002C3829" w:rsidRPr="002C3829" w:rsidRDefault="002C3829" w:rsidP="002C3829">
      <w:pPr>
        <w:ind w:firstLine="720"/>
        <w:jc w:val="both"/>
        <w:rPr>
          <w:rFonts w:ascii="Cambria Math" w:hAnsi="Cambria Math"/>
          <w:sz w:val="30"/>
          <w:szCs w:val="30"/>
        </w:rPr>
      </w:pPr>
    </w:p>
    <w:p w14:paraId="407A4FFE" w14:textId="77777777" w:rsidR="00A45C3B" w:rsidRDefault="00A45C3B" w:rsidP="002C3829">
      <w:pPr>
        <w:jc w:val="both"/>
        <w:rPr>
          <w:rFonts w:ascii="Cambria Math" w:hAnsi="Cambria Math"/>
          <w:b/>
          <w:bCs/>
          <w:sz w:val="32"/>
          <w:szCs w:val="32"/>
          <w:u w:val="single"/>
        </w:rPr>
      </w:pPr>
    </w:p>
    <w:p w14:paraId="65AD757A" w14:textId="77777777" w:rsidR="00A45C3B" w:rsidRDefault="00A45C3B" w:rsidP="002C3829">
      <w:pPr>
        <w:jc w:val="both"/>
        <w:rPr>
          <w:rFonts w:ascii="Cambria Math" w:hAnsi="Cambria Math"/>
          <w:b/>
          <w:bCs/>
          <w:sz w:val="32"/>
          <w:szCs w:val="32"/>
          <w:u w:val="single"/>
        </w:rPr>
      </w:pPr>
    </w:p>
    <w:p w14:paraId="325E7BEE" w14:textId="2F5B8942"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lastRenderedPageBreak/>
        <w:t>Frontend Interface and User Interaction</w:t>
      </w:r>
    </w:p>
    <w:p w14:paraId="6DC51F37"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The frontend interface of EcoLens is designed to be intuitive and visually clear, enabling users with no prior knowledge of sustainability standards to interact with the system effectively. The main dashboard is divided into three functional modes: single claim analysis, claim comparison, and educational mode.</w:t>
      </w:r>
    </w:p>
    <w:p w14:paraId="3E4B854E"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In the single claim analysis mode, users can either manually enter a sustainability claim or scan a QR code present on a product. The interface provides contextual guidance explaining what kind of input is expected and how the analysis works. Dynamic loaders, animated score indicators, and structured result cards are used to improve user experience and clarity.</w:t>
      </w:r>
    </w:p>
    <w:p w14:paraId="7245D2C8"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The claim comparison mode allows users to analyze two claims simultaneously and receive a comparative verdict based on computed credibility scores. The educational mode provides detailed explanations of greenwashing terminology, certifications, and the purpose of the EcoLens system.</w:t>
      </w:r>
    </w:p>
    <w:p w14:paraId="7BB42D80" w14:textId="3C35AB46" w:rsidR="002C3829" w:rsidRPr="002C3829" w:rsidRDefault="002C3829" w:rsidP="002C3829">
      <w:pPr>
        <w:jc w:val="both"/>
        <w:rPr>
          <w:rFonts w:ascii="Cambria Math" w:hAnsi="Cambria Math"/>
          <w:sz w:val="30"/>
          <w:szCs w:val="30"/>
        </w:rPr>
      </w:pPr>
    </w:p>
    <w:p w14:paraId="4A42889A" w14:textId="482160A0"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t>Input Modes and Data Acquisition</w:t>
      </w:r>
    </w:p>
    <w:p w14:paraId="757F5495"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EcoLens supports two distinct input modes to maximize usability and real-world relevance. The first mode is manual text input, where users paste or type sustainability claims obtained from product packaging, advertisements, or online descriptions. This mode enables evaluation of any arbitrary claim, including those not present in the dataset.</w:t>
      </w:r>
    </w:p>
    <w:p w14:paraId="30DCD3C3"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The second mode is QR-based input, where users scan a QR code using their device camera. The scanned QR identifier is transmitted to the backend and matched against the dataset to retrieve product-specific sustainability information. This method allows EcoLens to evaluate real products and not just generic claims, thereby improving accuracy and relevance.</w:t>
      </w:r>
    </w:p>
    <w:p w14:paraId="22B4AE97" w14:textId="1AA32DB6" w:rsidR="002C3829" w:rsidRPr="002C3829" w:rsidRDefault="002C3829" w:rsidP="002C3829">
      <w:pPr>
        <w:ind w:firstLine="720"/>
        <w:jc w:val="both"/>
        <w:rPr>
          <w:rFonts w:ascii="Cambria Math" w:hAnsi="Cambria Math"/>
          <w:sz w:val="30"/>
          <w:szCs w:val="30"/>
        </w:rPr>
      </w:pPr>
    </w:p>
    <w:p w14:paraId="089AAD07" w14:textId="2C286E9E"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t>Data Preprocessing and Normalization</w:t>
      </w:r>
    </w:p>
    <w:p w14:paraId="30EC94AD"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Before analysis, all input data undergoes preprocessing to ensure consistency and reliability. For text-based inputs, preprocessing includes converting text to lowercase, removing punctuation, and normalizing spacing. These steps reduce variability caused by formatting differences and improve the accuracy of keyword and pattern matching.</w:t>
      </w:r>
    </w:p>
    <w:p w14:paraId="7F106DFC"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lastRenderedPageBreak/>
        <w:t>For QR-based inputs, the scanned identifier is validated to ensure it conforms to expected formats. The identifier is then used to query the dataset. If no matching record is found, the system informs the user that the product is not available in the database.</w:t>
      </w:r>
    </w:p>
    <w:p w14:paraId="34586524" w14:textId="017E0290" w:rsidR="002C3829" w:rsidRPr="002C3829" w:rsidRDefault="002C3829" w:rsidP="002C3829">
      <w:pPr>
        <w:ind w:firstLine="720"/>
        <w:jc w:val="both"/>
        <w:rPr>
          <w:rFonts w:ascii="Cambria Math" w:hAnsi="Cambria Math"/>
          <w:sz w:val="30"/>
          <w:szCs w:val="30"/>
        </w:rPr>
      </w:pPr>
    </w:p>
    <w:p w14:paraId="3E2CF503" w14:textId="7A0E029E"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t>Natural Language Processing Logic</w:t>
      </w:r>
    </w:p>
    <w:p w14:paraId="5DC0533F"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The core analytical component of EcoLens is its natural language processing logic. Instead of using a black-box machine learning model, the system employs transparent, rule-based NLP techniques. This design choice ensures explainability and allows users and evaluators to understand how conclusions are reached.</w:t>
      </w:r>
    </w:p>
    <w:p w14:paraId="4B73D0FA" w14:textId="29100154" w:rsidR="002C3829" w:rsidRPr="002C3829" w:rsidRDefault="002C3829" w:rsidP="00897888">
      <w:pPr>
        <w:jc w:val="both"/>
        <w:rPr>
          <w:rFonts w:ascii="Cambria Math" w:hAnsi="Cambria Math"/>
          <w:sz w:val="30"/>
          <w:szCs w:val="30"/>
        </w:rPr>
      </w:pPr>
      <w:r w:rsidRPr="002C3829">
        <w:rPr>
          <w:rFonts w:ascii="Cambria Math" w:hAnsi="Cambria Math"/>
          <w:sz w:val="30"/>
          <w:szCs w:val="30"/>
        </w:rPr>
        <w:t>The NLP logic identifies commonly used greenwashing indicators such as vague environmental terms, absence of measurable data, and lack of third-party certifications. The system evaluates whether claims provide quantifiable evidence or merely rely on promotional language. Claims that lack substantiation are flagged as higher risk.</w:t>
      </w:r>
    </w:p>
    <w:p w14:paraId="3524EFA5" w14:textId="502628F5"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t>Greenwashing Taxonomy and Classification</w:t>
      </w:r>
    </w:p>
    <w:p w14:paraId="650A6B33"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Each analyzed claim is categorized into a specific greenwashing type based on its linguistic and contextual characteristics. Categories include vagueness, no proof, misleading labeling, and irrelevant claims. This taxonomy is derived from established greenwashing frameworks and adapted for computational analysis.</w:t>
      </w:r>
    </w:p>
    <w:p w14:paraId="5A534F74" w14:textId="296F6739" w:rsidR="002C3829" w:rsidRDefault="002C3829" w:rsidP="00897888">
      <w:pPr>
        <w:jc w:val="both"/>
        <w:rPr>
          <w:rFonts w:ascii="Cambria Math" w:hAnsi="Cambria Math"/>
          <w:sz w:val="30"/>
          <w:szCs w:val="30"/>
        </w:rPr>
      </w:pPr>
      <w:r w:rsidRPr="002C3829">
        <w:rPr>
          <w:rFonts w:ascii="Cambria Math" w:hAnsi="Cambria Math"/>
          <w:sz w:val="30"/>
          <w:szCs w:val="30"/>
        </w:rPr>
        <w:t>The classification process enables the system to explain not only whether a claim is misleading but also why it is misleading. This explanatory capability is essential for building trust and educational value.</w:t>
      </w:r>
    </w:p>
    <w:p w14:paraId="3B5C8C68" w14:textId="77777777" w:rsidR="002C3829" w:rsidRPr="002C3829" w:rsidRDefault="002C3829" w:rsidP="002C3829">
      <w:pPr>
        <w:ind w:firstLine="720"/>
        <w:jc w:val="both"/>
        <w:rPr>
          <w:rFonts w:ascii="Cambria Math" w:hAnsi="Cambria Math"/>
          <w:sz w:val="30"/>
          <w:szCs w:val="30"/>
        </w:rPr>
      </w:pPr>
    </w:p>
    <w:p w14:paraId="491BF978" w14:textId="3B91CCA0"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t>Scoring Formulation and Risk Assessment</w:t>
      </w:r>
    </w:p>
    <w:p w14:paraId="513E52C0"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EcoLens generates multiple scores to represent different dimensions of claim quality. The consumer risk score reflects the likelihood that a claim could mislead consumers. The environmental confidence score represents the level of substantiated environmental impact. The credibility score combines these metrics to provide an overall assessment of claim reliability.</w:t>
      </w:r>
    </w:p>
    <w:p w14:paraId="5EF967A4"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 xml:space="preserve">Scores are computed using deterministic formulas rather than random values. Factors such as presence of certifications, specificity of language, and measurable </w:t>
      </w:r>
      <w:r w:rsidRPr="002C3829">
        <w:rPr>
          <w:rFonts w:ascii="Cambria Math" w:hAnsi="Cambria Math"/>
          <w:sz w:val="30"/>
          <w:szCs w:val="30"/>
        </w:rPr>
        <w:lastRenderedPageBreak/>
        <w:t>claims influence the final scores. This approach ensures consistency and repeatability across analyses.</w:t>
      </w:r>
    </w:p>
    <w:p w14:paraId="2109DAE4" w14:textId="688355BC" w:rsidR="002C3829" w:rsidRPr="002C3829" w:rsidRDefault="002C3829" w:rsidP="002C3829">
      <w:pPr>
        <w:ind w:firstLine="720"/>
        <w:jc w:val="both"/>
        <w:rPr>
          <w:rFonts w:ascii="Cambria Math" w:hAnsi="Cambria Math"/>
          <w:sz w:val="30"/>
          <w:szCs w:val="30"/>
        </w:rPr>
      </w:pPr>
    </w:p>
    <w:p w14:paraId="121F2E47" w14:textId="0DA86843"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t>Dataset Design and Utilization</w:t>
      </w:r>
    </w:p>
    <w:p w14:paraId="513F1E47"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The dataset used in EcoLens contains approximately 1000 structured entries representing sustainability claims, certifications, waste disposal guidance, and QR identifiers. Each entry includes attributes such as greenwashing risk level, greenwashing type, credibility score, consumer risk score, and environmental confidence.</w:t>
      </w:r>
    </w:p>
    <w:p w14:paraId="7D796461"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The dataset primarily supports QR-based evaluation and calibration of scoring logic. However, the system is not limited to this dataset. Manual text analysis operates independently, allowing EcoLens to analyze new claims not present in the dataset.</w:t>
      </w:r>
    </w:p>
    <w:p w14:paraId="350CCE3B" w14:textId="13F1ACDF" w:rsidR="002C3829" w:rsidRPr="002C3829" w:rsidRDefault="002C3829" w:rsidP="002C3829">
      <w:pPr>
        <w:ind w:firstLine="720"/>
        <w:jc w:val="both"/>
        <w:rPr>
          <w:rFonts w:ascii="Cambria Math" w:hAnsi="Cambria Math"/>
          <w:sz w:val="30"/>
          <w:szCs w:val="30"/>
        </w:rPr>
      </w:pPr>
    </w:p>
    <w:p w14:paraId="475083FA" w14:textId="4F950AC3"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t>QR Code Integration</w:t>
      </w:r>
    </w:p>
    <w:p w14:paraId="76E3DFCA"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QR code integration enables EcoLens to bridge the gap between physical products and digital analysis. When a QR code is scanned, the backend retrieves the corresponding product record from the dataset. If recognized certifications are present, the system adjusts the risk and credibility scores accordingly. If certifications are absent, the system highlights this lack and increases the greenwashing risk.</w:t>
      </w:r>
    </w:p>
    <w:p w14:paraId="1F0D3DA6"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This mechanism ensures that QR-based analysis reflects actual product attributes rather than assumptions.</w:t>
      </w:r>
    </w:p>
    <w:p w14:paraId="5A02C71F" w14:textId="30AD6C1F" w:rsidR="002C3829" w:rsidRPr="002C3829" w:rsidRDefault="002C3829" w:rsidP="002C3829">
      <w:pPr>
        <w:ind w:firstLine="720"/>
        <w:jc w:val="both"/>
        <w:rPr>
          <w:rFonts w:ascii="Cambria Math" w:hAnsi="Cambria Math"/>
          <w:sz w:val="30"/>
          <w:szCs w:val="30"/>
        </w:rPr>
      </w:pPr>
    </w:p>
    <w:p w14:paraId="379DC47B" w14:textId="517AB632"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t>Claim Comparison Module</w:t>
      </w:r>
    </w:p>
    <w:p w14:paraId="3A8782D1"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The comparison module allows users to evaluate two sustainability claims side by side. Each claim is analyzed independently using the same NLP and scoring pipeline. The system then compares the credibility scores and generates a verdict indicating which claim is more reliable or whether both claims are equally credible.</w:t>
      </w:r>
    </w:p>
    <w:p w14:paraId="7BB2677C"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This feature is particularly useful for comparing competing products or brands and supports informed decision-making.</w:t>
      </w:r>
    </w:p>
    <w:p w14:paraId="0638FEE8" w14:textId="578102A4" w:rsidR="002C3829" w:rsidRPr="002C3829" w:rsidRDefault="002C3829" w:rsidP="002C3829">
      <w:pPr>
        <w:ind w:firstLine="720"/>
        <w:jc w:val="both"/>
        <w:rPr>
          <w:rFonts w:ascii="Cambria Math" w:hAnsi="Cambria Math"/>
          <w:sz w:val="30"/>
          <w:szCs w:val="30"/>
        </w:rPr>
      </w:pPr>
    </w:p>
    <w:p w14:paraId="5397AB53" w14:textId="0BC35463"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lastRenderedPageBreak/>
        <w:t>Report Generation and Sharing</w:t>
      </w:r>
    </w:p>
    <w:p w14:paraId="7C946CF6"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EcoLens provides automated report generation functionality that converts analysis results into a professionally formatted PDF document. The report includes greenwashing risk, greenwashing type, explanation of flagged issues, horizontal score bars, and a circular credibility meter. The report layout is designed to fit within a single page for clarity and ease of sharing.</w:t>
      </w:r>
    </w:p>
    <w:p w14:paraId="65250317" w14:textId="77777777" w:rsidR="002C3829" w:rsidRDefault="002C3829" w:rsidP="00897888">
      <w:pPr>
        <w:jc w:val="both"/>
        <w:rPr>
          <w:rFonts w:ascii="Cambria Math" w:hAnsi="Cambria Math"/>
          <w:sz w:val="30"/>
          <w:szCs w:val="30"/>
        </w:rPr>
      </w:pPr>
      <w:r w:rsidRPr="002C3829">
        <w:rPr>
          <w:rFonts w:ascii="Cambria Math" w:hAnsi="Cambria Math"/>
          <w:sz w:val="30"/>
          <w:szCs w:val="30"/>
        </w:rPr>
        <w:t>Users can download the report or generate a shareable link, enabling easy dissemination of results.</w:t>
      </w:r>
    </w:p>
    <w:p w14:paraId="2DDA08BD" w14:textId="77777777" w:rsidR="00273EB8" w:rsidRDefault="00273EB8" w:rsidP="00897888">
      <w:pPr>
        <w:jc w:val="both"/>
        <w:rPr>
          <w:rFonts w:ascii="Cambria Math" w:hAnsi="Cambria Math"/>
          <w:sz w:val="30"/>
          <w:szCs w:val="30"/>
        </w:rPr>
      </w:pPr>
    </w:p>
    <w:p w14:paraId="7A4EC83D" w14:textId="77777777" w:rsidR="00273EB8" w:rsidRPr="00273EB8" w:rsidRDefault="00273EB8" w:rsidP="00273EB8">
      <w:pPr>
        <w:jc w:val="both"/>
        <w:rPr>
          <w:rFonts w:ascii="Cambria Math" w:hAnsi="Cambria Math"/>
          <w:b/>
          <w:bCs/>
          <w:sz w:val="32"/>
          <w:szCs w:val="32"/>
          <w:u w:val="single"/>
        </w:rPr>
      </w:pPr>
      <w:r w:rsidRPr="00273EB8">
        <w:rPr>
          <w:rFonts w:ascii="Cambria Math" w:hAnsi="Cambria Math"/>
          <w:b/>
          <w:bCs/>
          <w:sz w:val="32"/>
          <w:szCs w:val="32"/>
          <w:u w:val="single"/>
        </w:rPr>
        <w:t>Data Management and Dataset Utilization</w:t>
      </w:r>
    </w:p>
    <w:p w14:paraId="3B64CF96" w14:textId="77777777" w:rsidR="00273EB8" w:rsidRPr="00273EB8" w:rsidRDefault="00273EB8" w:rsidP="00273EB8">
      <w:pPr>
        <w:jc w:val="both"/>
        <w:rPr>
          <w:rFonts w:ascii="Cambria Math" w:hAnsi="Cambria Math"/>
          <w:sz w:val="30"/>
          <w:szCs w:val="30"/>
        </w:rPr>
      </w:pPr>
      <w:r w:rsidRPr="00273EB8">
        <w:rPr>
          <w:rFonts w:ascii="Cambria Math" w:hAnsi="Cambria Math"/>
          <w:sz w:val="30"/>
          <w:szCs w:val="30"/>
        </w:rPr>
        <w:t>The system uses a structured dataset containing approximately 1000 entries of sustainability claims, certifications, waste information, and QR identifiers. This dataset supports QR-based evaluation and serves as a reference for rule calibration.</w:t>
      </w:r>
    </w:p>
    <w:p w14:paraId="257C780C" w14:textId="77777777" w:rsidR="00273EB8" w:rsidRPr="00273EB8" w:rsidRDefault="00273EB8" w:rsidP="00273EB8">
      <w:pPr>
        <w:jc w:val="both"/>
        <w:rPr>
          <w:rFonts w:ascii="Cambria Math" w:hAnsi="Cambria Math"/>
          <w:sz w:val="30"/>
          <w:szCs w:val="30"/>
        </w:rPr>
      </w:pPr>
      <w:r w:rsidRPr="00273EB8">
        <w:rPr>
          <w:rFonts w:ascii="Cambria Math" w:hAnsi="Cambria Math"/>
          <w:sz w:val="30"/>
          <w:szCs w:val="30"/>
        </w:rPr>
        <w:t>Although the dataset contains a finite number of entries, the NLP logic is not limited to these entries. Manual text analysis works independently of the dataset, allowing the system to evaluate new and unseen claims in real time.</w:t>
      </w:r>
    </w:p>
    <w:p w14:paraId="331633EF" w14:textId="75F80128" w:rsidR="00273EB8" w:rsidRPr="00273EB8" w:rsidRDefault="00273EB8" w:rsidP="00273EB8">
      <w:pPr>
        <w:jc w:val="both"/>
        <w:rPr>
          <w:rFonts w:ascii="Cambria Math" w:hAnsi="Cambria Math"/>
          <w:sz w:val="30"/>
          <w:szCs w:val="30"/>
        </w:rPr>
      </w:pPr>
    </w:p>
    <w:p w14:paraId="75D32DEA" w14:textId="71136A36" w:rsidR="00273EB8" w:rsidRPr="00273EB8" w:rsidRDefault="00273EB8" w:rsidP="00273EB8">
      <w:pPr>
        <w:jc w:val="both"/>
        <w:rPr>
          <w:rFonts w:ascii="Cambria Math" w:hAnsi="Cambria Math"/>
          <w:b/>
          <w:bCs/>
          <w:sz w:val="32"/>
          <w:szCs w:val="32"/>
          <w:u w:val="single"/>
        </w:rPr>
      </w:pPr>
      <w:r w:rsidRPr="00273EB8">
        <w:rPr>
          <w:rFonts w:ascii="Cambria Math" w:hAnsi="Cambria Math"/>
          <w:b/>
          <w:bCs/>
          <w:sz w:val="32"/>
          <w:szCs w:val="32"/>
          <w:u w:val="single"/>
        </w:rPr>
        <w:t>Backend Implementation</w:t>
      </w:r>
    </w:p>
    <w:p w14:paraId="41955EE5" w14:textId="77777777" w:rsidR="00273EB8" w:rsidRPr="00273EB8" w:rsidRDefault="00273EB8" w:rsidP="00273EB8">
      <w:pPr>
        <w:jc w:val="both"/>
        <w:rPr>
          <w:rFonts w:ascii="Cambria Math" w:hAnsi="Cambria Math"/>
          <w:sz w:val="30"/>
          <w:szCs w:val="30"/>
        </w:rPr>
      </w:pPr>
      <w:r w:rsidRPr="00273EB8">
        <w:rPr>
          <w:rFonts w:ascii="Cambria Math" w:hAnsi="Cambria Math"/>
          <w:sz w:val="30"/>
          <w:szCs w:val="30"/>
        </w:rPr>
        <w:t>The backend is implemented using FastAPI, which provides high-performance RESTful endpoints. Endpoints are defined for text analysis, QR analysis, claim comparison, report generation, and result sharing. Cross-origin resource sharing (CORS) is enabled to allow seamless communication between frontend and backend.</w:t>
      </w:r>
    </w:p>
    <w:p w14:paraId="1A665ED2" w14:textId="77777777" w:rsidR="00273EB8" w:rsidRPr="00273EB8" w:rsidRDefault="00273EB8" w:rsidP="00273EB8">
      <w:pPr>
        <w:jc w:val="both"/>
        <w:rPr>
          <w:rFonts w:ascii="Cambria Math" w:hAnsi="Cambria Math"/>
          <w:sz w:val="30"/>
          <w:szCs w:val="30"/>
        </w:rPr>
      </w:pPr>
      <w:r w:rsidRPr="00273EB8">
        <w:rPr>
          <w:rFonts w:ascii="Cambria Math" w:hAnsi="Cambria Math"/>
          <w:sz w:val="30"/>
          <w:szCs w:val="30"/>
        </w:rPr>
        <w:t>The backend logic is modular, allowing future integration of machine learning models or external APIs without redesigning the entire system.</w:t>
      </w:r>
    </w:p>
    <w:p w14:paraId="03765E0B" w14:textId="77777777" w:rsidR="00273EB8" w:rsidRPr="002C3829" w:rsidRDefault="00273EB8" w:rsidP="00897888">
      <w:pPr>
        <w:jc w:val="both"/>
        <w:rPr>
          <w:rFonts w:ascii="Cambria Math" w:hAnsi="Cambria Math"/>
          <w:sz w:val="30"/>
          <w:szCs w:val="30"/>
        </w:rPr>
      </w:pPr>
    </w:p>
    <w:p w14:paraId="5743332D" w14:textId="4B698294"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t>Implementation Environment</w:t>
      </w:r>
    </w:p>
    <w:p w14:paraId="480F3883"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The frontend is implemented using React with modern UI styling techniques. The backend is developed using FastAPI, providing high-performance REST APIs. Python is used for NLP logic, data processing, and report generation. The system is designed to run locally during development and can be deployed to cloud environments.</w:t>
      </w:r>
    </w:p>
    <w:p w14:paraId="0AF7DA67" w14:textId="39BE227A" w:rsidR="002C3829" w:rsidRPr="002C3829" w:rsidRDefault="002C3829" w:rsidP="002C3829">
      <w:pPr>
        <w:ind w:firstLine="720"/>
        <w:jc w:val="both"/>
        <w:rPr>
          <w:rFonts w:ascii="Cambria Math" w:hAnsi="Cambria Math"/>
          <w:sz w:val="30"/>
          <w:szCs w:val="30"/>
        </w:rPr>
      </w:pPr>
    </w:p>
    <w:p w14:paraId="6182489B" w14:textId="5F904F8B"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t>System Execution Flow</w:t>
      </w:r>
    </w:p>
    <w:p w14:paraId="5E283C12" w14:textId="77777777" w:rsidR="002C3829" w:rsidRDefault="002C3829" w:rsidP="00897888">
      <w:pPr>
        <w:jc w:val="both"/>
        <w:rPr>
          <w:rFonts w:ascii="Cambria Math" w:hAnsi="Cambria Math"/>
          <w:sz w:val="30"/>
          <w:szCs w:val="30"/>
        </w:rPr>
      </w:pPr>
      <w:r w:rsidRPr="002C3829">
        <w:rPr>
          <w:rFonts w:ascii="Cambria Math" w:hAnsi="Cambria Math"/>
          <w:sz w:val="30"/>
          <w:szCs w:val="30"/>
        </w:rPr>
        <w:t>The system execution begins with user input through the frontend. The input is transmitted to the backend via REST APIs, processed using NLP logic and dataset references, and evaluated using scoring algorithms. Results are returned to the frontend for visualization and optional report generation.</w:t>
      </w:r>
    </w:p>
    <w:p w14:paraId="1B5BBA30" w14:textId="77777777" w:rsidR="00897888" w:rsidRDefault="00897888" w:rsidP="00897888">
      <w:pPr>
        <w:jc w:val="both"/>
        <w:rPr>
          <w:rFonts w:ascii="Cambria Math" w:hAnsi="Cambria Math"/>
          <w:sz w:val="30"/>
          <w:szCs w:val="30"/>
        </w:rPr>
      </w:pPr>
    </w:p>
    <w:p w14:paraId="7CCC92FC" w14:textId="77777777" w:rsidR="00897888" w:rsidRPr="00897888" w:rsidRDefault="00897888" w:rsidP="00897888">
      <w:pPr>
        <w:jc w:val="both"/>
        <w:rPr>
          <w:rFonts w:ascii="Cambria Math" w:hAnsi="Cambria Math"/>
          <w:b/>
          <w:bCs/>
          <w:sz w:val="32"/>
          <w:szCs w:val="32"/>
          <w:u w:val="single"/>
        </w:rPr>
      </w:pPr>
      <w:r w:rsidRPr="00897888">
        <w:rPr>
          <w:rFonts w:ascii="Cambria Math" w:hAnsi="Cambria Math"/>
          <w:b/>
          <w:bCs/>
          <w:sz w:val="32"/>
          <w:szCs w:val="32"/>
          <w:u w:val="single"/>
        </w:rPr>
        <w:t>Security and Reliability Considerations</w:t>
      </w:r>
    </w:p>
    <w:p w14:paraId="612B0310" w14:textId="502F7E85" w:rsidR="00897888" w:rsidRPr="002C3829" w:rsidRDefault="00897888" w:rsidP="00897888">
      <w:pPr>
        <w:jc w:val="both"/>
        <w:rPr>
          <w:rFonts w:ascii="Cambria Math" w:hAnsi="Cambria Math"/>
          <w:sz w:val="30"/>
          <w:szCs w:val="30"/>
        </w:rPr>
      </w:pPr>
      <w:r w:rsidRPr="00897888">
        <w:rPr>
          <w:rFonts w:ascii="Cambria Math" w:hAnsi="Cambria Math"/>
          <w:sz w:val="30"/>
          <w:szCs w:val="30"/>
        </w:rPr>
        <w:t>The system includes validation checks to handle empty inputs, invalid QR codes, and network errors. Informative error messages are displayed to guide users. Temporary files generated during report creation are managed securely to prevent data leakage.</w:t>
      </w:r>
    </w:p>
    <w:p w14:paraId="48956F9B" w14:textId="4E3D7EC8" w:rsidR="002C3829" w:rsidRPr="002C3829" w:rsidRDefault="002C3829" w:rsidP="002C3829">
      <w:pPr>
        <w:ind w:firstLine="720"/>
        <w:jc w:val="both"/>
        <w:rPr>
          <w:rFonts w:ascii="Cambria Math" w:hAnsi="Cambria Math"/>
          <w:sz w:val="30"/>
          <w:szCs w:val="30"/>
        </w:rPr>
      </w:pPr>
    </w:p>
    <w:p w14:paraId="27E76AD2" w14:textId="264F28B0"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t>Future Scope</w:t>
      </w:r>
    </w:p>
    <w:p w14:paraId="73F9C823" w14:textId="77777777" w:rsidR="002C3829" w:rsidRPr="002C3829" w:rsidRDefault="002C3829" w:rsidP="00897888">
      <w:pPr>
        <w:jc w:val="both"/>
        <w:rPr>
          <w:rFonts w:ascii="Cambria Math" w:hAnsi="Cambria Math"/>
          <w:sz w:val="30"/>
          <w:szCs w:val="30"/>
        </w:rPr>
      </w:pPr>
      <w:r w:rsidRPr="002C3829">
        <w:rPr>
          <w:rFonts w:ascii="Cambria Math" w:hAnsi="Cambria Math"/>
          <w:sz w:val="30"/>
          <w:szCs w:val="30"/>
        </w:rPr>
        <w:t>Future enhancements may include integration of advanced transformer-based NLP models, expansion of the dataset to include more products and certifications, multilingual support, and real-time scraping of sustainability reports. These improvements can further enhance the accuracy and scalability of EcoLens.</w:t>
      </w:r>
    </w:p>
    <w:p w14:paraId="507FDC5A" w14:textId="432DAA41" w:rsidR="002C3829" w:rsidRPr="002C3829" w:rsidRDefault="002C3829" w:rsidP="002C3829">
      <w:pPr>
        <w:ind w:firstLine="720"/>
        <w:jc w:val="both"/>
        <w:rPr>
          <w:rFonts w:ascii="Cambria Math" w:hAnsi="Cambria Math"/>
          <w:sz w:val="30"/>
          <w:szCs w:val="30"/>
        </w:rPr>
      </w:pPr>
    </w:p>
    <w:p w14:paraId="5435496D" w14:textId="1053131A" w:rsidR="002C3829" w:rsidRPr="002C3829" w:rsidRDefault="002C3829" w:rsidP="002C3829">
      <w:pPr>
        <w:jc w:val="both"/>
        <w:rPr>
          <w:rFonts w:ascii="Cambria Math" w:hAnsi="Cambria Math"/>
          <w:b/>
          <w:bCs/>
          <w:sz w:val="32"/>
          <w:szCs w:val="32"/>
          <w:u w:val="single"/>
        </w:rPr>
      </w:pPr>
      <w:r w:rsidRPr="002C3829">
        <w:rPr>
          <w:rFonts w:ascii="Cambria Math" w:hAnsi="Cambria Math"/>
          <w:b/>
          <w:bCs/>
          <w:sz w:val="32"/>
          <w:szCs w:val="32"/>
          <w:u w:val="single"/>
        </w:rPr>
        <w:t>Summary</w:t>
      </w:r>
    </w:p>
    <w:p w14:paraId="1B4EC78C" w14:textId="13036FB2" w:rsidR="002C3829" w:rsidRPr="002C3829" w:rsidRDefault="002C3829" w:rsidP="00897888">
      <w:pPr>
        <w:jc w:val="both"/>
        <w:rPr>
          <w:rFonts w:ascii="Cambria Math" w:hAnsi="Cambria Math"/>
          <w:sz w:val="30"/>
          <w:szCs w:val="30"/>
        </w:rPr>
      </w:pPr>
      <w:r w:rsidRPr="002C3829">
        <w:rPr>
          <w:rFonts w:ascii="Cambria Math" w:hAnsi="Cambria Math"/>
          <w:sz w:val="30"/>
          <w:szCs w:val="30"/>
        </w:rPr>
        <w:t>This methodology presents a comprehensive and transparent approach to greenwashing detection. By combining explainable NLP, structured data, QR-based verification, and professional reporting, EcoLens provides a practical and academically sound solution for evaluating sustainability claims.</w:t>
      </w:r>
    </w:p>
    <w:p w14:paraId="2144B995" w14:textId="53E13DD1" w:rsidR="00885A93" w:rsidRDefault="00885A93" w:rsidP="002C3829">
      <w:pPr>
        <w:ind w:firstLine="720"/>
        <w:jc w:val="both"/>
        <w:rPr>
          <w:rFonts w:ascii="Cambria Math" w:hAnsi="Cambria Math"/>
          <w:sz w:val="30"/>
          <w:szCs w:val="30"/>
        </w:rPr>
      </w:pPr>
    </w:p>
    <w:p w14:paraId="306DCCB3" w14:textId="77777777" w:rsidR="00124AB2" w:rsidRDefault="00124AB2" w:rsidP="002C3829">
      <w:pPr>
        <w:ind w:firstLine="720"/>
        <w:jc w:val="both"/>
        <w:rPr>
          <w:rFonts w:ascii="Cambria Math" w:hAnsi="Cambria Math"/>
          <w:sz w:val="30"/>
          <w:szCs w:val="30"/>
        </w:rPr>
      </w:pPr>
    </w:p>
    <w:p w14:paraId="22366942" w14:textId="77777777" w:rsidR="00124AB2" w:rsidRDefault="00124AB2" w:rsidP="002C3829">
      <w:pPr>
        <w:ind w:firstLine="720"/>
        <w:jc w:val="both"/>
        <w:rPr>
          <w:rFonts w:ascii="Cambria Math" w:hAnsi="Cambria Math"/>
          <w:sz w:val="30"/>
          <w:szCs w:val="30"/>
        </w:rPr>
      </w:pPr>
    </w:p>
    <w:p w14:paraId="2FC0545C" w14:textId="77777777" w:rsidR="00124AB2" w:rsidRDefault="00124AB2" w:rsidP="002C3829">
      <w:pPr>
        <w:ind w:firstLine="720"/>
        <w:jc w:val="both"/>
        <w:rPr>
          <w:rFonts w:ascii="Cambria Math" w:hAnsi="Cambria Math"/>
          <w:sz w:val="30"/>
          <w:szCs w:val="30"/>
        </w:rPr>
      </w:pPr>
    </w:p>
    <w:p w14:paraId="0F60CE00" w14:textId="77777777" w:rsidR="00124AB2" w:rsidRDefault="00124AB2" w:rsidP="002C3829">
      <w:pPr>
        <w:ind w:firstLine="720"/>
        <w:jc w:val="both"/>
        <w:rPr>
          <w:rFonts w:ascii="Cambria Math" w:hAnsi="Cambria Math"/>
          <w:sz w:val="30"/>
          <w:szCs w:val="30"/>
        </w:rPr>
      </w:pPr>
    </w:p>
    <w:p w14:paraId="0D2F7877" w14:textId="77777777" w:rsidR="00124AB2" w:rsidRDefault="00124AB2" w:rsidP="002C3829">
      <w:pPr>
        <w:ind w:firstLine="720"/>
        <w:jc w:val="both"/>
        <w:rPr>
          <w:rFonts w:ascii="Cambria Math" w:hAnsi="Cambria Math"/>
          <w:sz w:val="30"/>
          <w:szCs w:val="30"/>
        </w:rPr>
      </w:pPr>
    </w:p>
    <w:p w14:paraId="403EAC5C" w14:textId="087F1748" w:rsidR="00124AB2" w:rsidRPr="00124AB2" w:rsidRDefault="00124AB2" w:rsidP="00124AB2">
      <w:pPr>
        <w:jc w:val="both"/>
        <w:rPr>
          <w:rFonts w:ascii="Cambria Math" w:hAnsi="Cambria Math"/>
          <w:b/>
          <w:bCs/>
          <w:sz w:val="48"/>
          <w:szCs w:val="48"/>
          <w:u w:val="single"/>
        </w:rPr>
      </w:pPr>
      <w:r w:rsidRPr="00124AB2">
        <w:rPr>
          <w:rFonts w:ascii="Cambria Math" w:hAnsi="Cambria Math"/>
          <w:b/>
          <w:bCs/>
          <w:sz w:val="48"/>
          <w:szCs w:val="48"/>
          <w:u w:val="single"/>
        </w:rPr>
        <w:lastRenderedPageBreak/>
        <w:t>RESULTS AND DISCUSSION:</w:t>
      </w:r>
    </w:p>
    <w:p w14:paraId="1C04F9A1" w14:textId="7CF56CD6" w:rsidR="00124AB2" w:rsidRPr="00124AB2" w:rsidRDefault="00124AB2" w:rsidP="00124AB2">
      <w:pPr>
        <w:jc w:val="both"/>
        <w:rPr>
          <w:rFonts w:ascii="Cambria Math" w:hAnsi="Cambria Math"/>
          <w:b/>
          <w:bCs/>
          <w:sz w:val="30"/>
          <w:szCs w:val="30"/>
          <w:u w:val="single"/>
        </w:rPr>
      </w:pPr>
      <w:r w:rsidRPr="00124AB2">
        <w:rPr>
          <w:rFonts w:ascii="Cambria Math" w:hAnsi="Cambria Math"/>
          <w:b/>
          <w:bCs/>
          <w:sz w:val="30"/>
          <w:szCs w:val="30"/>
          <w:u w:val="single"/>
        </w:rPr>
        <w:t>RESULTS</w:t>
      </w:r>
      <w:r>
        <w:rPr>
          <w:rFonts w:ascii="Cambria Math" w:hAnsi="Cambria Math"/>
          <w:b/>
          <w:bCs/>
          <w:sz w:val="30"/>
          <w:szCs w:val="30"/>
          <w:u w:val="single"/>
        </w:rPr>
        <w:t>:</w:t>
      </w:r>
    </w:p>
    <w:p w14:paraId="05E94812" w14:textId="1633A65C" w:rsidR="00124AB2" w:rsidRPr="00124AB2" w:rsidRDefault="00124AB2" w:rsidP="00124AB2">
      <w:pPr>
        <w:jc w:val="both"/>
        <w:rPr>
          <w:rFonts w:ascii="Cambria Math" w:hAnsi="Cambria Math"/>
          <w:b/>
          <w:bCs/>
          <w:sz w:val="30"/>
          <w:szCs w:val="30"/>
          <w:u w:val="single"/>
        </w:rPr>
      </w:pPr>
      <w:r w:rsidRPr="00124AB2">
        <w:rPr>
          <w:rFonts w:ascii="Cambria Math" w:hAnsi="Cambria Math"/>
          <w:b/>
          <w:bCs/>
          <w:sz w:val="30"/>
          <w:szCs w:val="30"/>
          <w:u w:val="single"/>
        </w:rPr>
        <w:t>System Execution and Functional Validation</w:t>
      </w:r>
    </w:p>
    <w:p w14:paraId="617E7EF4"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The EcoLens system was successfully executed across all intended functional modules, including manual claim analysis, QR code–based product evaluation, claim comparison, and report generation. Each module operated as designed and produced consistent outputs during testing. The system accepted real-time user input through the frontend interface and communicated effectively with the backend services using REST-based APIs. This confirmed that the integration between frontend, backend, and analytical logic was stable and reliable.</w:t>
      </w:r>
    </w:p>
    <w:p w14:paraId="4CD93B1E"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During execution, the system responded within acceptable time limits, even when handling comparatively longer sustainability claims. The execution results demonstrate that the system is capable of operating in real-world scenarios where users may input varied and unstructured environmental claims.</w:t>
      </w:r>
    </w:p>
    <w:p w14:paraId="44BDDDFE" w14:textId="40D813E0" w:rsidR="00124AB2" w:rsidRPr="00124AB2" w:rsidRDefault="00124AB2" w:rsidP="00124AB2">
      <w:pPr>
        <w:ind w:firstLine="720"/>
        <w:jc w:val="both"/>
        <w:rPr>
          <w:rFonts w:ascii="Cambria Math" w:hAnsi="Cambria Math"/>
          <w:sz w:val="30"/>
          <w:szCs w:val="30"/>
        </w:rPr>
      </w:pPr>
    </w:p>
    <w:p w14:paraId="42FA28EC" w14:textId="5FE31643" w:rsidR="00124AB2" w:rsidRPr="00124AB2" w:rsidRDefault="00124AB2" w:rsidP="00124AB2">
      <w:pPr>
        <w:jc w:val="both"/>
        <w:rPr>
          <w:rFonts w:ascii="Cambria Math" w:hAnsi="Cambria Math"/>
          <w:b/>
          <w:bCs/>
          <w:sz w:val="30"/>
          <w:szCs w:val="30"/>
          <w:u w:val="single"/>
        </w:rPr>
      </w:pPr>
      <w:r w:rsidRPr="00124AB2">
        <w:rPr>
          <w:rFonts w:ascii="Cambria Math" w:hAnsi="Cambria Math"/>
          <w:b/>
          <w:bCs/>
          <w:sz w:val="30"/>
          <w:szCs w:val="30"/>
          <w:u w:val="single"/>
        </w:rPr>
        <w:t xml:space="preserve"> Results of Single Claim Analysis</w:t>
      </w:r>
    </w:p>
    <w:p w14:paraId="423DD683" w14:textId="425DC4AD" w:rsidR="00124AB2" w:rsidRPr="00124AB2" w:rsidRDefault="00124AB2" w:rsidP="00124AB2">
      <w:pPr>
        <w:jc w:val="both"/>
        <w:rPr>
          <w:rFonts w:ascii="Cambria Math" w:hAnsi="Cambria Math"/>
          <w:sz w:val="30"/>
          <w:szCs w:val="30"/>
        </w:rPr>
      </w:pPr>
      <w:r w:rsidRPr="00124AB2">
        <w:rPr>
          <w:rFonts w:ascii="Cambria Math" w:hAnsi="Cambria Math"/>
          <w:sz w:val="30"/>
          <w:szCs w:val="30"/>
        </w:rPr>
        <w:t>When a single sustainability claim was provided through the manual input mode, the system analyzed the textual content using natural language processing techniques. Claims that relied heavily on generalized terms such as “eco-friendly,” “green,” or “sustainable” without supporting numerical data or certification references were consistently classified as high greenwashing risk. These claims resulted in higher consumer risk scores and lower environmental confidence value</w:t>
      </w:r>
      <w:r>
        <w:rPr>
          <w:rFonts w:ascii="Cambria Math" w:hAnsi="Cambria Math"/>
          <w:sz w:val="30"/>
          <w:szCs w:val="30"/>
        </w:rPr>
        <w:t xml:space="preserve"> </w:t>
      </w:r>
      <w:r w:rsidRPr="00124AB2">
        <w:rPr>
          <w:rFonts w:ascii="Cambria Math" w:hAnsi="Cambria Math"/>
          <w:sz w:val="30"/>
          <w:szCs w:val="30"/>
        </w:rPr>
        <w:t>On the other hand, claims that explicitly mentioned recognized environmental certifications or measurable sustainability metrics showed comparatively higher credibility scores. The system successfully differentiated between marketing-oriented language and evidence-backed statements. This behavior confirms the effectiveness of the greenwashing detection logic implemented in the backend.</w:t>
      </w:r>
    </w:p>
    <w:p w14:paraId="595B4797" w14:textId="56E240AD" w:rsidR="00124AB2" w:rsidRPr="00124AB2" w:rsidRDefault="00124AB2" w:rsidP="00124AB2">
      <w:pPr>
        <w:ind w:firstLine="720"/>
        <w:jc w:val="both"/>
        <w:rPr>
          <w:rFonts w:ascii="Cambria Math" w:hAnsi="Cambria Math"/>
          <w:sz w:val="30"/>
          <w:szCs w:val="30"/>
        </w:rPr>
      </w:pPr>
    </w:p>
    <w:p w14:paraId="1DD64A31" w14:textId="6BA2BF2C" w:rsidR="00124AB2" w:rsidRPr="00124AB2" w:rsidRDefault="00124AB2" w:rsidP="00124AB2">
      <w:pPr>
        <w:jc w:val="both"/>
        <w:rPr>
          <w:rFonts w:ascii="Cambria Math" w:hAnsi="Cambria Math"/>
          <w:b/>
          <w:bCs/>
          <w:sz w:val="30"/>
          <w:szCs w:val="30"/>
          <w:u w:val="single"/>
        </w:rPr>
      </w:pPr>
      <w:r w:rsidRPr="00124AB2">
        <w:rPr>
          <w:rFonts w:ascii="Cambria Math" w:hAnsi="Cambria Math"/>
          <w:b/>
          <w:bCs/>
          <w:sz w:val="30"/>
          <w:szCs w:val="30"/>
        </w:rPr>
        <w:t xml:space="preserve"> </w:t>
      </w:r>
      <w:r w:rsidRPr="00124AB2">
        <w:rPr>
          <w:rFonts w:ascii="Cambria Math" w:hAnsi="Cambria Math"/>
          <w:b/>
          <w:bCs/>
          <w:sz w:val="30"/>
          <w:szCs w:val="30"/>
          <w:u w:val="single"/>
        </w:rPr>
        <w:t>Explanation of Flagging Results</w:t>
      </w:r>
    </w:p>
    <w:p w14:paraId="40E90794" w14:textId="38C02DB5" w:rsidR="00124AB2" w:rsidRPr="00124AB2" w:rsidRDefault="00124AB2" w:rsidP="00124AB2">
      <w:pPr>
        <w:jc w:val="both"/>
        <w:rPr>
          <w:rFonts w:ascii="Cambria Math" w:hAnsi="Cambria Math"/>
          <w:sz w:val="30"/>
          <w:szCs w:val="30"/>
        </w:rPr>
      </w:pPr>
      <w:r w:rsidRPr="00124AB2">
        <w:rPr>
          <w:rFonts w:ascii="Cambria Math" w:hAnsi="Cambria Math"/>
          <w:sz w:val="30"/>
          <w:szCs w:val="30"/>
        </w:rPr>
        <w:t xml:space="preserve">For each analyzed claim, EcoLens generated a dedicated explanation describing why the claim was flagged. This explanation included reasons such as the use of vague terminology, absence of measurable data, or lack of recognized certification </w:t>
      </w:r>
      <w:r w:rsidRPr="00124AB2">
        <w:rPr>
          <w:rFonts w:ascii="Cambria Math" w:hAnsi="Cambria Math"/>
          <w:sz w:val="30"/>
          <w:szCs w:val="30"/>
        </w:rPr>
        <w:lastRenderedPageBreak/>
        <w:t>references. These explanations were displayed clearly in the user interface and also included in the downloadable report.</w:t>
      </w:r>
    </w:p>
    <w:p w14:paraId="46D48112"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The consistency of these explanations across similar claims indicates that the system follows a logical and repeatable evaluation process. This feature significantly enhances transparency and helps users understand the reasoning behind the generated scores.</w:t>
      </w:r>
    </w:p>
    <w:p w14:paraId="7A1A89D1" w14:textId="77777777" w:rsidR="00124AB2" w:rsidRDefault="00124AB2" w:rsidP="00124AB2">
      <w:pPr>
        <w:jc w:val="both"/>
        <w:rPr>
          <w:rFonts w:ascii="Cambria Math" w:hAnsi="Cambria Math"/>
          <w:b/>
          <w:bCs/>
          <w:sz w:val="30"/>
          <w:szCs w:val="30"/>
          <w:u w:val="single"/>
        </w:rPr>
      </w:pPr>
    </w:p>
    <w:p w14:paraId="7F404D28" w14:textId="3C7F48D9" w:rsidR="00124AB2" w:rsidRPr="00124AB2" w:rsidRDefault="00124AB2" w:rsidP="00124AB2">
      <w:pPr>
        <w:jc w:val="both"/>
        <w:rPr>
          <w:rFonts w:ascii="Cambria Math" w:hAnsi="Cambria Math"/>
          <w:sz w:val="30"/>
          <w:szCs w:val="30"/>
          <w:u w:val="single"/>
        </w:rPr>
      </w:pPr>
      <w:r w:rsidRPr="00124AB2">
        <w:rPr>
          <w:rFonts w:ascii="Cambria Math" w:hAnsi="Cambria Math"/>
          <w:b/>
          <w:bCs/>
          <w:sz w:val="30"/>
          <w:szCs w:val="30"/>
          <w:u w:val="single"/>
        </w:rPr>
        <w:t>Greenwashing Type Classification Results</w:t>
      </w:r>
    </w:p>
    <w:p w14:paraId="60DCE12E"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The system successfully categorized claims into specific greenwashing types, such as vagueness or lack of proof. This classification was based on the linguistic structure and content of the claim. Claims that lacked quantifiable evidence were consistently grouped under appropriate greenwashing categories.</w:t>
      </w:r>
    </w:p>
    <w:p w14:paraId="14B7800C"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This classification feature adds depth to the analysis by not only identifying risk but also specifying the nature of the greenwashing practice. The results show that the classification logic aligns with commonly accepted definitions of greenwashing in sustainability studies.</w:t>
      </w:r>
    </w:p>
    <w:p w14:paraId="5EB81A22" w14:textId="55415E20" w:rsidR="00124AB2" w:rsidRPr="00124AB2" w:rsidRDefault="00124AB2" w:rsidP="00124AB2">
      <w:pPr>
        <w:ind w:firstLine="720"/>
        <w:jc w:val="both"/>
        <w:rPr>
          <w:rFonts w:ascii="Cambria Math" w:hAnsi="Cambria Math"/>
          <w:sz w:val="30"/>
          <w:szCs w:val="30"/>
        </w:rPr>
      </w:pPr>
    </w:p>
    <w:p w14:paraId="57CF7905" w14:textId="78381F83" w:rsidR="00124AB2" w:rsidRPr="00124AB2" w:rsidRDefault="00124AB2" w:rsidP="00124AB2">
      <w:pPr>
        <w:jc w:val="both"/>
        <w:rPr>
          <w:rFonts w:ascii="Cambria Math" w:hAnsi="Cambria Math"/>
          <w:b/>
          <w:bCs/>
          <w:sz w:val="30"/>
          <w:szCs w:val="30"/>
          <w:u w:val="single"/>
        </w:rPr>
      </w:pPr>
      <w:r w:rsidRPr="00124AB2">
        <w:rPr>
          <w:rFonts w:ascii="Cambria Math" w:hAnsi="Cambria Math"/>
          <w:b/>
          <w:bCs/>
          <w:sz w:val="30"/>
          <w:szCs w:val="30"/>
        </w:rPr>
        <w:t xml:space="preserve"> </w:t>
      </w:r>
      <w:r w:rsidRPr="00124AB2">
        <w:rPr>
          <w:rFonts w:ascii="Cambria Math" w:hAnsi="Cambria Math"/>
          <w:b/>
          <w:bCs/>
          <w:sz w:val="30"/>
          <w:szCs w:val="30"/>
          <w:u w:val="single"/>
        </w:rPr>
        <w:t>Impact Score and Credibility Score Analysis</w:t>
      </w:r>
    </w:p>
    <w:p w14:paraId="4D629985"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EcoLens generated multiple quantitative indicators, including consumer risk score, environmental confidence score, and overall credibility score. These scores were presented visually using progress bars and animated circular indicators. The credibility score increased dynamically when stronger evidence was detected within the claim.</w:t>
      </w:r>
    </w:p>
    <w:p w14:paraId="5AA861F3"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The score distribution across test cases demonstrated logical variation. Claims with weak evidence showed low credibility and high risk, while better-documented claims showed improved credibility. The dynamic score animation also enhanced user understanding of how scores evolve during analysis.</w:t>
      </w:r>
    </w:p>
    <w:p w14:paraId="08C290EE" w14:textId="47C4DFC5" w:rsidR="00124AB2" w:rsidRPr="00124AB2" w:rsidRDefault="00124AB2" w:rsidP="00124AB2">
      <w:pPr>
        <w:ind w:firstLine="720"/>
        <w:jc w:val="both"/>
        <w:rPr>
          <w:rFonts w:ascii="Cambria Math" w:hAnsi="Cambria Math"/>
          <w:sz w:val="30"/>
          <w:szCs w:val="30"/>
        </w:rPr>
      </w:pPr>
    </w:p>
    <w:p w14:paraId="2B3EB249" w14:textId="2D548EDC" w:rsidR="00124AB2" w:rsidRPr="00124AB2" w:rsidRDefault="00124AB2" w:rsidP="00124AB2">
      <w:pPr>
        <w:jc w:val="both"/>
        <w:rPr>
          <w:rFonts w:ascii="Cambria Math" w:hAnsi="Cambria Math"/>
          <w:b/>
          <w:bCs/>
          <w:sz w:val="30"/>
          <w:szCs w:val="30"/>
          <w:u w:val="single"/>
        </w:rPr>
      </w:pPr>
      <w:r w:rsidRPr="00124AB2">
        <w:rPr>
          <w:rFonts w:ascii="Cambria Math" w:hAnsi="Cambria Math"/>
          <w:b/>
          <w:bCs/>
          <w:sz w:val="30"/>
          <w:szCs w:val="30"/>
          <w:u w:val="single"/>
        </w:rPr>
        <w:t xml:space="preserve"> QR Code–Based Product Analysis Results</w:t>
      </w:r>
    </w:p>
    <w:p w14:paraId="1F4A5A5C"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 xml:space="preserve">The QR scanning feature enabled users to analyze real products by scanning their QR codes. When a valid QR code corresponding to a product in the dataset was scanned, the system retrieved the associated sustainability data and evaluated it </w:t>
      </w:r>
      <w:r w:rsidRPr="00124AB2">
        <w:rPr>
          <w:rFonts w:ascii="Cambria Math" w:hAnsi="Cambria Math"/>
          <w:sz w:val="30"/>
          <w:szCs w:val="30"/>
        </w:rPr>
        <w:lastRenderedPageBreak/>
        <w:t>accordingly. Products with documented eco-certifications resulted in lower greenwashing risk and higher credibility.</w:t>
      </w:r>
    </w:p>
    <w:p w14:paraId="02794BF9"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If a scanned product lacked sufficient sustainability information, the system reflected this uncertainty through moderate to high risk scores. This behavior indicates that the system does not assume credibility in the absence of data, which is an important characteristic for responsible analysis.</w:t>
      </w:r>
    </w:p>
    <w:p w14:paraId="02644D0D" w14:textId="6234CC27" w:rsidR="00124AB2" w:rsidRPr="00124AB2" w:rsidRDefault="00124AB2" w:rsidP="00124AB2">
      <w:pPr>
        <w:ind w:firstLine="720"/>
        <w:jc w:val="both"/>
        <w:rPr>
          <w:rFonts w:ascii="Cambria Math" w:hAnsi="Cambria Math"/>
          <w:sz w:val="30"/>
          <w:szCs w:val="30"/>
        </w:rPr>
      </w:pPr>
    </w:p>
    <w:p w14:paraId="5CECAB0A" w14:textId="730B7E6B" w:rsidR="00124AB2" w:rsidRPr="00124AB2" w:rsidRDefault="00124AB2" w:rsidP="00124AB2">
      <w:pPr>
        <w:jc w:val="both"/>
        <w:rPr>
          <w:rFonts w:ascii="Cambria Math" w:hAnsi="Cambria Math"/>
          <w:b/>
          <w:bCs/>
          <w:sz w:val="30"/>
          <w:szCs w:val="30"/>
          <w:u w:val="single"/>
        </w:rPr>
      </w:pPr>
      <w:r w:rsidRPr="00124AB2">
        <w:rPr>
          <w:rFonts w:ascii="Cambria Math" w:hAnsi="Cambria Math"/>
          <w:b/>
          <w:bCs/>
          <w:sz w:val="30"/>
          <w:szCs w:val="30"/>
          <w:u w:val="single"/>
        </w:rPr>
        <w:t>Claim Comparison Results</w:t>
      </w:r>
    </w:p>
    <w:p w14:paraId="7E6A7BC3"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The claim comparison module allowed users to submit two sustainability claims simultaneously. Each claim was analyzed independently, and the system compared their credibility scores to generate a final verdict. In most test scenarios, the verdict aligned with intuitive expectations, favoring claims with stronger evidence.</w:t>
      </w:r>
    </w:p>
    <w:p w14:paraId="5CE4B318" w14:textId="77777777" w:rsidR="00124AB2" w:rsidRDefault="00124AB2" w:rsidP="00124AB2">
      <w:pPr>
        <w:jc w:val="both"/>
        <w:rPr>
          <w:rFonts w:ascii="Cambria Math" w:hAnsi="Cambria Math"/>
          <w:sz w:val="30"/>
          <w:szCs w:val="30"/>
        </w:rPr>
      </w:pPr>
      <w:r w:rsidRPr="00124AB2">
        <w:rPr>
          <w:rFonts w:ascii="Cambria Math" w:hAnsi="Cambria Math"/>
          <w:sz w:val="30"/>
          <w:szCs w:val="30"/>
        </w:rPr>
        <w:t>This feature demonstrated that EcoLens can function as a decision-support tool by enabling users to compare sustainability claims before making choices.</w:t>
      </w:r>
    </w:p>
    <w:p w14:paraId="0856EE06" w14:textId="2F409D71" w:rsidR="00124AB2" w:rsidRPr="00124AB2" w:rsidRDefault="00124AB2" w:rsidP="00124AB2">
      <w:pPr>
        <w:jc w:val="both"/>
        <w:rPr>
          <w:rFonts w:ascii="Cambria Math" w:hAnsi="Cambria Math"/>
          <w:sz w:val="30"/>
          <w:szCs w:val="30"/>
          <w:u w:val="single"/>
        </w:rPr>
      </w:pPr>
      <w:r w:rsidRPr="00124AB2">
        <w:rPr>
          <w:rFonts w:ascii="Cambria Math" w:hAnsi="Cambria Math"/>
          <w:b/>
          <w:bCs/>
          <w:sz w:val="30"/>
          <w:szCs w:val="30"/>
          <w:u w:val="single"/>
        </w:rPr>
        <w:t>Report Generation and Export Results</w:t>
      </w:r>
    </w:p>
    <w:p w14:paraId="09F60039"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The system successfully generated downloadable PDF reports for analyzed claims. These reports included the greenwashing risk level, classification type, score visualizations, explanations, eco-friendly alternatives, and waste awareness guidance. The refined report layout ensured that all information was presented clearly within a single page.</w:t>
      </w:r>
    </w:p>
    <w:p w14:paraId="3D734C58"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The share functionality also allowed users to generate shareable links, enabling results to be accessed externally. These features enhance the practical usability of the system beyond real-time interaction.</w:t>
      </w:r>
    </w:p>
    <w:p w14:paraId="0B44AA4F" w14:textId="1E88E9E2" w:rsidR="00124AB2" w:rsidRPr="00124AB2" w:rsidRDefault="00124AB2" w:rsidP="00124AB2">
      <w:pPr>
        <w:ind w:firstLine="720"/>
        <w:jc w:val="both"/>
        <w:rPr>
          <w:rFonts w:ascii="Cambria Math" w:hAnsi="Cambria Math"/>
          <w:sz w:val="30"/>
          <w:szCs w:val="30"/>
        </w:rPr>
      </w:pPr>
    </w:p>
    <w:p w14:paraId="6446401C" w14:textId="6E5D50F0" w:rsidR="00124AB2" w:rsidRPr="00124AB2" w:rsidRDefault="00124AB2" w:rsidP="00124AB2">
      <w:pPr>
        <w:jc w:val="both"/>
        <w:rPr>
          <w:rFonts w:ascii="Cambria Math" w:hAnsi="Cambria Math"/>
          <w:b/>
          <w:bCs/>
          <w:sz w:val="30"/>
          <w:szCs w:val="30"/>
          <w:u w:val="single"/>
        </w:rPr>
      </w:pPr>
      <w:r w:rsidRPr="00124AB2">
        <w:rPr>
          <w:rFonts w:ascii="Cambria Math" w:hAnsi="Cambria Math"/>
          <w:b/>
          <w:bCs/>
          <w:sz w:val="30"/>
          <w:szCs w:val="30"/>
          <w:u w:val="single"/>
        </w:rPr>
        <w:t>DISCUSSION</w:t>
      </w:r>
      <w:r>
        <w:rPr>
          <w:rFonts w:ascii="Cambria Math" w:hAnsi="Cambria Math"/>
          <w:b/>
          <w:bCs/>
          <w:sz w:val="30"/>
          <w:szCs w:val="30"/>
          <w:u w:val="single"/>
        </w:rPr>
        <w:t>:</w:t>
      </w:r>
    </w:p>
    <w:p w14:paraId="761660D7" w14:textId="0BAF39D1" w:rsidR="00124AB2" w:rsidRPr="00124AB2" w:rsidRDefault="00124AB2" w:rsidP="00124AB2">
      <w:pPr>
        <w:jc w:val="both"/>
        <w:rPr>
          <w:rFonts w:ascii="Cambria Math" w:hAnsi="Cambria Math"/>
          <w:b/>
          <w:bCs/>
          <w:sz w:val="30"/>
          <w:szCs w:val="30"/>
          <w:u w:val="single"/>
        </w:rPr>
      </w:pPr>
      <w:r w:rsidRPr="00124AB2">
        <w:rPr>
          <w:rFonts w:ascii="Cambria Math" w:hAnsi="Cambria Math"/>
          <w:b/>
          <w:bCs/>
          <w:sz w:val="30"/>
          <w:szCs w:val="30"/>
          <w:u w:val="single"/>
        </w:rPr>
        <w:t xml:space="preserve"> Interpretation of Greenwashing Detection Results</w:t>
      </w:r>
    </w:p>
    <w:p w14:paraId="538DFCCF"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The results indicate that EcoLens effectively identifies misleading sustainability claims by focusing on linguistic patterns and evidential content. The system’s emphasis on vague terminology and absence of measurable proof aligns well with established definitions of greenwashing. This confirms that the detection logic is conceptually sound and practically effective.</w:t>
      </w:r>
    </w:p>
    <w:p w14:paraId="09286FD6"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lastRenderedPageBreak/>
        <w:t>The observed consistency in risk classification suggests that the system applies its evaluation rules uniformly, which is essential for fairness and reliability.</w:t>
      </w:r>
    </w:p>
    <w:p w14:paraId="6F572806" w14:textId="0581444B" w:rsidR="00124AB2" w:rsidRPr="00124AB2" w:rsidRDefault="00124AB2" w:rsidP="00124AB2">
      <w:pPr>
        <w:ind w:firstLine="720"/>
        <w:jc w:val="both"/>
        <w:rPr>
          <w:rFonts w:ascii="Cambria Math" w:hAnsi="Cambria Math"/>
          <w:sz w:val="30"/>
          <w:szCs w:val="30"/>
        </w:rPr>
      </w:pPr>
    </w:p>
    <w:p w14:paraId="7DA772B9" w14:textId="731AC567" w:rsidR="00124AB2" w:rsidRPr="00124AB2" w:rsidRDefault="00124AB2" w:rsidP="00124AB2">
      <w:pPr>
        <w:jc w:val="both"/>
        <w:rPr>
          <w:rFonts w:ascii="Cambria Math" w:hAnsi="Cambria Math"/>
          <w:b/>
          <w:bCs/>
          <w:sz w:val="30"/>
          <w:szCs w:val="30"/>
          <w:u w:val="single"/>
        </w:rPr>
      </w:pPr>
      <w:r w:rsidRPr="00124AB2">
        <w:rPr>
          <w:rFonts w:ascii="Cambria Math" w:hAnsi="Cambria Math"/>
          <w:b/>
          <w:bCs/>
          <w:sz w:val="30"/>
          <w:szCs w:val="30"/>
        </w:rPr>
        <w:t xml:space="preserve"> </w:t>
      </w:r>
      <w:r w:rsidRPr="00124AB2">
        <w:rPr>
          <w:rFonts w:ascii="Cambria Math" w:hAnsi="Cambria Math"/>
          <w:b/>
          <w:bCs/>
          <w:sz w:val="30"/>
          <w:szCs w:val="30"/>
          <w:u w:val="single"/>
        </w:rPr>
        <w:t>Significance of Explainable Outputs</w:t>
      </w:r>
    </w:p>
    <w:p w14:paraId="1BE92FDA"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One of the most important outcomes of the system is its ability to explain why a claim was flagged. Unlike many automated systems that provide only numerical scores, EcoLens offers contextual reasoning. This approach improves user trust and makes the system suitable for educational and academic use.</w:t>
      </w:r>
    </w:p>
    <w:p w14:paraId="5BDD6F6C"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The explanation feature also helps users learn how to identify misleading claims independently, thereby increasing environmental awareness.</w:t>
      </w:r>
    </w:p>
    <w:p w14:paraId="59086909" w14:textId="6513E45F" w:rsidR="00124AB2" w:rsidRPr="00124AB2" w:rsidRDefault="00124AB2" w:rsidP="00124AB2">
      <w:pPr>
        <w:ind w:firstLine="720"/>
        <w:jc w:val="both"/>
        <w:rPr>
          <w:rFonts w:ascii="Cambria Math" w:hAnsi="Cambria Math"/>
          <w:sz w:val="30"/>
          <w:szCs w:val="30"/>
        </w:rPr>
      </w:pPr>
    </w:p>
    <w:p w14:paraId="32B26034" w14:textId="5B107336" w:rsidR="00124AB2" w:rsidRPr="00124AB2" w:rsidRDefault="00124AB2" w:rsidP="00124AB2">
      <w:pPr>
        <w:jc w:val="both"/>
        <w:rPr>
          <w:rFonts w:ascii="Cambria Math" w:hAnsi="Cambria Math"/>
          <w:b/>
          <w:bCs/>
          <w:sz w:val="30"/>
          <w:szCs w:val="30"/>
          <w:u w:val="single"/>
        </w:rPr>
      </w:pPr>
      <w:r w:rsidRPr="00124AB2">
        <w:rPr>
          <w:rFonts w:ascii="Cambria Math" w:hAnsi="Cambria Math"/>
          <w:b/>
          <w:bCs/>
          <w:sz w:val="30"/>
          <w:szCs w:val="30"/>
        </w:rPr>
        <w:t xml:space="preserve"> </w:t>
      </w:r>
      <w:r w:rsidRPr="00124AB2">
        <w:rPr>
          <w:rFonts w:ascii="Cambria Math" w:hAnsi="Cambria Math"/>
          <w:b/>
          <w:bCs/>
          <w:sz w:val="30"/>
          <w:szCs w:val="30"/>
          <w:u w:val="single"/>
        </w:rPr>
        <w:t>Effectiveness of Multi-Modal Input Design</w:t>
      </w:r>
    </w:p>
    <w:p w14:paraId="00216DE1"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The inclusion of both manual input and QR code scanning significantly enhances the applicability of EcoLens. Manual input supports online content analysis, while QR scanning enables real-world product evaluation. This dual-input design allows the system to function across digital and physical environments.</w:t>
      </w:r>
    </w:p>
    <w:p w14:paraId="1D81130D"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However, the accuracy of QR-based analysis depends on the availability and quality of product data. The system appropriately reflects uncertainty when data is incomplete, which is preferable to generating misleading confidence.</w:t>
      </w:r>
    </w:p>
    <w:p w14:paraId="2911E029" w14:textId="62EFFEAF" w:rsidR="00124AB2" w:rsidRPr="00124AB2" w:rsidRDefault="00124AB2" w:rsidP="00124AB2">
      <w:pPr>
        <w:jc w:val="both"/>
        <w:rPr>
          <w:rFonts w:ascii="Cambria Math" w:hAnsi="Cambria Math"/>
          <w:b/>
          <w:bCs/>
          <w:sz w:val="30"/>
          <w:szCs w:val="30"/>
          <w:u w:val="single"/>
        </w:rPr>
      </w:pPr>
      <w:r w:rsidRPr="00124AB2">
        <w:rPr>
          <w:rFonts w:ascii="Cambria Math" w:hAnsi="Cambria Math"/>
          <w:b/>
          <w:bCs/>
          <w:sz w:val="30"/>
          <w:szCs w:val="30"/>
        </w:rPr>
        <w:t xml:space="preserve"> </w:t>
      </w:r>
      <w:r w:rsidRPr="00124AB2">
        <w:rPr>
          <w:rFonts w:ascii="Cambria Math" w:hAnsi="Cambria Math"/>
          <w:b/>
          <w:bCs/>
          <w:sz w:val="30"/>
          <w:szCs w:val="30"/>
          <w:u w:val="single"/>
        </w:rPr>
        <w:t>Role of Quantitative Scoring in Decision Making</w:t>
      </w:r>
    </w:p>
    <w:p w14:paraId="2DD154EB"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The use of multiple scores provides users with a nuanced understanding of sustainability claims. The separation of consumer risk, environmental confidence, and credibility allows users to interpret results from different perspectives. The animated score representation further improves engagement and clarity.</w:t>
      </w:r>
    </w:p>
    <w:p w14:paraId="52B394E9"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These quantitative indicators transform complex sustainability concepts into accessible metrics that support informed decision-making.</w:t>
      </w:r>
    </w:p>
    <w:p w14:paraId="4E648ACE" w14:textId="2C0A78BC" w:rsidR="00124AB2" w:rsidRPr="00124AB2" w:rsidRDefault="00124AB2" w:rsidP="00124AB2">
      <w:pPr>
        <w:jc w:val="both"/>
        <w:rPr>
          <w:rFonts w:ascii="Cambria Math" w:hAnsi="Cambria Math"/>
          <w:sz w:val="30"/>
          <w:szCs w:val="30"/>
        </w:rPr>
      </w:pPr>
    </w:p>
    <w:p w14:paraId="022DEAB7" w14:textId="456FA429" w:rsidR="00124AB2" w:rsidRPr="000F00A9" w:rsidRDefault="00124AB2" w:rsidP="00124AB2">
      <w:pPr>
        <w:jc w:val="both"/>
        <w:rPr>
          <w:rFonts w:ascii="Cambria Math" w:hAnsi="Cambria Math"/>
          <w:b/>
          <w:bCs/>
          <w:sz w:val="30"/>
          <w:szCs w:val="30"/>
          <w:u w:val="single"/>
        </w:rPr>
      </w:pPr>
      <w:r w:rsidRPr="000F00A9">
        <w:rPr>
          <w:rFonts w:ascii="Cambria Math" w:hAnsi="Cambria Math"/>
          <w:b/>
          <w:bCs/>
          <w:sz w:val="30"/>
          <w:szCs w:val="30"/>
          <w:u w:val="single"/>
        </w:rPr>
        <w:t>Practical Value of Comparison and Reporting Features</w:t>
      </w:r>
    </w:p>
    <w:p w14:paraId="369214D8" w14:textId="0F87A796" w:rsidR="00124AB2" w:rsidRPr="00124AB2" w:rsidRDefault="00124AB2" w:rsidP="00124AB2">
      <w:pPr>
        <w:jc w:val="both"/>
        <w:rPr>
          <w:rFonts w:ascii="Cambria Math" w:hAnsi="Cambria Math"/>
          <w:sz w:val="30"/>
          <w:szCs w:val="30"/>
        </w:rPr>
      </w:pPr>
      <w:r w:rsidRPr="00124AB2">
        <w:rPr>
          <w:rFonts w:ascii="Cambria Math" w:hAnsi="Cambria Math"/>
          <w:sz w:val="30"/>
          <w:szCs w:val="30"/>
        </w:rPr>
        <w:t>The claim comparison feature adds a competitive evaluation aspect to the system. By directly comparing claims, users can identify relatively stronger sustainability statements. This is particularly useful in consumer scenarios where multiple products compete on environmental claims.</w:t>
      </w:r>
    </w:p>
    <w:p w14:paraId="1D367C50"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lastRenderedPageBreak/>
        <w:t>The reporting feature extends the system’s value by allowing results to be stored, shared, and presented formally. This makes EcoLens suitable for demonstrations, audits, and academic reviews.</w:t>
      </w:r>
    </w:p>
    <w:p w14:paraId="4E4BCB60" w14:textId="4B25A5C5" w:rsidR="00124AB2" w:rsidRPr="00124AB2" w:rsidRDefault="00124AB2" w:rsidP="00124AB2">
      <w:pPr>
        <w:ind w:firstLine="720"/>
        <w:jc w:val="both"/>
        <w:rPr>
          <w:rFonts w:ascii="Cambria Math" w:hAnsi="Cambria Math"/>
          <w:sz w:val="30"/>
          <w:szCs w:val="30"/>
        </w:rPr>
      </w:pPr>
    </w:p>
    <w:p w14:paraId="4CC5F233" w14:textId="48EB58A9" w:rsidR="00124AB2" w:rsidRPr="000F00A9" w:rsidRDefault="00124AB2" w:rsidP="00124AB2">
      <w:pPr>
        <w:jc w:val="both"/>
        <w:rPr>
          <w:rFonts w:ascii="Cambria Math" w:hAnsi="Cambria Math"/>
          <w:b/>
          <w:bCs/>
          <w:sz w:val="30"/>
          <w:szCs w:val="30"/>
          <w:u w:val="single"/>
        </w:rPr>
      </w:pPr>
      <w:r w:rsidRPr="000F00A9">
        <w:rPr>
          <w:rFonts w:ascii="Cambria Math" w:hAnsi="Cambria Math"/>
          <w:b/>
          <w:bCs/>
          <w:sz w:val="30"/>
          <w:szCs w:val="30"/>
          <w:u w:val="single"/>
        </w:rPr>
        <w:t>Overall System Performance and Observations</w:t>
      </w:r>
    </w:p>
    <w:p w14:paraId="60E95D93" w14:textId="77777777" w:rsidR="00124AB2" w:rsidRPr="00124AB2" w:rsidRDefault="00124AB2" w:rsidP="00124AB2">
      <w:pPr>
        <w:jc w:val="both"/>
        <w:rPr>
          <w:rFonts w:ascii="Cambria Math" w:hAnsi="Cambria Math"/>
          <w:sz w:val="30"/>
          <w:szCs w:val="30"/>
        </w:rPr>
      </w:pPr>
      <w:r w:rsidRPr="00124AB2">
        <w:rPr>
          <w:rFonts w:ascii="Cambria Math" w:hAnsi="Cambria Math"/>
          <w:sz w:val="30"/>
          <w:szCs w:val="30"/>
        </w:rPr>
        <w:t>The overall performance of EcoLens demonstrates a successful balance between technical implementation and usability. The system responds efficiently, presents results clearly, and supports multiple evaluation modes. While the current implementation relies on a limited dataset and rule-based NLP logic, it establishes a strong foundation for future enhancement.</w:t>
      </w:r>
    </w:p>
    <w:p w14:paraId="73B7C271" w14:textId="77777777" w:rsidR="00124AB2" w:rsidRPr="00124AB2" w:rsidRDefault="00124AB2" w:rsidP="000F00A9">
      <w:pPr>
        <w:jc w:val="both"/>
        <w:rPr>
          <w:rFonts w:ascii="Cambria Math" w:hAnsi="Cambria Math"/>
          <w:sz w:val="30"/>
          <w:szCs w:val="30"/>
        </w:rPr>
      </w:pPr>
      <w:r w:rsidRPr="00124AB2">
        <w:rPr>
          <w:rFonts w:ascii="Cambria Math" w:hAnsi="Cambria Math"/>
          <w:sz w:val="30"/>
          <w:szCs w:val="30"/>
        </w:rPr>
        <w:t>In conclusion, the discussion of results confirms that EcoLens fulfills its intended objectives and provides a meaningful contribution toward improving transparency in sustainability claims.</w:t>
      </w:r>
    </w:p>
    <w:p w14:paraId="6B22E34C" w14:textId="77777777" w:rsidR="00124AB2" w:rsidRPr="002C3829" w:rsidRDefault="00124AB2" w:rsidP="002C3829">
      <w:pPr>
        <w:ind w:firstLine="720"/>
        <w:jc w:val="both"/>
        <w:rPr>
          <w:rFonts w:ascii="Cambria Math" w:hAnsi="Cambria Math"/>
          <w:sz w:val="30"/>
          <w:szCs w:val="30"/>
        </w:rPr>
      </w:pPr>
    </w:p>
    <w:sectPr w:rsidR="00124AB2" w:rsidRPr="002C3829" w:rsidSect="00334B4C">
      <w:pgSz w:w="11906" w:h="16838" w:code="9"/>
      <w:pgMar w:top="720" w:right="720" w:bottom="720" w:left="72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E0C8A"/>
    <w:multiLevelType w:val="multilevel"/>
    <w:tmpl w:val="5B4E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347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AA9"/>
    <w:rsid w:val="00084430"/>
    <w:rsid w:val="000D6EDF"/>
    <w:rsid w:val="000F00A9"/>
    <w:rsid w:val="00124AB2"/>
    <w:rsid w:val="00157829"/>
    <w:rsid w:val="00170D0C"/>
    <w:rsid w:val="0017772B"/>
    <w:rsid w:val="00182DDB"/>
    <w:rsid w:val="00273EB8"/>
    <w:rsid w:val="002C3829"/>
    <w:rsid w:val="002E3643"/>
    <w:rsid w:val="00334B4C"/>
    <w:rsid w:val="00382C61"/>
    <w:rsid w:val="004442A0"/>
    <w:rsid w:val="004B6FF8"/>
    <w:rsid w:val="00586B90"/>
    <w:rsid w:val="00597F43"/>
    <w:rsid w:val="006B093F"/>
    <w:rsid w:val="00736064"/>
    <w:rsid w:val="007664BE"/>
    <w:rsid w:val="00772AA9"/>
    <w:rsid w:val="007C30EA"/>
    <w:rsid w:val="008408AB"/>
    <w:rsid w:val="00881D42"/>
    <w:rsid w:val="00885A93"/>
    <w:rsid w:val="00897888"/>
    <w:rsid w:val="008B5671"/>
    <w:rsid w:val="0095781C"/>
    <w:rsid w:val="009B140E"/>
    <w:rsid w:val="009B4A7A"/>
    <w:rsid w:val="00A0575F"/>
    <w:rsid w:val="00A26BE4"/>
    <w:rsid w:val="00A45C3B"/>
    <w:rsid w:val="00A55EA2"/>
    <w:rsid w:val="00A74D08"/>
    <w:rsid w:val="00A957ED"/>
    <w:rsid w:val="00AA2007"/>
    <w:rsid w:val="00AC023C"/>
    <w:rsid w:val="00AE3BC2"/>
    <w:rsid w:val="00B6214B"/>
    <w:rsid w:val="00BA4757"/>
    <w:rsid w:val="00BF2158"/>
    <w:rsid w:val="00C44D4A"/>
    <w:rsid w:val="00CC0241"/>
    <w:rsid w:val="00CF00BA"/>
    <w:rsid w:val="00D20B16"/>
    <w:rsid w:val="00D22E7C"/>
    <w:rsid w:val="00D40C51"/>
    <w:rsid w:val="00E02C55"/>
    <w:rsid w:val="00E470B4"/>
    <w:rsid w:val="00EE4A41"/>
    <w:rsid w:val="00EF0399"/>
    <w:rsid w:val="00F323E6"/>
    <w:rsid w:val="00FE1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3C488"/>
  <w15:chartTrackingRefBased/>
  <w15:docId w15:val="{173EAD23-FBBE-44DC-9A24-D3B0F2B0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A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A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A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A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A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A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A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A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A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A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AA9"/>
    <w:rPr>
      <w:rFonts w:eastAsiaTheme="majorEastAsia" w:cstheme="majorBidi"/>
      <w:color w:val="272727" w:themeColor="text1" w:themeTint="D8"/>
    </w:rPr>
  </w:style>
  <w:style w:type="paragraph" w:styleId="Title">
    <w:name w:val="Title"/>
    <w:basedOn w:val="Normal"/>
    <w:next w:val="Normal"/>
    <w:link w:val="TitleChar"/>
    <w:uiPriority w:val="10"/>
    <w:qFormat/>
    <w:rsid w:val="00772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AA9"/>
    <w:pPr>
      <w:spacing w:before="160"/>
      <w:jc w:val="center"/>
    </w:pPr>
    <w:rPr>
      <w:i/>
      <w:iCs/>
      <w:color w:val="404040" w:themeColor="text1" w:themeTint="BF"/>
    </w:rPr>
  </w:style>
  <w:style w:type="character" w:customStyle="1" w:styleId="QuoteChar">
    <w:name w:val="Quote Char"/>
    <w:basedOn w:val="DefaultParagraphFont"/>
    <w:link w:val="Quote"/>
    <w:uiPriority w:val="29"/>
    <w:rsid w:val="00772AA9"/>
    <w:rPr>
      <w:i/>
      <w:iCs/>
      <w:color w:val="404040" w:themeColor="text1" w:themeTint="BF"/>
    </w:rPr>
  </w:style>
  <w:style w:type="paragraph" w:styleId="ListParagraph">
    <w:name w:val="List Paragraph"/>
    <w:basedOn w:val="Normal"/>
    <w:uiPriority w:val="34"/>
    <w:qFormat/>
    <w:rsid w:val="00772AA9"/>
    <w:pPr>
      <w:ind w:left="720"/>
      <w:contextualSpacing/>
    </w:pPr>
  </w:style>
  <w:style w:type="character" w:styleId="IntenseEmphasis">
    <w:name w:val="Intense Emphasis"/>
    <w:basedOn w:val="DefaultParagraphFont"/>
    <w:uiPriority w:val="21"/>
    <w:qFormat/>
    <w:rsid w:val="00772AA9"/>
    <w:rPr>
      <w:i/>
      <w:iCs/>
      <w:color w:val="2F5496" w:themeColor="accent1" w:themeShade="BF"/>
    </w:rPr>
  </w:style>
  <w:style w:type="paragraph" w:styleId="IntenseQuote">
    <w:name w:val="Intense Quote"/>
    <w:basedOn w:val="Normal"/>
    <w:next w:val="Normal"/>
    <w:link w:val="IntenseQuoteChar"/>
    <w:uiPriority w:val="30"/>
    <w:qFormat/>
    <w:rsid w:val="00772A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AA9"/>
    <w:rPr>
      <w:i/>
      <w:iCs/>
      <w:color w:val="2F5496" w:themeColor="accent1" w:themeShade="BF"/>
    </w:rPr>
  </w:style>
  <w:style w:type="character" w:styleId="IntenseReference">
    <w:name w:val="Intense Reference"/>
    <w:basedOn w:val="DefaultParagraphFont"/>
    <w:uiPriority w:val="32"/>
    <w:qFormat/>
    <w:rsid w:val="00772A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17</Pages>
  <Words>4147</Words>
  <Characters>23640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kirankalamata78@outlook.com</dc:creator>
  <cp:keywords/>
  <dc:description/>
  <cp:lastModifiedBy>Sahitya Movva</cp:lastModifiedBy>
  <cp:revision>1</cp:revision>
  <cp:lastPrinted>2026-01-29T03:50:00Z</cp:lastPrinted>
  <dcterms:created xsi:type="dcterms:W3CDTF">2025-12-28T16:42:00Z</dcterms:created>
  <dcterms:modified xsi:type="dcterms:W3CDTF">2026-02-04T13:48:00Z</dcterms:modified>
</cp:coreProperties>
</file>