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9"/>
          <w:sz-cs w:val="29"/>
          <w:b/>
          <w:spacing w:val="0"/>
          <w:color w:val="71441E"/>
        </w:rPr>
        <w:t xml:space="preserve">GOVERNMENT OF INDIA • MINISTRY OF SOCIAL JUSTICE &amp; EMPOWERMENT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Pradhan Mantri Anusuchit Jaati Abhyuday Yojana (PM-AJAY) • Grants-in-Aid (GIA) Component</w:t>
      </w:r>
    </w:p>
    <w:p>
      <w:pPr/>
      <w:r>
        <w:rPr>
          <w:rFonts w:ascii="Arial" w:hAnsi="Arial" w:cs="Arial"/>
          <w:sz w:val="26"/>
          <w:sz-cs w:val="26"/>
          <w:spacing w:val="0"/>
          <w:color w:val="5E6C84"/>
        </w:rPr>
        <w:t xml:space="preserve">Smart India Hackathon 2026 • Problem Statement ID: </w:t>
      </w:r>
      <w:r>
        <w:rPr>
          <w:rFonts w:ascii="Arial" w:hAnsi="Arial" w:cs="Arial"/>
          <w:sz w:val="26"/>
          <w:sz-cs w:val="26"/>
          <w:b/>
          <w:spacing w:val="0"/>
          <w:color w:val="5E6C84"/>
        </w:rPr>
        <w:t xml:space="preserve">26097</w:t>
      </w:r>
      <w:r>
        <w:rPr>
          <w:rFonts w:ascii="Arial" w:hAnsi="Arial" w:cs="Arial"/>
          <w:sz w:val="26"/>
          <w:sz-cs w:val="26"/>
          <w:spacing w:val="0"/>
          <w:color w:val="5E6C84"/>
        </w:rPr>
        <w:t xml:space="preserve"/>
      </w:r>
    </w:p>
    <w:p>
      <w:pPr>
        <w:spacing w:after="200"/>
      </w:pPr>
      <w:r>
        <w:rPr>
          <w:rFonts w:ascii="Arial" w:hAnsi="Arial" w:cs="Arial"/>
          <w:sz w:val="64"/>
          <w:sz-cs w:val="64"/>
          <w:b/>
          <w:spacing w:val="0"/>
          <w:color w:val="0B1F15"/>
        </w:rPr>
        <w:t xml:space="preserve">PROJECT HUNAR (हुनर)</w:t>
      </w:r>
    </w:p>
    <w:p>
      <w:pPr/>
      <w:r>
        <w:rPr>
          <w:rFonts w:ascii="Arial" w:hAnsi="Arial" w:cs="Arial"/>
          <w:sz w:val="34"/>
          <w:sz-cs w:val="34"/>
          <w:spacing w:val="0"/>
          <w:color w:val="3A4355"/>
        </w:rPr>
        <w:t xml:space="preserve">Autonomous Voice-Driven Rural RPL Certification &amp; Spatial GIA Livelihood Mapping Engine</w:t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222938"/>
        </w:rPr>
        <w:t xml:space="preserve">Document Classification:</w:t>
      </w:r>
      <w:r>
        <w:rPr>
          <w:rFonts w:ascii="Arial" w:hAnsi="Arial" w:cs="Arial"/>
          <w:sz w:val="26"/>
          <w:sz-cs w:val="26"/>
          <w:spacing w:val="0"/>
          <w:color w:val="222938"/>
        </w:rPr>
        <w:t xml:space="preserve"> Official Architectural Blueprint &amp; Policy Whitepaper  |  </w:t>
      </w:r>
      <w:r>
        <w:rPr>
          <w:rFonts w:ascii="Arial" w:hAnsi="Arial" w:cs="Arial"/>
          <w:sz w:val="26"/>
          <w:sz-cs w:val="26"/>
          <w:b/>
          <w:spacing w:val="0"/>
          <w:color w:val="222938"/>
        </w:rPr>
        <w:t xml:space="preserve">Focus Domain:</w:t>
      </w:r>
      <w:r>
        <w:rPr>
          <w:rFonts w:ascii="Arial" w:hAnsi="Arial" w:cs="Arial"/>
          <w:sz w:val="26"/>
          <w:sz-cs w:val="26"/>
          <w:spacing w:val="0"/>
          <w:color w:val="222938"/>
        </w:rPr>
        <w:t xml:space="preserve"> Rural Livelihoods, NCVET NQR Alignment &amp; GIA Allocation</w:t>
      </w:r>
    </w:p>
    <w:p>
      <w:pPr>
        <w:spacing w:after="240"/>
      </w:pPr>
      <w:r>
        <w:rPr>
          <w:rFonts w:ascii="Arial" w:hAnsi="Arial" w:cs="Arial"/>
          <w:sz w:val="42"/>
          <w:sz-cs w:val="42"/>
          <w:b/>
          <w:spacing w:val="0"/>
          <w:color w:val="0B1F15"/>
        </w:rPr>
        <w:t xml:space="preserve">1. Problem Statement &amp; Root-Cause Diagnosis</w:t>
      </w:r>
    </w:p>
    <w:p>
      <w:pPr>
        <w:jc w:val="both"/>
        <w:spacing w:after="293"/>
      </w:pPr>
      <w:r>
        <w:rPr>
          <w:rFonts w:ascii="Arial" w:hAnsi="Arial" w:cs="Arial"/>
          <w:sz w:val="29"/>
          <w:sz-cs w:val="29"/>
          <w:spacing w:val="0"/>
          <w:color w:val="222938"/>
        </w:rPr>
        <w:t xml:space="preserve">Across rural India, an estimated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150 million informal workers and rural artisans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possess between 5 to 15+ years of practical vocational mastery in critical trades—including agro-processing, pulse and spice milling, solar pump servicing, micro-irrigation maintenance, rural masonry, and traditional handicrafts. However,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over 92% of these workers hold zero formal certification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recognized by the National Council for Vocational Education and Training (NCVET).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The Rural Certification Paradox: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Conventional government skilling schemes demand long-term (3 to 6-month) classroom attendance at urban ITIs. For a rural daily-wage earner, attending these courses causes an immediate forfeiture of daily wages (₹400–₹600/day). Consequently, course dropout rates exceed 70%, and central PM-AJAY GIA skilling allocations frequently lapse unspent due to poor geographic targeting.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71441E"/>
        </w:rPr>
        <w:t xml:space="preserve">Key Structural Deficiencies in Existing Systems: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Complex Text-Heavy Portals: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Existing portals require high digital and textual literacy, excluding unlettered rural artisans.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Absence of Commute-Aware Routing: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Beneficiaries are frequently allotted centers 40–80 km away without lodging support, rendering assessment physically unfeasible.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Blind Institutional Budgeting: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District administrators lack granular geospatial data indicating which specific panchayats contain dense clusters of uncertified artisans to justify targeted GIA Mobile Vans or cluster labs.</w:t>
      </w:r>
    </w:p>
    <w:p>
      <w:pPr>
        <w:spacing w:after="240"/>
      </w:pPr>
      <w:r>
        <w:rPr>
          <w:rFonts w:ascii="Arial" w:hAnsi="Arial" w:cs="Arial"/>
          <w:sz w:val="42"/>
          <w:sz-cs w:val="42"/>
          <w:b/>
          <w:spacing w:val="0"/>
          <w:color w:val="0B1F15"/>
        </w:rPr>
        <w:t xml:space="preserve">2. Technical &amp; Operational Feasibility (Usage Feasibility)</w:t>
      </w:r>
    </w:p>
    <w:p>
      <w:pPr>
        <w:jc w:val="both"/>
        <w:spacing w:after="293"/>
      </w:pPr>
      <w:r>
        <w:rPr>
          <w:rFonts w:ascii="Arial" w:hAnsi="Arial" w:cs="Arial"/>
          <w:sz w:val="29"/>
          <w:sz-cs w:val="29"/>
          <w:spacing w:val="0"/>
          <w:color w:val="222938"/>
        </w:rPr>
        <w:t xml:space="preserve">The operational feasibility of Hunar is anchored entirely on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frictionless, zero-literacy beneficiary intake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and seamless compatibility with India's grassroots administrative infrastructure.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71441E"/>
        </w:rPr>
        <w:t xml:space="preserve">A. End-User (Artisan) Usage Feasibility: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100% Natural Voice Ingestion: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Artisans do not fill out forms or navigate nested menus. They simply tap a microphone button at their local Common Service Center (CSC) or on a Gram Panchayat tablet and describe their daily work in their native dialect (Bundelkhandi, Bhojpuri, Marathi, Chhattisgarhi, Tamil, etc.).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Zero Dialect Penalties: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Powered by open Indic speech models (AI4Bharat IndicASR), colloquial rural terms (e.g., </w:t>
      </w:r>
      <w:r>
        <w:rPr>
          <w:rFonts w:ascii="Arial" w:hAnsi="Arial" w:cs="Arial"/>
          <w:sz w:val="29"/>
          <w:sz-cs w:val="29"/>
          <w:i/>
          <w:spacing w:val="0"/>
          <w:color w:val="222938"/>
        </w:rPr>
        <w:t xml:space="preserve">"dal mill chalana", "solar motor ka pipe jodna", "chakki repairing"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) are accurately transcribed and normalized into technical competency tokens.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Instant 1-Click Tangible Output: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In under 2 seconds, the system issues a color-coded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Beneficiary Action Slip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in regional script detailing their eligible NQR Level, verified experience, nearest test center, and next assessment date.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71441E"/>
        </w:rPr>
        <w:t xml:space="preserve">B. Institutional &amp; Hardware Feasibility: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Deployment over Existing CSC Infrastructure: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Runs on low-cost browsers and existing Village Level Entrepreneur (VLE) hardware without requiring specialized biometric scanners or high-end GPUs.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Offline-First Edge Architecture: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Can be bundled as a lightweight Progressive Web App (PWA) with local regex and SQLite NQR databases for low-bandwidth rural panchayats.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Zero Recurring API Fees: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Built strictly on self-hosted open-source NLP and GIS routing pipelines, eliminating per-call commercial LLM paywalls.</w:t>
      </w:r>
    </w:p>
    <w:p>
      <w:pPr>
        <w:spacing w:after="240"/>
      </w:pPr>
      <w:r>
        <w:rPr>
          <w:rFonts w:ascii="Arial" w:hAnsi="Arial" w:cs="Arial"/>
          <w:sz w:val="42"/>
          <w:sz-cs w:val="42"/>
          <w:b/>
          <w:spacing w:val="0"/>
          <w:color w:val="0B1F15"/>
        </w:rPr>
        <w:t xml:space="preserve">3. Financial &amp; Economic Viability (Economic &amp; Scale Viability)</w:t>
      </w:r>
    </w:p>
    <w:p>
      <w:pPr>
        <w:jc w:val="both"/>
        <w:spacing w:after="293"/>
      </w:pPr>
      <w:r>
        <w:rPr>
          <w:rFonts w:ascii="Arial" w:hAnsi="Arial" w:cs="Arial"/>
          <w:sz w:val="29"/>
          <w:sz-cs w:val="29"/>
          <w:spacing w:val="0"/>
          <w:color w:val="222938"/>
        </w:rPr>
        <w:t xml:space="preserve">Hunar introduces unprecedented cost efficiencies for both individual beneficiaries and district-level welfare administration under the PM-AJAY Grants-in-Aid scheme.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71441E"/>
        </w:rPr>
        <w:t xml:space="preserve">A. Beneficiary Economic Viability (Wage Protection):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Recognition of Prior Learning (RPL) in 12–16 Hours: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Instead of losing 180 days of wages in a standard 6-month ITI program, experienced artisans undergo rapid 2-day modular assessment, preserving over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₹36,000 in saved daily wages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during training.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Strict ≤ 25 km Commute Constraint: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Assessment centers are strictly filtered within a 25 km one-day return radius, eliminating boarding and lodging expenses.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Immediate Earning Uplift: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NCVET RPL Level 3/4 certification unlocks direct wage escalation (+35% to +55%), formal bank credit eligibility (Mudra / Stand-Up India), and institutional supplier procurement under One District One Product (ODOP).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71441E"/>
        </w:rPr>
        <w:t xml:space="preserve">B. Government GIA Grant Optimization Viability: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Elimination of Ineffective CapEx: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Prevents the wasteful construction of under-utilized brick-and-mortar ITI centers in sparse regions.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Data-Driven GIA Mobile Van Deployment: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Aggregates isolated artisan clusters located &gt; 25 km from permanent centers and automatically calculates precise GIA grant proposals to fund mobile assessment tool vans.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High Benefit-to-Cost Ratio: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At an estimated deployment cost of &lt; ₹12 per beneficiary intake, Hunar delivers an estimated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48x socio-economic return on investment (S-ROI)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over a 3-year horizon.</w:t>
      </w:r>
    </w:p>
    <w:p>
      <w:pPr>
        <w:spacing w:after="240"/>
      </w:pPr>
      <w:r>
        <w:rPr>
          <w:rFonts w:ascii="Arial" w:hAnsi="Arial" w:cs="Arial"/>
          <w:sz w:val="42"/>
          <w:sz-cs w:val="42"/>
          <w:b/>
          <w:spacing w:val="0"/>
          <w:color w:val="0B1F15"/>
        </w:rPr>
        <w:t xml:space="preserve">4. 5-Stage Technical Architecture Pipeline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Deterministic &amp; Zero-Hallucination Pipeline: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Hunar enforces an absolute separation between the natural language comprehension layer and the qualification assignment layer. No generative AI model creates or hallucinates qualification standards.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Acoustic Voice Ingestion Layer: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Captures raw microphone audio at 16kHz via Web Audio API. Transcribed via IndicASR multilingual models.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Entity &amp; Experience Extraction Engine: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Tokenizes years of active practice (e.g., </w:t>
      </w:r>
      <w:r>
        <w:rPr>
          <w:rFonts w:ascii="Arial" w:hAnsi="Arial" w:cs="Arial"/>
          <w:sz w:val="29"/>
          <w:sz-cs w:val="29"/>
          <w:i/>
          <w:spacing w:val="0"/>
          <w:color w:val="222938"/>
        </w:rPr>
        <w:t xml:space="preserve">"7 saal se chala raha hoon"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→ </w:t>
      </w:r>
      <w:r>
        <w:rPr>
          <w:rFonts w:ascii="Menlo" w:hAnsi="Menlo" w:cs="Menlo"/>
          <w:sz w:val="29"/>
          <w:sz-cs w:val="29"/>
          <w:spacing w:val="0"/>
          <w:color w:val="222938"/>
        </w:rPr>
        <w:t xml:space="preserve">exp_years: 7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), operational tools, and raw materials.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NCVET NQR Deterministic Matcher: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Executes multi-keyword TF-IDF vector matching against official Qualification Packs (QPs) and National Occupational Standards (NOS).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Spatial GIS Commute &amp; Reachability Router: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Calculates real-world road network travel distances to all accredited district assessment centers using Haversine and OpenStreetMap topology.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Dual-Action Dispatch Engine: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Produces:</w:t>
      </w:r>
    </w:p>
    <w:p>
      <w:pPr>
        <w:jc w:val="both"/>
        <w:ind w:left="1440" w:first-line="-144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Beneficiary Action Slip (PDF):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Immediate printout for the rural artisan.</w:t>
      </w:r>
    </w:p>
    <w:p>
      <w:pPr>
        <w:jc w:val="both"/>
        <w:ind w:left="1440" w:first-line="-144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District Social Welfare GIA Dashboard: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Geospatial aggregation map identifying unserved clusters.</w:t>
      </w:r>
    </w:p>
    <w:p>
      <w:pPr>
        <w:spacing w:after="240"/>
      </w:pPr>
      <w:r>
        <w:rPr>
          <w:rFonts w:ascii="Arial" w:hAnsi="Arial" w:cs="Arial"/>
          <w:sz w:val="42"/>
          <w:sz-cs w:val="42"/>
          <w:b/>
          <w:spacing w:val="0"/>
          <w:color w:val="0B1F15"/>
        </w:rPr>
        <w:t xml:space="preserve">5. Master NCVET NQR Qualification Register Benchmarks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QP-NOS Code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Qualification Pack Title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NSQF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RPL Mode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Linked Sector Scheme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Est. Wage Shift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FIC/Q0104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Pulse, Grain &amp; Spice Processing Operator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Level 4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12 Hours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PMFME / ODOP Agro Mills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+42%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AGR/Q1101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Solar Agri-Pump &amp; Micro-Irrigation Technician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Level 4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16 Hours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PM-KUSUM Solar Contracts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+55%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CON/Q0103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Rural Mason (Water Harvesting Structures)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Level 4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12 Hours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Jal Jeevan Mission (JJM)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+38%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AGR/Q0801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Dairy Farmer &amp; Milk Chilling Operator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Level 3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12 Hours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National Dairy Plan / NDDB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+35%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HCS/Q8701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Rural Carpenter &amp; Farm Implement Fabricator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Level 3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12 Hours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PM Vishwakarma Tool-Kit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+45%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LSS/Q5501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Footwear &amp; Leather Goods Artisan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Level 3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14 Hours</w:t>
      </w:r>
    </w:p>
    <w:p>
      <w:pPr/>
      <w:r>
        <w:rPr>
          <w:rFonts w:ascii="Arial" w:hAnsi="Arial" w:cs="Arial"/>
          <w:sz w:val="28"/>
          <w:sz-cs w:val="28"/>
          <w:spacing w:val="0"/>
          <w:color w:val="141414"/>
        </w:rPr>
        <w:t xml:space="preserve">PM-AJAY GIA Mobile Van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+50%</w:t>
      </w:r>
      <w:r>
        <w:rPr>
          <w:rFonts w:ascii="Arial" w:hAnsi="Arial" w:cs="Arial"/>
          <w:sz w:val="28"/>
          <w:sz-cs w:val="28"/>
          <w:spacing w:val="0"/>
          <w:color w:val="141414"/>
        </w:rPr>
        <w:t xml:space="preserve"/>
      </w:r>
    </w:p>
    <w:p>
      <w:pPr>
        <w:spacing w:after="240"/>
      </w:pPr>
      <w:r>
        <w:rPr>
          <w:rFonts w:ascii="Arial" w:hAnsi="Arial" w:cs="Arial"/>
          <w:sz w:val="42"/>
          <w:sz-cs w:val="42"/>
          <w:b/>
          <w:spacing w:val="0"/>
          <w:color w:val="0B1F15"/>
        </w:rPr>
        <w:t xml:space="preserve">6. Geospatial Void Detection &amp; PM-AJAY GIA Funding Formula</w:t>
      </w:r>
    </w:p>
    <w:p>
      <w:pPr>
        <w:jc w:val="both"/>
        <w:spacing w:after="293"/>
      </w:pPr>
      <w:r>
        <w:rPr>
          <w:rFonts w:ascii="Arial" w:hAnsi="Arial" w:cs="Arial"/>
          <w:sz w:val="29"/>
          <w:sz-cs w:val="29"/>
          <w:spacing w:val="0"/>
          <w:color w:val="222938"/>
        </w:rPr>
        <w:t xml:space="preserve">When artisan clusters are located beyond the strict 25 km daily commute boundary (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Spatial Reachability Voids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), Hunar aggregates cluster volume and automatically generates a certified GIA Grant Project Proposal using the formula:</w:t>
      </w:r>
    </w:p>
    <w:p>
      <w:pPr/>
      <w:r>
        <w:rPr>
          <w:rFonts w:ascii="Courier New" w:hAnsi="Courier New" w:cs="Courier New"/>
          <w:sz w:val="28"/>
          <w:sz-cs w:val="28"/>
          <w:b/>
          <w:spacing w:val="0"/>
          <w:color w:val="141821"/>
        </w:rPr>
        <w:t xml:space="preserve">GIA Project Budget (₹) = (Unserved Artisans × ₹15,000) + Mobile Assessment Van Capex (₹4,00,000)</w:t>
      </w:r>
      <w:r>
        <w:rPr>
          <w:rFonts w:ascii="Courier New" w:hAnsi="Courier New" w:cs="Courier New"/>
          <w:sz w:val="28"/>
          <w:sz-cs w:val="28"/>
          <w:spacing w:val="0"/>
          <w:color w:val="141821"/>
        </w:rPr>
        <w:t xml:space="preserve"/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71441E"/>
        </w:rPr>
        <w:t xml:space="preserve">Multi-District Pilot Data Benchmarks: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Banda District (Bundelkhand, UP):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1,482 Artisans Mapped • Dominant: Agro &amp; Spice Milling (ODOP) • Spatial Voids: 2 Clusters (Mahuwa Leather, 58 km away) •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Justified GIA Budget: ₹24.5 Lakhs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Amravati District (Vidarbha, MH):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1,920 Artisans Mapped • Dominant: Cotton Ginning &amp; Citrus Cold-Chain • Spatial Voids: Melghat Tribal Cluster (64 km away) •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Justified GIA Budget: ₹31.0 Lakhs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Salem District (Tamil Nadu):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2,310 Artisans Mapped • Dominant: Sago &amp; Tapioca Food Processing • Spatial Voids: Kolli Hills Spice Cluster (48 km away) •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Justified GIA Budget: ₹18.0 Lakhs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Gaya District (Bihar):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1,680 Artisans Mapped • Dominant: Tilkut Confectionery &amp; Stone Masonry • Spatial Voids: Barabar Hills Cluster (46 km away) • </w:t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Justified GIA Budget: ₹22.0 Lakhs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.</w:t>
      </w:r>
    </w:p>
    <w:p>
      <w:pPr>
        <w:spacing w:after="240"/>
      </w:pPr>
      <w:r>
        <w:rPr>
          <w:rFonts w:ascii="Arial" w:hAnsi="Arial" w:cs="Arial"/>
          <w:sz w:val="42"/>
          <w:sz-cs w:val="42"/>
          <w:b/>
          <w:spacing w:val="0"/>
          <w:color w:val="0B1F15"/>
        </w:rPr>
        <w:t xml:space="preserve">7. Phased 12-Month National Implementation Roadmap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Phase 1 (Months 1–3) • Pilot Sandbox &amp; Dialect Tuning: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Deploy across 50 CSC centers in Banda (UP) and Amravati (MH); calibrate IndicASR acoustic models for Bundelkhandi and Varhadi dialects.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Phase 2 (Months 4–6) • GIA Mobile Van &amp; DBT Integration: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Operationalize automated mobile van route scheduling for unserved clusters; link candidate completion slips to Direct Benefit Transfer (DBT) stipends via PFMS.</w:t>
      </w:r>
    </w:p>
    <w:p>
      <w:pPr>
        <w:jc w:val="both"/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  <w:color w:val="22293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222938"/>
        </w:rPr>
        <w:t xml:space="preserve">Phase 3 (Months 7–12) • Pan-India Scaling across 100 Aspirational Districts:</w:t>
      </w:r>
      <w:r>
        <w:rPr>
          <w:rFonts w:ascii="Arial" w:hAnsi="Arial" w:cs="Arial"/>
          <w:sz w:val="29"/>
          <w:sz-cs w:val="29"/>
          <w:spacing w:val="0"/>
          <w:color w:val="222938"/>
        </w:rPr>
        <w:t xml:space="preserve"> Expand across 22 scheduled Indian languages; establish bidirectional synchronization with the official NCVET National Qualification Register API.</w:t>
      </w:r>
    </w:p>
    <w:p>
      <w:pPr>
        <w:jc w:val="center"/>
      </w:pPr>
      <w:r>
        <w:rPr>
          <w:rFonts w:ascii="Arial" w:hAnsi="Arial" w:cs="Arial"/>
          <w:sz w:val="25"/>
          <w:sz-cs w:val="25"/>
          <w:b/>
          <w:spacing w:val="0"/>
          <w:color w:val="5E6C84"/>
        </w:rPr>
        <w:t xml:space="preserve">Endorsed for:</w:t>
      </w:r>
      <w:r>
        <w:rPr>
          <w:rFonts w:ascii="Arial" w:hAnsi="Arial" w:cs="Arial"/>
          <w:sz w:val="25"/>
          <w:sz-cs w:val="25"/>
          <w:spacing w:val="0"/>
          <w:color w:val="5E6C84"/>
        </w:rPr>
        <w:t xml:space="preserve"> Ministry of Social Justice &amp; Empowerment (MoSJE) • PM-AJAY Grants-in-Aid Component</w:t>
      </w:r>
    </w:p>
    <w:p>
      <w:pPr>
        <w:jc w:val="center"/>
      </w:pPr>
      <w:r>
        <w:rPr>
          <w:rFonts w:ascii="Arial" w:hAnsi="Arial" w:cs="Arial"/>
          <w:sz w:val="25"/>
          <w:sz-cs w:val="25"/>
          <w:b/>
          <w:spacing w:val="0"/>
          <w:color w:val="5E6C84"/>
        </w:rPr>
        <w:t xml:space="preserve">Developed by:</w:t>
      </w:r>
      <w:r>
        <w:rPr>
          <w:rFonts w:ascii="Arial" w:hAnsi="Arial" w:cs="Arial"/>
          <w:sz w:val="25"/>
          <w:sz-cs w:val="25"/>
          <w:spacing w:val="0"/>
          <w:color w:val="5E6C84"/>
        </w:rPr>
        <w:t xml:space="preserve"> Hunar AI Engineering Consortium • Smart India Hackathon 2026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CocoaOOXMLWriter/2685.2</generator>
</meta>
</file>