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Neue" w:hAnsi="Helvetica Neue" w:cs="Helvetica Neue"/>
          <w:sz w:val="29"/>
          <w:sz-cs w:val="29"/>
          <w:spacing w:val="0"/>
          <w:color w:val="71441E"/>
        </w:rPr>
        <w:t xml:space="preserve">GOVERNMENT OF INDIA • MINISTRY OF SOCIAL JUSTICE &amp; EMPOWERMENT</w:t>
      </w:r>
    </w:p>
    <w:p>
      <w:pPr/>
      <w:r>
        <w:rPr>
          <w:rFonts w:ascii="Helvetica Neue" w:hAnsi="Helvetica Neue" w:cs="Helvetica Neue"/>
          <w:sz w:val="29"/>
          <w:sz-cs w:val="29"/>
          <w:spacing w:val="0"/>
          <w:color w:val="222938"/>
        </w:rPr>
        <w:t xml:space="preserve">Pradhan Mantri Anusuchit Jaati Abhyuday Yojana (PM-AJAY) • Grants-in-Aid (GIA) Component</w:t>
      </w:r>
    </w:p>
    <w:p>
      <w:pPr/>
      <w:r>
        <w:rPr>
          <w:rFonts w:ascii="Helvetica Neue" w:hAnsi="Helvetica Neue" w:cs="Helvetica Neue"/>
          <w:sz w:val="26"/>
          <w:sz-cs w:val="26"/>
          <w:spacing w:val="0"/>
          <w:color w:val="5E6C84"/>
        </w:rPr>
        <w:t xml:space="preserve">Smart India Hackathon 2026 • Problem Statement ID: 26097</w:t>
      </w:r>
    </w:p>
    <w:p>
      <w:pPr>
        <w:spacing w:after="200"/>
      </w:pPr>
      <w:r>
        <w:rPr>
          <w:rFonts w:ascii="Helvetica Neue" w:hAnsi="Helvetica Neue" w:cs="Helvetica Neue"/>
          <w:sz w:val="64"/>
          <w:sz-cs w:val="64"/>
          <w:spacing w:val="0"/>
          <w:color w:val="0B1F15"/>
        </w:rPr>
        <w:t xml:space="preserve">PROJECT HUNAR </w:t>
      </w:r>
      <w:r>
        <w:rPr>
          <w:rFonts w:ascii="Helvetica Neue" w:hAnsi="Helvetica Neue" w:cs="Helvetica Neue"/>
          <w:sz w:val="57"/>
          <w:sz-cs w:val="57"/>
          <w:spacing w:val="0"/>
          <w:color w:val="0B1F15"/>
        </w:rPr>
        <w:t xml:space="preserve">(हुनर)</w:t>
      </w:r>
      <w:r>
        <w:rPr>
          <w:rFonts w:ascii="Helvetica Neue" w:hAnsi="Helvetica Neue" w:cs="Helvetica Neue"/>
          <w:sz w:val="64"/>
          <w:sz-cs w:val="64"/>
          <w:spacing w:val="0"/>
          <w:color w:val="0B1F15"/>
        </w:rPr>
        <w:t xml:space="preserve"/>
      </w:r>
    </w:p>
    <w:p>
      <w:pPr/>
      <w:r>
        <w:rPr>
          <w:rFonts w:ascii="Helvetica Neue" w:hAnsi="Helvetica Neue" w:cs="Helvetica Neue"/>
          <w:sz w:val="34"/>
          <w:sz-cs w:val="34"/>
          <w:spacing w:val="0"/>
          <w:color w:val="3A4355"/>
        </w:rPr>
        <w:t xml:space="preserve">Autonomous Voice-Driven Rural RPL Certification &amp; Spatial GIA Livelihood Mapping Engine</w:t>
      </w:r>
    </w:p>
    <w:p>
      <w:pPr/>
      <w:r>
        <w:rPr>
          <w:rFonts w:ascii="Helvetica Neue" w:hAnsi="Helvetica Neue" w:cs="Helvetica Neue"/>
          <w:sz w:val="26"/>
          <w:sz-cs w:val="26"/>
          <w:spacing w:val="0"/>
          <w:color w:val="222938"/>
        </w:rPr>
        <w:t xml:space="preserve">Document Classification: Official Architectural Blueprint &amp; Policy Whitepaper  |  Focus Domain: Rural Livelihoods, NCVET NQR Alignment &amp; GIA Allocation</w:t>
      </w:r>
    </w:p>
    <w:p>
      <w:pPr>
        <w:spacing w:after="240"/>
      </w:pPr>
      <w:r>
        <w:rPr>
          <w:rFonts w:ascii="Helvetica Neue" w:hAnsi="Helvetica Neue" w:cs="Helvetica Neue"/>
          <w:sz w:val="42"/>
          <w:sz-cs w:val="42"/>
          <w:spacing w:val="0"/>
          <w:color w:val="0B1F15"/>
        </w:rPr>
        <w:t xml:space="preserve">1. Problem Statement &amp; Root-Cause Diagnosis</w:t>
      </w:r>
    </w:p>
    <w:p>
      <w:pPr>
        <w:jc w:val="both"/>
        <w:spacing w:after="293"/>
      </w:pPr>
      <w:r>
        <w:rPr>
          <w:rFonts w:ascii="Helvetica Neue" w:hAnsi="Helvetica Neue" w:cs="Helvetica Neue"/>
          <w:sz w:val="29"/>
          <w:sz-cs w:val="29"/>
          <w:spacing w:val="0"/>
          <w:color w:val="222938"/>
        </w:rPr>
        <w:t xml:space="preserve">Across rural India, an estimated 150 million informal workers and rural artisans possess between 5 to 15+ years of practical vocational mastery in critical trades—including agro-processing, pulse and spice milling, solar pump servicing, micro-irrigation maintenance, rural masonry, and traditional handicrafts. However, over 92% of these workers hold zero formal certification recognized by the National Council for Vocational Education and Training (NCVET).</w:t>
      </w:r>
    </w:p>
    <w:p>
      <w:pPr/>
      <w:r>
        <w:rPr>
          <w:rFonts w:ascii="Helvetica Neue" w:hAnsi="Helvetica Neue" w:cs="Helvetica Neue"/>
          <w:sz w:val="24"/>
          <w:sz-cs w:val="24"/>
          <w:spacing w:val="0"/>
          <w:color w:val="141414"/>
        </w:rPr>
        <w:t xml:space="preserve">The Rural Certification Paradox: Conventional government skilling schemes demand long-term (3 to 6-month) classroom attendance at urban ITIs. For a rural daily-wage earner, attending these courses causes an immediate forfeiture of daily wages (₹400–₹600/day). Consequently, course dropout rates exceed 70%, and central PM-AJAY GIA skilling allocations frequently lapse unspent due to poor geographic targeting.</w:t>
      </w:r>
    </w:p>
    <w:p>
      <w:pPr>
        <w:spacing w:after="160"/>
      </w:pPr>
      <w:r>
        <w:rPr>
          <w:rFonts w:ascii="Helvetica Neue" w:hAnsi="Helvetica Neue" w:cs="Helvetica Neue"/>
          <w:sz w:val="34"/>
          <w:sz-cs w:val="34"/>
          <w:spacing w:val="0"/>
          <w:color w:val="71441E"/>
        </w:rPr>
        <w:t xml:space="preserve">Key Structural Deficiencies in Existing Systems:</w:t>
      </w:r>
    </w:p>
    <w:p>
      <w:pPr>
        <w:jc w:val="both"/>
        <w:ind w:left="720" w:first-line="-720"/>
        <w:spacing w:after="120"/>
      </w:pPr>
      <w:r>
        <w:rPr>
          <w:rFonts w:ascii="Helvetica Neue" w:hAnsi="Helvetica Neue" w:cs="Helvetica Neue"/>
          <w:sz w:val="29"/>
          <w:sz-cs w:val="29"/>
          <w:color w:val="222938"/>
        </w:rPr>
        <w:t xml:space="preserve"/>
        <w:tab/>
        <w:t xml:space="preserve">•</w:t>
        <w:tab/>
        <w:t xml:space="preserve"/>
      </w:r>
      <w:r>
        <w:rPr>
          <w:rFonts w:ascii="Helvetica Neue" w:hAnsi="Helvetica Neue" w:cs="Helvetica Neue"/>
          <w:sz w:val="29"/>
          <w:sz-cs w:val="29"/>
          <w:spacing w:val="0"/>
          <w:color w:val="222938"/>
        </w:rPr>
        <w:t xml:space="preserve">Complex Text-Heavy Portals: Existing portals require high digital and textual literacy, excluding unlettered rural artisans.</w:t>
      </w:r>
    </w:p>
    <w:p>
      <w:pPr>
        <w:jc w:val="both"/>
        <w:ind w:left="720" w:first-line="-720"/>
        <w:spacing w:after="120"/>
      </w:pPr>
      <w:r>
        <w:rPr>
          <w:rFonts w:ascii="Helvetica Neue" w:hAnsi="Helvetica Neue" w:cs="Helvetica Neue"/>
          <w:sz w:val="29"/>
          <w:sz-cs w:val="29"/>
          <w:color w:val="222938"/>
        </w:rPr>
        <w:t xml:space="preserve"/>
        <w:tab/>
        <w:t xml:space="preserve">•</w:t>
        <w:tab/>
        <w:t xml:space="preserve"/>
      </w:r>
      <w:r>
        <w:rPr>
          <w:rFonts w:ascii="Helvetica Neue" w:hAnsi="Helvetica Neue" w:cs="Helvetica Neue"/>
          <w:sz w:val="29"/>
          <w:sz-cs w:val="29"/>
          <w:spacing w:val="0"/>
          <w:color w:val="222938"/>
        </w:rPr>
        <w:t xml:space="preserve">Absence of Commute-Aware Routing: Beneficiaries are frequently allotted centers 40–80 km away without lodging support, rendering assessment physically unfeasible.</w:t>
      </w:r>
    </w:p>
    <w:p>
      <w:pPr>
        <w:jc w:val="both"/>
        <w:ind w:left="720" w:first-line="-720"/>
        <w:spacing w:after="120"/>
      </w:pPr>
      <w:r>
        <w:rPr>
          <w:rFonts w:ascii="Helvetica Neue" w:hAnsi="Helvetica Neue" w:cs="Helvetica Neue"/>
          <w:sz w:val="29"/>
          <w:sz-cs w:val="29"/>
          <w:color w:val="222938"/>
        </w:rPr>
        <w:t xml:space="preserve"/>
        <w:tab/>
        <w:t xml:space="preserve">•</w:t>
        <w:tab/>
        <w:t xml:space="preserve"/>
      </w:r>
      <w:r>
        <w:rPr>
          <w:rFonts w:ascii="Helvetica Neue" w:hAnsi="Helvetica Neue" w:cs="Helvetica Neue"/>
          <w:sz w:val="29"/>
          <w:sz-cs w:val="29"/>
          <w:spacing w:val="0"/>
          <w:color w:val="222938"/>
        </w:rPr>
        <w:t xml:space="preserve">Blind Institutional Budgeting: District administrators lack granular geospatial data indicating which specific panchayats contain dense clusters of uncertified artisans to justify targeted GIA Mobile Vans or cluster labs.</w:t>
      </w:r>
    </w:p>
    <w:p>
      <w:pPr>
        <w:spacing w:after="240"/>
      </w:pPr>
      <w:r>
        <w:rPr>
          <w:rFonts w:ascii="Helvetica Neue" w:hAnsi="Helvetica Neue" w:cs="Helvetica Neue"/>
          <w:sz w:val="42"/>
          <w:sz-cs w:val="42"/>
          <w:spacing w:val="0"/>
          <w:color w:val="0B1F15"/>
        </w:rPr>
        <w:t xml:space="preserve">2. Technical &amp; Operational Feasibility (Usage Feasibility)</w:t>
      </w:r>
    </w:p>
    <w:p>
      <w:pPr>
        <w:jc w:val="both"/>
        <w:spacing w:after="293"/>
      </w:pPr>
      <w:r>
        <w:rPr>
          <w:rFonts w:ascii="Helvetica Neue" w:hAnsi="Helvetica Neue" w:cs="Helvetica Neue"/>
          <w:sz w:val="29"/>
          <w:sz-cs w:val="29"/>
          <w:spacing w:val="0"/>
          <w:color w:val="222938"/>
        </w:rPr>
        <w:t xml:space="preserve">The operational feasibility of Hunar is anchored entirely on frictionless, zero-literacy beneficiary intake and seamless compatibility with India's grassroots administrative infrastructure.</w:t>
      </w:r>
    </w:p>
    <w:p>
      <w:pPr>
        <w:spacing w:after="160"/>
      </w:pPr>
      <w:r>
        <w:rPr>
          <w:rFonts w:ascii="Helvetica Neue" w:hAnsi="Helvetica Neue" w:cs="Helvetica Neue"/>
          <w:sz w:val="34"/>
          <w:sz-cs w:val="34"/>
          <w:spacing w:val="0"/>
          <w:color w:val="71441E"/>
        </w:rPr>
        <w:t xml:space="preserve">A. End-User (Artisan) Usage Feasibility:</w:t>
      </w:r>
    </w:p>
    <w:p>
      <w:pPr>
        <w:jc w:val="both"/>
        <w:ind w:left="720" w:first-line="-720"/>
        <w:spacing w:after="120"/>
      </w:pPr>
      <w:r>
        <w:rPr>
          <w:rFonts w:ascii="Helvetica Neue" w:hAnsi="Helvetica Neue" w:cs="Helvetica Neue"/>
          <w:sz w:val="29"/>
          <w:sz-cs w:val="29"/>
          <w:color w:val="222938"/>
        </w:rPr>
        <w:t xml:space="preserve"/>
        <w:tab/>
        <w:t xml:space="preserve">•</w:t>
        <w:tab/>
        <w:t xml:space="preserve"/>
      </w:r>
      <w:r>
        <w:rPr>
          <w:rFonts w:ascii="Helvetica Neue" w:hAnsi="Helvetica Neue" w:cs="Helvetica Neue"/>
          <w:sz w:val="29"/>
          <w:sz-cs w:val="29"/>
          <w:spacing w:val="0"/>
          <w:color w:val="222938"/>
        </w:rPr>
        <w:t xml:space="preserve">100% Natural Voice Ingestion: Artisans do not fill out forms or navigate nested menus. They simply tap a microphone button at their local Common Service Center (CSC) or on a Gram Panchayat tablet and describe their daily work in their native dialect (Bundelkhandi, Bhojpuri, Marathi, Chhattisgarhi, Tamil, etc.).</w:t>
      </w:r>
    </w:p>
    <w:p>
      <w:pPr>
        <w:jc w:val="both"/>
        <w:ind w:left="720" w:first-line="-720"/>
        <w:spacing w:after="120"/>
      </w:pPr>
      <w:r>
        <w:rPr>
          <w:rFonts w:ascii="Helvetica Neue" w:hAnsi="Helvetica Neue" w:cs="Helvetica Neue"/>
          <w:sz w:val="29"/>
          <w:sz-cs w:val="29"/>
          <w:color w:val="222938"/>
        </w:rPr>
        <w:t xml:space="preserve"/>
        <w:tab/>
        <w:t xml:space="preserve">•</w:t>
        <w:tab/>
        <w:t xml:space="preserve"/>
      </w:r>
      <w:r>
        <w:rPr>
          <w:rFonts w:ascii="Helvetica Neue" w:hAnsi="Helvetica Neue" w:cs="Helvetica Neue"/>
          <w:sz w:val="29"/>
          <w:sz-cs w:val="29"/>
          <w:spacing w:val="0"/>
          <w:color w:val="222938"/>
        </w:rPr>
        <w:t xml:space="preserve">Zero Dialect Penalties: Powered by open Indic speech models (AI4Bharat IndicASR), colloquial rural terms (e.g., "dal mill chalana", "solar motor ka pipe jodna", "chakki repairing") are accurately transcribed and normalized into technical competency tokens.</w:t>
      </w:r>
    </w:p>
    <w:p>
      <w:pPr>
        <w:jc w:val="both"/>
        <w:ind w:left="720" w:first-line="-720"/>
        <w:spacing w:after="120"/>
      </w:pPr>
      <w:r>
        <w:rPr>
          <w:rFonts w:ascii="Helvetica Neue" w:hAnsi="Helvetica Neue" w:cs="Helvetica Neue"/>
          <w:sz w:val="29"/>
          <w:sz-cs w:val="29"/>
          <w:color w:val="222938"/>
        </w:rPr>
        <w:t xml:space="preserve"/>
        <w:tab/>
        <w:t xml:space="preserve">•</w:t>
        <w:tab/>
        <w:t xml:space="preserve"/>
      </w:r>
      <w:r>
        <w:rPr>
          <w:rFonts w:ascii="Helvetica Neue" w:hAnsi="Helvetica Neue" w:cs="Helvetica Neue"/>
          <w:sz w:val="29"/>
          <w:sz-cs w:val="29"/>
          <w:spacing w:val="0"/>
          <w:color w:val="222938"/>
        </w:rPr>
        <w:t xml:space="preserve">Instant 1-Click Tangible Output: In under 2 seconds, the system issues a color-coded Beneficiary Action Slip in regional script detailing their eligible NQR Level, verified experience, nearest test center, and next assessment date.</w:t>
      </w:r>
    </w:p>
    <w:p>
      <w:pPr>
        <w:spacing w:after="160"/>
      </w:pPr>
      <w:r>
        <w:rPr>
          <w:rFonts w:ascii="Helvetica Neue" w:hAnsi="Helvetica Neue" w:cs="Helvetica Neue"/>
          <w:sz w:val="34"/>
          <w:sz-cs w:val="34"/>
          <w:spacing w:val="0"/>
          <w:color w:val="71441E"/>
        </w:rPr>
        <w:t xml:space="preserve">B. Institutional &amp; Hardware Feasibility:</w:t>
      </w:r>
    </w:p>
    <w:p>
      <w:pPr>
        <w:jc w:val="both"/>
        <w:ind w:left="720" w:first-line="-720"/>
        <w:spacing w:after="120"/>
      </w:pPr>
      <w:r>
        <w:rPr>
          <w:rFonts w:ascii="Helvetica Neue" w:hAnsi="Helvetica Neue" w:cs="Helvetica Neue"/>
          <w:sz w:val="29"/>
          <w:sz-cs w:val="29"/>
          <w:color w:val="222938"/>
        </w:rPr>
        <w:t xml:space="preserve"/>
        <w:tab/>
        <w:t xml:space="preserve">•</w:t>
        <w:tab/>
        <w:t xml:space="preserve"/>
      </w:r>
      <w:r>
        <w:rPr>
          <w:rFonts w:ascii="Helvetica Neue" w:hAnsi="Helvetica Neue" w:cs="Helvetica Neue"/>
          <w:sz w:val="29"/>
          <w:sz-cs w:val="29"/>
          <w:spacing w:val="0"/>
          <w:color w:val="222938"/>
        </w:rPr>
        <w:t xml:space="preserve">Deployment over Existing CSC Infrastructure: Runs on low-cost browsers and existing Village Level Entrepreneur (VLE) hardware without requiring specialized biometric scanners or high-end GPUs.</w:t>
      </w:r>
    </w:p>
    <w:p>
      <w:pPr>
        <w:jc w:val="both"/>
        <w:ind w:left="720" w:first-line="-720"/>
        <w:spacing w:after="120"/>
      </w:pPr>
      <w:r>
        <w:rPr>
          <w:rFonts w:ascii="Helvetica Neue" w:hAnsi="Helvetica Neue" w:cs="Helvetica Neue"/>
          <w:sz w:val="29"/>
          <w:sz-cs w:val="29"/>
          <w:color w:val="222938"/>
        </w:rPr>
        <w:t xml:space="preserve"/>
        <w:tab/>
        <w:t xml:space="preserve">•</w:t>
        <w:tab/>
        <w:t xml:space="preserve"/>
      </w:r>
      <w:r>
        <w:rPr>
          <w:rFonts w:ascii="Helvetica Neue" w:hAnsi="Helvetica Neue" w:cs="Helvetica Neue"/>
          <w:sz w:val="29"/>
          <w:sz-cs w:val="29"/>
          <w:spacing w:val="0"/>
          <w:color w:val="222938"/>
        </w:rPr>
        <w:t xml:space="preserve">Offline-First Edge Architecture: Can be bundled as a lightweight Progressive Web App (PWA) with local regex and SQLite NQR databases for low-bandwidth rural panchayats.</w:t>
      </w:r>
    </w:p>
    <w:p>
      <w:pPr>
        <w:jc w:val="both"/>
        <w:ind w:left="720" w:first-line="-720"/>
        <w:spacing w:after="120"/>
      </w:pPr>
      <w:r>
        <w:rPr>
          <w:rFonts w:ascii="Helvetica Neue" w:hAnsi="Helvetica Neue" w:cs="Helvetica Neue"/>
          <w:sz w:val="29"/>
          <w:sz-cs w:val="29"/>
          <w:color w:val="222938"/>
        </w:rPr>
        <w:t xml:space="preserve"/>
        <w:tab/>
        <w:t xml:space="preserve">•</w:t>
        <w:tab/>
        <w:t xml:space="preserve"/>
      </w:r>
      <w:r>
        <w:rPr>
          <w:rFonts w:ascii="Helvetica Neue" w:hAnsi="Helvetica Neue" w:cs="Helvetica Neue"/>
          <w:sz w:val="29"/>
          <w:sz-cs w:val="29"/>
          <w:spacing w:val="0"/>
          <w:color w:val="222938"/>
        </w:rPr>
        <w:t xml:space="preserve">Zero Recurring API Fees: Built strictly on self-hosted open-source NLP and GIS routing pipelines, eliminating per-call commercial LLM paywalls.</w:t>
      </w:r>
    </w:p>
    <w:p>
      <w:pPr>
        <w:spacing w:after="240"/>
      </w:pPr>
      <w:r>
        <w:rPr>
          <w:rFonts w:ascii="Helvetica Neue" w:hAnsi="Helvetica Neue" w:cs="Helvetica Neue"/>
          <w:sz w:val="42"/>
          <w:sz-cs w:val="42"/>
          <w:spacing w:val="0"/>
          <w:color w:val="0B1F15"/>
        </w:rPr>
        <w:t xml:space="preserve">3. Financial &amp; Economic Viability (Economic &amp; Scale Viability)</w:t>
      </w:r>
    </w:p>
    <w:p>
      <w:pPr>
        <w:jc w:val="both"/>
        <w:spacing w:after="293"/>
      </w:pPr>
      <w:r>
        <w:rPr>
          <w:rFonts w:ascii="Helvetica Neue" w:hAnsi="Helvetica Neue" w:cs="Helvetica Neue"/>
          <w:sz w:val="29"/>
          <w:sz-cs w:val="29"/>
          <w:spacing w:val="0"/>
          <w:color w:val="222938"/>
        </w:rPr>
        <w:t xml:space="preserve">Hunar introduces unprecedented cost efficiencies for both individual beneficiaries and district-level welfare administration under the PM-AJAY Grants-in-Aid scheme.</w:t>
      </w:r>
    </w:p>
    <w:p>
      <w:pPr>
        <w:spacing w:after="160"/>
      </w:pPr>
      <w:r>
        <w:rPr>
          <w:rFonts w:ascii="Helvetica Neue" w:hAnsi="Helvetica Neue" w:cs="Helvetica Neue"/>
          <w:sz w:val="34"/>
          <w:sz-cs w:val="34"/>
          <w:spacing w:val="0"/>
          <w:color w:val="71441E"/>
        </w:rPr>
        <w:t xml:space="preserve">A. Beneficiary Economic Viability (Wage Protection):</w:t>
      </w:r>
    </w:p>
    <w:p>
      <w:pPr>
        <w:jc w:val="both"/>
        <w:ind w:left="720" w:first-line="-720"/>
        <w:spacing w:after="120"/>
      </w:pPr>
      <w:r>
        <w:rPr>
          <w:rFonts w:ascii="Helvetica Neue" w:hAnsi="Helvetica Neue" w:cs="Helvetica Neue"/>
          <w:sz w:val="29"/>
          <w:sz-cs w:val="29"/>
          <w:color w:val="222938"/>
        </w:rPr>
        <w:t xml:space="preserve"/>
        <w:tab/>
        <w:t xml:space="preserve">•</w:t>
        <w:tab/>
        <w:t xml:space="preserve"/>
      </w:r>
      <w:r>
        <w:rPr>
          <w:rFonts w:ascii="Helvetica Neue" w:hAnsi="Helvetica Neue" w:cs="Helvetica Neue"/>
          <w:sz w:val="29"/>
          <w:sz-cs w:val="29"/>
          <w:spacing w:val="0"/>
          <w:color w:val="222938"/>
        </w:rPr>
        <w:t xml:space="preserve">Recognition of Prior Learning (RPL) in 12–16 Hours: Instead of losing 180 days of wages in a standard 6-month ITI program, experienced artisans undergo rapid 2-day modular assessment, preserving over ₹36,000 in saved daily wages during training.</w:t>
      </w:r>
    </w:p>
    <w:p>
      <w:pPr>
        <w:jc w:val="both"/>
        <w:ind w:left="720" w:first-line="-720"/>
        <w:spacing w:after="120"/>
      </w:pPr>
      <w:r>
        <w:rPr>
          <w:rFonts w:ascii="Helvetica Neue" w:hAnsi="Helvetica Neue" w:cs="Helvetica Neue"/>
          <w:sz w:val="29"/>
          <w:sz-cs w:val="29"/>
          <w:color w:val="222938"/>
        </w:rPr>
        <w:t xml:space="preserve"/>
        <w:tab/>
        <w:t xml:space="preserve">•</w:t>
        <w:tab/>
        <w:t xml:space="preserve"/>
      </w:r>
      <w:r>
        <w:rPr>
          <w:rFonts w:ascii="Helvetica Neue" w:hAnsi="Helvetica Neue" w:cs="Helvetica Neue"/>
          <w:sz w:val="29"/>
          <w:sz-cs w:val="29"/>
          <w:spacing w:val="0"/>
          <w:color w:val="222938"/>
        </w:rPr>
        <w:t xml:space="preserve">Strict ≤ 25 km Commute Constraint: Assessment centers are strictly filtered within a 25 km one-day return radius, eliminating boarding and lodging expenses.</w:t>
      </w:r>
    </w:p>
    <w:p>
      <w:pPr>
        <w:jc w:val="both"/>
        <w:ind w:left="720" w:first-line="-720"/>
        <w:spacing w:after="120"/>
      </w:pPr>
      <w:r>
        <w:rPr>
          <w:rFonts w:ascii="Helvetica Neue" w:hAnsi="Helvetica Neue" w:cs="Helvetica Neue"/>
          <w:sz w:val="29"/>
          <w:sz-cs w:val="29"/>
          <w:color w:val="222938"/>
        </w:rPr>
        <w:t xml:space="preserve"/>
        <w:tab/>
        <w:t xml:space="preserve">•</w:t>
        <w:tab/>
        <w:t xml:space="preserve"/>
      </w:r>
      <w:r>
        <w:rPr>
          <w:rFonts w:ascii="Helvetica Neue" w:hAnsi="Helvetica Neue" w:cs="Helvetica Neue"/>
          <w:sz w:val="29"/>
          <w:sz-cs w:val="29"/>
          <w:spacing w:val="0"/>
          <w:color w:val="222938"/>
        </w:rPr>
        <w:t xml:space="preserve">Immediate Earning Uplift: NCVET RPL Level 3/4 certification unlocks direct wage escalation (+35% to +55%), formal bank credit eligibility (Mudra / Stand-Up India), and institutional supplier procurement under One District One Product (ODOP).</w:t>
      </w:r>
    </w:p>
    <w:p>
      <w:pPr>
        <w:spacing w:after="160"/>
      </w:pPr>
      <w:r>
        <w:rPr>
          <w:rFonts w:ascii="Helvetica Neue" w:hAnsi="Helvetica Neue" w:cs="Helvetica Neue"/>
          <w:sz w:val="34"/>
          <w:sz-cs w:val="34"/>
          <w:spacing w:val="0"/>
          <w:color w:val="71441E"/>
        </w:rPr>
        <w:t xml:space="preserve">B. Government GIA Grant Optimization Viability:</w:t>
      </w:r>
    </w:p>
    <w:p>
      <w:pPr>
        <w:jc w:val="both"/>
        <w:ind w:left="720" w:first-line="-720"/>
        <w:spacing w:after="120"/>
      </w:pPr>
      <w:r>
        <w:rPr>
          <w:rFonts w:ascii="Helvetica Neue" w:hAnsi="Helvetica Neue" w:cs="Helvetica Neue"/>
          <w:sz w:val="29"/>
          <w:sz-cs w:val="29"/>
          <w:color w:val="222938"/>
        </w:rPr>
        <w:t xml:space="preserve"/>
        <w:tab/>
        <w:t xml:space="preserve">•</w:t>
        <w:tab/>
        <w:t xml:space="preserve"/>
      </w:r>
      <w:r>
        <w:rPr>
          <w:rFonts w:ascii="Helvetica Neue" w:hAnsi="Helvetica Neue" w:cs="Helvetica Neue"/>
          <w:sz w:val="29"/>
          <w:sz-cs w:val="29"/>
          <w:spacing w:val="0"/>
          <w:color w:val="222938"/>
        </w:rPr>
        <w:t xml:space="preserve">Elimination of Ineffective CapEx: Prevents the wasteful construction of under-utilized brick-and-mortar ITI centers in sparse regions.</w:t>
      </w:r>
    </w:p>
    <w:p>
      <w:pPr>
        <w:jc w:val="both"/>
        <w:ind w:left="720" w:first-line="-720"/>
        <w:spacing w:after="120"/>
      </w:pPr>
      <w:r>
        <w:rPr>
          <w:rFonts w:ascii="Helvetica Neue" w:hAnsi="Helvetica Neue" w:cs="Helvetica Neue"/>
          <w:sz w:val="29"/>
          <w:sz-cs w:val="29"/>
          <w:color w:val="222938"/>
        </w:rPr>
        <w:t xml:space="preserve"/>
        <w:tab/>
        <w:t xml:space="preserve">•</w:t>
        <w:tab/>
        <w:t xml:space="preserve"/>
      </w:r>
      <w:r>
        <w:rPr>
          <w:rFonts w:ascii="Helvetica Neue" w:hAnsi="Helvetica Neue" w:cs="Helvetica Neue"/>
          <w:sz w:val="29"/>
          <w:sz-cs w:val="29"/>
          <w:spacing w:val="0"/>
          <w:color w:val="222938"/>
        </w:rPr>
        <w:t xml:space="preserve">Data-Driven GIA Mobile Van Deployment: Aggregates isolated artisan clusters located &gt; 25 km from permanent centers and automatically calculates precise GIA grant proposals to fund mobile assessment tool vans.</w:t>
      </w:r>
    </w:p>
    <w:p>
      <w:pPr>
        <w:jc w:val="both"/>
        <w:ind w:left="720" w:first-line="-720"/>
        <w:spacing w:after="120"/>
      </w:pPr>
      <w:r>
        <w:rPr>
          <w:rFonts w:ascii="Helvetica Neue" w:hAnsi="Helvetica Neue" w:cs="Helvetica Neue"/>
          <w:sz w:val="29"/>
          <w:sz-cs w:val="29"/>
          <w:color w:val="222938"/>
        </w:rPr>
        <w:t xml:space="preserve"/>
        <w:tab/>
        <w:t xml:space="preserve">•</w:t>
        <w:tab/>
        <w:t xml:space="preserve"/>
      </w:r>
      <w:r>
        <w:rPr>
          <w:rFonts w:ascii="Helvetica Neue" w:hAnsi="Helvetica Neue" w:cs="Helvetica Neue"/>
          <w:sz w:val="29"/>
          <w:sz-cs w:val="29"/>
          <w:spacing w:val="0"/>
          <w:color w:val="222938"/>
        </w:rPr>
        <w:t xml:space="preserve">High Benefit-to-Cost Ratio: At an estimated deployment cost of &lt; ₹12 per beneficiary intake, Hunar delivers an estimated 48x socio-economic return on investment (S-ROI) over a 3-year horizon.</w:t>
      </w:r>
    </w:p>
    <w:p>
      <w:pPr>
        <w:spacing w:after="240"/>
      </w:pPr>
      <w:r>
        <w:rPr>
          <w:rFonts w:ascii="Helvetica Neue" w:hAnsi="Helvetica Neue" w:cs="Helvetica Neue"/>
          <w:sz w:val="42"/>
          <w:sz-cs w:val="42"/>
          <w:spacing w:val="0"/>
          <w:color w:val="0B1F15"/>
        </w:rPr>
        <w:t xml:space="preserve">4. 5-Stage Technical Architecture Pipeline</w:t>
      </w:r>
    </w:p>
    <w:p>
      <w:pPr/>
      <w:r>
        <w:rPr>
          <w:rFonts w:ascii="Helvetica Neue" w:hAnsi="Helvetica Neue" w:cs="Helvetica Neue"/>
          <w:sz w:val="24"/>
          <w:sz-cs w:val="24"/>
          <w:spacing w:val="0"/>
          <w:color w:val="141414"/>
        </w:rPr>
        <w:t xml:space="preserve">Deterministic &amp; Zero-Hallucination Pipeline: Hunar enforces an absolute separation between the natural language comprehension layer and the qualification assignment layer. No generative AI model creates or hallucinates qualification standards.</w:t>
      </w:r>
    </w:p>
    <w:p>
      <w:pPr>
        <w:jc w:val="both"/>
        <w:ind w:left="720" w:first-line="-720"/>
        <w:spacing w:after="120"/>
      </w:pPr>
      <w:r>
        <w:rPr>
          <w:rFonts w:ascii="Helvetica Neue" w:hAnsi="Helvetica Neue" w:cs="Helvetica Neue"/>
          <w:sz w:val="29"/>
          <w:sz-cs w:val="29"/>
          <w:color w:val="222938"/>
        </w:rPr>
        <w:t xml:space="preserve"/>
        <w:tab/>
        <w:t xml:space="preserve">1</w:t>
        <w:tab/>
        <w:t xml:space="preserve"/>
      </w:r>
      <w:r>
        <w:rPr>
          <w:rFonts w:ascii="Helvetica Neue" w:hAnsi="Helvetica Neue" w:cs="Helvetica Neue"/>
          <w:sz w:val="29"/>
          <w:sz-cs w:val="29"/>
          <w:spacing w:val="0"/>
          <w:color w:val="222938"/>
        </w:rPr>
        <w:t xml:space="preserve">Acoustic Voice Ingestion Layer: Captures raw microphone audio at 16kHz via Web Audio API. Transcribed via IndicASR multilingual models.</w:t>
      </w:r>
    </w:p>
    <w:p>
      <w:pPr>
        <w:jc w:val="both"/>
        <w:ind w:left="720" w:first-line="-720"/>
        <w:spacing w:after="120"/>
      </w:pPr>
      <w:r>
        <w:rPr>
          <w:rFonts w:ascii="Helvetica Neue" w:hAnsi="Helvetica Neue" w:cs="Helvetica Neue"/>
          <w:sz w:val="29"/>
          <w:sz-cs w:val="29"/>
          <w:color w:val="222938"/>
        </w:rPr>
        <w:t xml:space="preserve"/>
        <w:tab/>
        <w:t xml:space="preserve">2</w:t>
        <w:tab/>
        <w:t xml:space="preserve"/>
      </w:r>
      <w:r>
        <w:rPr>
          <w:rFonts w:ascii="Helvetica Neue" w:hAnsi="Helvetica Neue" w:cs="Helvetica Neue"/>
          <w:sz w:val="29"/>
          <w:sz-cs w:val="29"/>
          <w:spacing w:val="0"/>
          <w:color w:val="222938"/>
        </w:rPr>
        <w:t xml:space="preserve">Entity &amp; Experience Extraction Engine: Tokenizes years of active practice (e.g., "7 saal se chala raha hoon" → </w:t>
      </w:r>
      <w:r>
        <w:rPr>
          <w:rFonts w:ascii="Menlo" w:hAnsi="Menlo" w:cs="Menlo"/>
          <w:sz w:val="29"/>
          <w:sz-cs w:val="29"/>
          <w:spacing w:val="0"/>
          <w:color w:val="222938"/>
        </w:rPr>
        <w:t xml:space="preserve">exp_years: 7</w:t>
      </w:r>
      <w:r>
        <w:rPr>
          <w:rFonts w:ascii="Helvetica Neue" w:hAnsi="Helvetica Neue" w:cs="Helvetica Neue"/>
          <w:sz w:val="29"/>
          <w:sz-cs w:val="29"/>
          <w:spacing w:val="0"/>
          <w:color w:val="222938"/>
        </w:rPr>
        <w:t xml:space="preserve">), operational tools, and raw materials.</w:t>
      </w:r>
    </w:p>
    <w:p>
      <w:pPr>
        <w:jc w:val="both"/>
        <w:ind w:left="720" w:first-line="-720"/>
        <w:spacing w:after="120"/>
      </w:pPr>
      <w:r>
        <w:rPr>
          <w:rFonts w:ascii="Helvetica Neue" w:hAnsi="Helvetica Neue" w:cs="Helvetica Neue"/>
          <w:sz w:val="29"/>
          <w:sz-cs w:val="29"/>
          <w:color w:val="222938"/>
        </w:rPr>
        <w:t xml:space="preserve"/>
        <w:tab/>
        <w:t xml:space="preserve">3</w:t>
        <w:tab/>
        <w:t xml:space="preserve"/>
      </w:r>
      <w:r>
        <w:rPr>
          <w:rFonts w:ascii="Helvetica Neue" w:hAnsi="Helvetica Neue" w:cs="Helvetica Neue"/>
          <w:sz w:val="29"/>
          <w:sz-cs w:val="29"/>
          <w:spacing w:val="0"/>
          <w:color w:val="222938"/>
        </w:rPr>
        <w:t xml:space="preserve">NCVET NQR Deterministic Matcher: Executes multi-keyword TF-IDF vector matching against official Qualification Packs (QPs) and National Occupational Standards (NOS).</w:t>
      </w:r>
    </w:p>
    <w:p>
      <w:pPr>
        <w:jc w:val="both"/>
        <w:ind w:left="720" w:first-line="-720"/>
        <w:spacing w:after="120"/>
      </w:pPr>
      <w:r>
        <w:rPr>
          <w:rFonts w:ascii="Helvetica Neue" w:hAnsi="Helvetica Neue" w:cs="Helvetica Neue"/>
          <w:sz w:val="29"/>
          <w:sz-cs w:val="29"/>
          <w:color w:val="222938"/>
        </w:rPr>
        <w:t xml:space="preserve"/>
        <w:tab/>
        <w:t xml:space="preserve">4</w:t>
        <w:tab/>
        <w:t xml:space="preserve"/>
      </w:r>
      <w:r>
        <w:rPr>
          <w:rFonts w:ascii="Helvetica Neue" w:hAnsi="Helvetica Neue" w:cs="Helvetica Neue"/>
          <w:sz w:val="29"/>
          <w:sz-cs w:val="29"/>
          <w:spacing w:val="0"/>
          <w:color w:val="222938"/>
        </w:rPr>
        <w:t xml:space="preserve">Spatial GIS Commute &amp; Reachability Router: Calculates real-world road network travel distances to all accredited district assessment centers using Haversine and OpenStreetMap topology.</w:t>
      </w:r>
    </w:p>
    <w:p>
      <w:pPr>
        <w:jc w:val="both"/>
        <w:ind w:left="720" w:first-line="-720"/>
        <w:spacing w:after="120"/>
      </w:pPr>
      <w:r>
        <w:rPr>
          <w:rFonts w:ascii="Helvetica Neue" w:hAnsi="Helvetica Neue" w:cs="Helvetica Neue"/>
          <w:sz w:val="29"/>
          <w:sz-cs w:val="29"/>
          <w:color w:val="222938"/>
        </w:rPr>
        <w:t xml:space="preserve"/>
        <w:tab/>
        <w:t xml:space="preserve">5</w:t>
        <w:tab/>
        <w:t xml:space="preserve"/>
      </w:r>
      <w:r>
        <w:rPr>
          <w:rFonts w:ascii="Helvetica Neue" w:hAnsi="Helvetica Neue" w:cs="Helvetica Neue"/>
          <w:sz w:val="29"/>
          <w:sz-cs w:val="29"/>
          <w:spacing w:val="0"/>
          <w:color w:val="222938"/>
        </w:rPr>
        <w:t xml:space="preserve">Dual-Action Dispatch Engine: Produces:</w:t>
      </w:r>
    </w:p>
    <w:p>
      <w:pPr>
        <w:jc w:val="both"/>
        <w:ind w:left="1440" w:first-line="-1440"/>
        <w:spacing w:after="120"/>
      </w:pPr>
      <w:r>
        <w:rPr>
          <w:rFonts w:ascii="Helvetica Neue" w:hAnsi="Helvetica Neue" w:cs="Helvetica Neue"/>
          <w:sz w:val="29"/>
          <w:sz-cs w:val="29"/>
          <w:color w:val="222938"/>
        </w:rPr>
        <w:t xml:space="preserve"/>
        <w:tab/>
        <w:t xml:space="preserve">◦</w:t>
        <w:tab/>
        <w:t xml:space="preserve"/>
      </w:r>
      <w:r>
        <w:rPr>
          <w:rFonts w:ascii="Helvetica Neue" w:hAnsi="Helvetica Neue" w:cs="Helvetica Neue"/>
          <w:sz w:val="29"/>
          <w:sz-cs w:val="29"/>
          <w:spacing w:val="0"/>
          <w:color w:val="222938"/>
        </w:rPr>
        <w:t xml:space="preserve">Beneficiary Action Slip (PDF): Immediate printout for the rural artisan.</w:t>
      </w:r>
    </w:p>
    <w:p>
      <w:pPr>
        <w:jc w:val="both"/>
        <w:ind w:left="1440" w:first-line="-1440"/>
        <w:spacing w:after="120"/>
      </w:pPr>
      <w:r>
        <w:rPr>
          <w:rFonts w:ascii="Helvetica Neue" w:hAnsi="Helvetica Neue" w:cs="Helvetica Neue"/>
          <w:sz w:val="29"/>
          <w:sz-cs w:val="29"/>
          <w:color w:val="222938"/>
        </w:rPr>
        <w:t xml:space="preserve"/>
        <w:tab/>
        <w:t xml:space="preserve">◦</w:t>
        <w:tab/>
        <w:t xml:space="preserve"/>
      </w:r>
      <w:r>
        <w:rPr>
          <w:rFonts w:ascii="Helvetica Neue" w:hAnsi="Helvetica Neue" w:cs="Helvetica Neue"/>
          <w:sz w:val="29"/>
          <w:sz-cs w:val="29"/>
          <w:spacing w:val="0"/>
          <w:color w:val="222938"/>
        </w:rPr>
        <w:t xml:space="preserve">District Social Welfare GIA Dashboard: Geospatial aggregation map identifying unserved clusters.</w:t>
      </w:r>
    </w:p>
    <w:p>
      <w:pPr>
        <w:spacing w:after="240"/>
      </w:pPr>
      <w:r>
        <w:rPr>
          <w:rFonts w:ascii="Helvetica Neue" w:hAnsi="Helvetica Neue" w:cs="Helvetica Neue"/>
          <w:sz w:val="42"/>
          <w:sz-cs w:val="42"/>
          <w:spacing w:val="0"/>
          <w:color w:val="0B1F15"/>
        </w:rPr>
        <w:t xml:space="preserve">5. Master NCVET NQR Qualification Register Benchmarks</w:t>
      </w:r>
    </w:p>
    <w:p>
      <w:pPr/>
      <w:r>
        <w:rPr>
          <w:rFonts w:ascii="Helvetica Neue" w:hAnsi="Helvetica Neue" w:cs="Helvetica Neue"/>
          <w:sz w:val="28"/>
          <w:sz-cs w:val="28"/>
          <w:spacing w:val="0"/>
          <w:color w:val="FFFFFF"/>
        </w:rPr>
        <w:t xml:space="preserve">QP-NOS Code</w:t>
      </w:r>
    </w:p>
    <w:p>
      <w:pPr/>
      <w:r>
        <w:rPr>
          <w:rFonts w:ascii="Helvetica Neue" w:hAnsi="Helvetica Neue" w:cs="Helvetica Neue"/>
          <w:sz w:val="28"/>
          <w:sz-cs w:val="28"/>
          <w:spacing w:val="0"/>
          <w:color w:val="FFFFFF"/>
        </w:rPr>
        <w:t xml:space="preserve">Qualification Pack Title</w:t>
      </w:r>
    </w:p>
    <w:p>
      <w:pPr/>
      <w:r>
        <w:rPr>
          <w:rFonts w:ascii="Helvetica Neue" w:hAnsi="Helvetica Neue" w:cs="Helvetica Neue"/>
          <w:sz w:val="28"/>
          <w:sz-cs w:val="28"/>
          <w:spacing w:val="0"/>
          <w:color w:val="FFFFFF"/>
        </w:rPr>
        <w:t xml:space="preserve">NSQF</w:t>
      </w:r>
    </w:p>
    <w:p>
      <w:pPr/>
      <w:r>
        <w:rPr>
          <w:rFonts w:ascii="Helvetica Neue" w:hAnsi="Helvetica Neue" w:cs="Helvetica Neue"/>
          <w:sz w:val="28"/>
          <w:sz-cs w:val="28"/>
          <w:spacing w:val="0"/>
          <w:color w:val="FFFFFF"/>
        </w:rPr>
        <w:t xml:space="preserve">RPL Mode</w:t>
      </w:r>
    </w:p>
    <w:p>
      <w:pPr/>
      <w:r>
        <w:rPr>
          <w:rFonts w:ascii="Helvetica Neue" w:hAnsi="Helvetica Neue" w:cs="Helvetica Neue"/>
          <w:sz w:val="28"/>
          <w:sz-cs w:val="28"/>
          <w:spacing w:val="0"/>
          <w:color w:val="FFFFFF"/>
        </w:rPr>
        <w:t xml:space="preserve">Linked Sector Scheme</w:t>
      </w:r>
    </w:p>
    <w:p>
      <w:pPr/>
      <w:r>
        <w:rPr>
          <w:rFonts w:ascii="Helvetica Neue" w:hAnsi="Helvetica Neue" w:cs="Helvetica Neue"/>
          <w:sz w:val="28"/>
          <w:sz-cs w:val="28"/>
          <w:spacing w:val="0"/>
          <w:color w:val="FFFFFF"/>
        </w:rPr>
        <w:t xml:space="preserve">Est. Wage Shift</w:t>
      </w:r>
    </w:p>
    <w:p>
      <w:pPr/>
      <w:r>
        <w:rPr>
          <w:rFonts w:ascii="Helvetica Neue" w:hAnsi="Helvetica Neue" w:cs="Helvetica Neue"/>
          <w:sz w:val="28"/>
          <w:sz-cs w:val="28"/>
          <w:spacing w:val="0"/>
          <w:color w:val="141414"/>
        </w:rPr>
        <w:t xml:space="preserve">FIC/Q0104</w:t>
      </w:r>
    </w:p>
    <w:p>
      <w:pPr/>
      <w:r>
        <w:rPr>
          <w:rFonts w:ascii="Helvetica Neue" w:hAnsi="Helvetica Neue" w:cs="Helvetica Neue"/>
          <w:sz w:val="28"/>
          <w:sz-cs w:val="28"/>
          <w:spacing w:val="0"/>
          <w:color w:val="141414"/>
        </w:rPr>
        <w:t xml:space="preserve">Pulse, Grain &amp; Spice Processing Operator</w:t>
      </w:r>
    </w:p>
    <w:p>
      <w:pPr/>
      <w:r>
        <w:rPr>
          <w:rFonts w:ascii="Helvetica Neue" w:hAnsi="Helvetica Neue" w:cs="Helvetica Neue"/>
          <w:sz w:val="28"/>
          <w:sz-cs w:val="28"/>
          <w:spacing w:val="0"/>
          <w:color w:val="141414"/>
        </w:rPr>
        <w:t xml:space="preserve">Level 4</w:t>
      </w:r>
    </w:p>
    <w:p>
      <w:pPr/>
      <w:r>
        <w:rPr>
          <w:rFonts w:ascii="Helvetica Neue" w:hAnsi="Helvetica Neue" w:cs="Helvetica Neue"/>
          <w:sz w:val="28"/>
          <w:sz-cs w:val="28"/>
          <w:spacing w:val="0"/>
          <w:color w:val="141414"/>
        </w:rPr>
        <w:t xml:space="preserve">12 Hours</w:t>
      </w:r>
    </w:p>
    <w:p>
      <w:pPr/>
      <w:r>
        <w:rPr>
          <w:rFonts w:ascii="Helvetica Neue" w:hAnsi="Helvetica Neue" w:cs="Helvetica Neue"/>
          <w:sz w:val="28"/>
          <w:sz-cs w:val="28"/>
          <w:spacing w:val="0"/>
          <w:color w:val="141414"/>
        </w:rPr>
        <w:t xml:space="preserve">PMFME / ODOP Agro Mills</w:t>
      </w:r>
    </w:p>
    <w:p>
      <w:pPr/>
      <w:r>
        <w:rPr>
          <w:rFonts w:ascii="Helvetica Neue" w:hAnsi="Helvetica Neue" w:cs="Helvetica Neue"/>
          <w:sz w:val="28"/>
          <w:sz-cs w:val="28"/>
          <w:spacing w:val="0"/>
          <w:color w:val="141414"/>
        </w:rPr>
        <w:t xml:space="preserve">+42%</w:t>
      </w:r>
    </w:p>
    <w:p>
      <w:pPr/>
      <w:r>
        <w:rPr>
          <w:rFonts w:ascii="Helvetica Neue" w:hAnsi="Helvetica Neue" w:cs="Helvetica Neue"/>
          <w:sz w:val="28"/>
          <w:sz-cs w:val="28"/>
          <w:spacing w:val="0"/>
          <w:color w:val="141414"/>
        </w:rPr>
        <w:t xml:space="preserve">AGR/Q1101</w:t>
      </w:r>
    </w:p>
    <w:p>
      <w:pPr/>
      <w:r>
        <w:rPr>
          <w:rFonts w:ascii="Helvetica Neue" w:hAnsi="Helvetica Neue" w:cs="Helvetica Neue"/>
          <w:sz w:val="28"/>
          <w:sz-cs w:val="28"/>
          <w:spacing w:val="0"/>
          <w:color w:val="141414"/>
        </w:rPr>
        <w:t xml:space="preserve">Solar Agri-Pump &amp; Micro-Irrigation Technician</w:t>
      </w:r>
    </w:p>
    <w:p>
      <w:pPr/>
      <w:r>
        <w:rPr>
          <w:rFonts w:ascii="Helvetica Neue" w:hAnsi="Helvetica Neue" w:cs="Helvetica Neue"/>
          <w:sz w:val="28"/>
          <w:sz-cs w:val="28"/>
          <w:spacing w:val="0"/>
          <w:color w:val="141414"/>
        </w:rPr>
        <w:t xml:space="preserve">Level 4</w:t>
      </w:r>
    </w:p>
    <w:p>
      <w:pPr/>
      <w:r>
        <w:rPr>
          <w:rFonts w:ascii="Helvetica Neue" w:hAnsi="Helvetica Neue" w:cs="Helvetica Neue"/>
          <w:sz w:val="28"/>
          <w:sz-cs w:val="28"/>
          <w:spacing w:val="0"/>
          <w:color w:val="141414"/>
        </w:rPr>
        <w:t xml:space="preserve">16 Hours</w:t>
      </w:r>
    </w:p>
    <w:p>
      <w:pPr/>
      <w:r>
        <w:rPr>
          <w:rFonts w:ascii="Helvetica Neue" w:hAnsi="Helvetica Neue" w:cs="Helvetica Neue"/>
          <w:sz w:val="28"/>
          <w:sz-cs w:val="28"/>
          <w:spacing w:val="0"/>
          <w:color w:val="141414"/>
        </w:rPr>
        <w:t xml:space="preserve">PM-KUSUM Solar Contracts</w:t>
      </w:r>
    </w:p>
    <w:p>
      <w:pPr/>
      <w:r>
        <w:rPr>
          <w:rFonts w:ascii="Helvetica Neue" w:hAnsi="Helvetica Neue" w:cs="Helvetica Neue"/>
          <w:sz w:val="28"/>
          <w:sz-cs w:val="28"/>
          <w:spacing w:val="0"/>
          <w:color w:val="141414"/>
        </w:rPr>
        <w:t xml:space="preserve">+55%</w:t>
      </w:r>
    </w:p>
    <w:p>
      <w:pPr/>
      <w:r>
        <w:rPr>
          <w:rFonts w:ascii="Helvetica Neue" w:hAnsi="Helvetica Neue" w:cs="Helvetica Neue"/>
          <w:sz w:val="28"/>
          <w:sz-cs w:val="28"/>
          <w:spacing w:val="0"/>
          <w:color w:val="141414"/>
        </w:rPr>
        <w:t xml:space="preserve">CON/Q0103</w:t>
      </w:r>
    </w:p>
    <w:p>
      <w:pPr/>
      <w:r>
        <w:rPr>
          <w:rFonts w:ascii="Helvetica Neue" w:hAnsi="Helvetica Neue" w:cs="Helvetica Neue"/>
          <w:sz w:val="28"/>
          <w:sz-cs w:val="28"/>
          <w:spacing w:val="0"/>
          <w:color w:val="141414"/>
        </w:rPr>
        <w:t xml:space="preserve">Rural Mason (Water Harvesting Structures)</w:t>
      </w:r>
    </w:p>
    <w:p>
      <w:pPr/>
      <w:r>
        <w:rPr>
          <w:rFonts w:ascii="Helvetica Neue" w:hAnsi="Helvetica Neue" w:cs="Helvetica Neue"/>
          <w:sz w:val="28"/>
          <w:sz-cs w:val="28"/>
          <w:spacing w:val="0"/>
          <w:color w:val="141414"/>
        </w:rPr>
        <w:t xml:space="preserve">Level 4</w:t>
      </w:r>
    </w:p>
    <w:p>
      <w:pPr/>
      <w:r>
        <w:rPr>
          <w:rFonts w:ascii="Helvetica Neue" w:hAnsi="Helvetica Neue" w:cs="Helvetica Neue"/>
          <w:sz w:val="28"/>
          <w:sz-cs w:val="28"/>
          <w:spacing w:val="0"/>
          <w:color w:val="141414"/>
        </w:rPr>
        <w:t xml:space="preserve">12 Hours</w:t>
      </w:r>
    </w:p>
    <w:p>
      <w:pPr/>
      <w:r>
        <w:rPr>
          <w:rFonts w:ascii="Helvetica Neue" w:hAnsi="Helvetica Neue" w:cs="Helvetica Neue"/>
          <w:sz w:val="28"/>
          <w:sz-cs w:val="28"/>
          <w:spacing w:val="0"/>
          <w:color w:val="141414"/>
        </w:rPr>
        <w:t xml:space="preserve">Jal Jeevan Mission (JJM)</w:t>
      </w:r>
    </w:p>
    <w:p>
      <w:pPr/>
      <w:r>
        <w:rPr>
          <w:rFonts w:ascii="Helvetica Neue" w:hAnsi="Helvetica Neue" w:cs="Helvetica Neue"/>
          <w:sz w:val="28"/>
          <w:sz-cs w:val="28"/>
          <w:spacing w:val="0"/>
          <w:color w:val="141414"/>
        </w:rPr>
        <w:t xml:space="preserve">+38%</w:t>
      </w:r>
    </w:p>
    <w:p>
      <w:pPr/>
      <w:r>
        <w:rPr>
          <w:rFonts w:ascii="Helvetica Neue" w:hAnsi="Helvetica Neue" w:cs="Helvetica Neue"/>
          <w:sz w:val="28"/>
          <w:sz-cs w:val="28"/>
          <w:spacing w:val="0"/>
          <w:color w:val="141414"/>
        </w:rPr>
        <w:t xml:space="preserve">AGR/Q0801</w:t>
      </w:r>
    </w:p>
    <w:p>
      <w:pPr/>
      <w:r>
        <w:rPr>
          <w:rFonts w:ascii="Helvetica Neue" w:hAnsi="Helvetica Neue" w:cs="Helvetica Neue"/>
          <w:sz w:val="28"/>
          <w:sz-cs w:val="28"/>
          <w:spacing w:val="0"/>
          <w:color w:val="141414"/>
        </w:rPr>
        <w:t xml:space="preserve">Dairy Farmer &amp; Milk Chilling Operator</w:t>
      </w:r>
    </w:p>
    <w:p>
      <w:pPr/>
      <w:r>
        <w:rPr>
          <w:rFonts w:ascii="Helvetica Neue" w:hAnsi="Helvetica Neue" w:cs="Helvetica Neue"/>
          <w:sz w:val="28"/>
          <w:sz-cs w:val="28"/>
          <w:spacing w:val="0"/>
          <w:color w:val="141414"/>
        </w:rPr>
        <w:t xml:space="preserve">Level 3</w:t>
      </w:r>
    </w:p>
    <w:p>
      <w:pPr/>
      <w:r>
        <w:rPr>
          <w:rFonts w:ascii="Helvetica Neue" w:hAnsi="Helvetica Neue" w:cs="Helvetica Neue"/>
          <w:sz w:val="28"/>
          <w:sz-cs w:val="28"/>
          <w:spacing w:val="0"/>
          <w:color w:val="141414"/>
        </w:rPr>
        <w:t xml:space="preserve">12 Hours</w:t>
      </w:r>
    </w:p>
    <w:p>
      <w:pPr/>
      <w:r>
        <w:rPr>
          <w:rFonts w:ascii="Helvetica Neue" w:hAnsi="Helvetica Neue" w:cs="Helvetica Neue"/>
          <w:sz w:val="28"/>
          <w:sz-cs w:val="28"/>
          <w:spacing w:val="0"/>
          <w:color w:val="141414"/>
        </w:rPr>
        <w:t xml:space="preserve">National Dairy Plan / NDDB</w:t>
      </w:r>
    </w:p>
    <w:p>
      <w:pPr/>
      <w:r>
        <w:rPr>
          <w:rFonts w:ascii="Helvetica Neue" w:hAnsi="Helvetica Neue" w:cs="Helvetica Neue"/>
          <w:sz w:val="28"/>
          <w:sz-cs w:val="28"/>
          <w:spacing w:val="0"/>
          <w:color w:val="141414"/>
        </w:rPr>
        <w:t xml:space="preserve">+35%</w:t>
      </w:r>
    </w:p>
    <w:p>
      <w:pPr/>
      <w:r>
        <w:rPr>
          <w:rFonts w:ascii="Helvetica Neue" w:hAnsi="Helvetica Neue" w:cs="Helvetica Neue"/>
          <w:sz w:val="28"/>
          <w:sz-cs w:val="28"/>
          <w:spacing w:val="0"/>
          <w:color w:val="141414"/>
        </w:rPr>
        <w:t xml:space="preserve">HCS/Q8701</w:t>
      </w:r>
    </w:p>
    <w:p>
      <w:pPr/>
      <w:r>
        <w:rPr>
          <w:rFonts w:ascii="Helvetica Neue" w:hAnsi="Helvetica Neue" w:cs="Helvetica Neue"/>
          <w:sz w:val="28"/>
          <w:sz-cs w:val="28"/>
          <w:spacing w:val="0"/>
          <w:color w:val="141414"/>
        </w:rPr>
        <w:t xml:space="preserve">Rural Carpenter &amp; Farm Implement Fabricator</w:t>
      </w:r>
    </w:p>
    <w:p>
      <w:pPr/>
      <w:r>
        <w:rPr>
          <w:rFonts w:ascii="Helvetica Neue" w:hAnsi="Helvetica Neue" w:cs="Helvetica Neue"/>
          <w:sz w:val="28"/>
          <w:sz-cs w:val="28"/>
          <w:spacing w:val="0"/>
          <w:color w:val="141414"/>
        </w:rPr>
        <w:t xml:space="preserve">Level 3</w:t>
      </w:r>
    </w:p>
    <w:p>
      <w:pPr/>
      <w:r>
        <w:rPr>
          <w:rFonts w:ascii="Helvetica Neue" w:hAnsi="Helvetica Neue" w:cs="Helvetica Neue"/>
          <w:sz w:val="28"/>
          <w:sz-cs w:val="28"/>
          <w:spacing w:val="0"/>
          <w:color w:val="141414"/>
        </w:rPr>
        <w:t xml:space="preserve">12 Hours</w:t>
      </w:r>
    </w:p>
    <w:p>
      <w:pPr/>
      <w:r>
        <w:rPr>
          <w:rFonts w:ascii="Helvetica Neue" w:hAnsi="Helvetica Neue" w:cs="Helvetica Neue"/>
          <w:sz w:val="28"/>
          <w:sz-cs w:val="28"/>
          <w:spacing w:val="0"/>
          <w:color w:val="141414"/>
        </w:rPr>
        <w:t xml:space="preserve">PM Vishwakarma Tool-Kit</w:t>
      </w:r>
    </w:p>
    <w:p>
      <w:pPr/>
      <w:r>
        <w:rPr>
          <w:rFonts w:ascii="Helvetica Neue" w:hAnsi="Helvetica Neue" w:cs="Helvetica Neue"/>
          <w:sz w:val="28"/>
          <w:sz-cs w:val="28"/>
          <w:spacing w:val="0"/>
          <w:color w:val="141414"/>
        </w:rPr>
        <w:t xml:space="preserve">+45%</w:t>
      </w:r>
    </w:p>
    <w:p>
      <w:pPr/>
      <w:r>
        <w:rPr>
          <w:rFonts w:ascii="Helvetica Neue" w:hAnsi="Helvetica Neue" w:cs="Helvetica Neue"/>
          <w:sz w:val="28"/>
          <w:sz-cs w:val="28"/>
          <w:spacing w:val="0"/>
          <w:color w:val="141414"/>
        </w:rPr>
        <w:t xml:space="preserve">LSS/Q5501</w:t>
      </w:r>
    </w:p>
    <w:p>
      <w:pPr/>
      <w:r>
        <w:rPr>
          <w:rFonts w:ascii="Helvetica Neue" w:hAnsi="Helvetica Neue" w:cs="Helvetica Neue"/>
          <w:sz w:val="28"/>
          <w:sz-cs w:val="28"/>
          <w:spacing w:val="0"/>
          <w:color w:val="141414"/>
        </w:rPr>
        <w:t xml:space="preserve">Footwear &amp; Leather Goods Artisan</w:t>
      </w:r>
    </w:p>
    <w:p>
      <w:pPr/>
      <w:r>
        <w:rPr>
          <w:rFonts w:ascii="Helvetica Neue" w:hAnsi="Helvetica Neue" w:cs="Helvetica Neue"/>
          <w:sz w:val="28"/>
          <w:sz-cs w:val="28"/>
          <w:spacing w:val="0"/>
          <w:color w:val="141414"/>
        </w:rPr>
        <w:t xml:space="preserve">Level 3</w:t>
      </w:r>
    </w:p>
    <w:p>
      <w:pPr/>
      <w:r>
        <w:rPr>
          <w:rFonts w:ascii="Helvetica Neue" w:hAnsi="Helvetica Neue" w:cs="Helvetica Neue"/>
          <w:sz w:val="28"/>
          <w:sz-cs w:val="28"/>
          <w:spacing w:val="0"/>
          <w:color w:val="141414"/>
        </w:rPr>
        <w:t xml:space="preserve">14 Hours</w:t>
      </w:r>
    </w:p>
    <w:p>
      <w:pPr/>
      <w:r>
        <w:rPr>
          <w:rFonts w:ascii="Helvetica Neue" w:hAnsi="Helvetica Neue" w:cs="Helvetica Neue"/>
          <w:sz w:val="28"/>
          <w:sz-cs w:val="28"/>
          <w:spacing w:val="0"/>
          <w:color w:val="141414"/>
        </w:rPr>
        <w:t xml:space="preserve">PM-AJAY GIA Mobile Van</w:t>
      </w:r>
    </w:p>
    <w:p>
      <w:pPr/>
      <w:r>
        <w:rPr>
          <w:rFonts w:ascii="Helvetica Neue" w:hAnsi="Helvetica Neue" w:cs="Helvetica Neue"/>
          <w:sz w:val="28"/>
          <w:sz-cs w:val="28"/>
          <w:spacing w:val="0"/>
          <w:color w:val="141414"/>
        </w:rPr>
        <w:t xml:space="preserve">+50%</w:t>
      </w:r>
    </w:p>
    <w:p>
      <w:pPr>
        <w:spacing w:after="240"/>
      </w:pPr>
      <w:r>
        <w:rPr>
          <w:rFonts w:ascii="Helvetica Neue" w:hAnsi="Helvetica Neue" w:cs="Helvetica Neue"/>
          <w:sz w:val="42"/>
          <w:sz-cs w:val="42"/>
          <w:spacing w:val="0"/>
          <w:color w:val="0B1F15"/>
        </w:rPr>
        <w:t xml:space="preserve">6. Geospatial Void Detection &amp; PM-AJAY GIA Funding Formula</w:t>
      </w:r>
    </w:p>
    <w:p>
      <w:pPr>
        <w:jc w:val="both"/>
        <w:spacing w:after="293"/>
      </w:pPr>
      <w:r>
        <w:rPr>
          <w:rFonts w:ascii="Helvetica Neue" w:hAnsi="Helvetica Neue" w:cs="Helvetica Neue"/>
          <w:sz w:val="29"/>
          <w:sz-cs w:val="29"/>
          <w:spacing w:val="0"/>
          <w:color w:val="222938"/>
        </w:rPr>
        <w:t xml:space="preserve">When artisan clusters are located beyond the strict 25 km daily commute boundary (Spatial Reachability Voids), Hunar aggregates cluster volume and automatically generates a certified GIA Grant Project Proposal using the formula:</w:t>
      </w:r>
    </w:p>
    <w:p>
      <w:pPr/>
      <w:r>
        <w:rPr>
          <w:rFonts w:ascii="Courier New" w:hAnsi="Courier New" w:cs="Courier New"/>
          <w:sz w:val="28"/>
          <w:sz-cs w:val="28"/>
          <w:b/>
          <w:spacing w:val="0"/>
          <w:color w:val="141821"/>
        </w:rPr>
        <w:t xml:space="preserve">GIA Project Budget (₹) = (Unserved Artisans × ₹15,000) + Mobile Assessment Van Capex (₹4,00,000)</w:t>
      </w:r>
      <w:r>
        <w:rPr>
          <w:rFonts w:ascii="Courier New" w:hAnsi="Courier New" w:cs="Courier New"/>
          <w:sz w:val="28"/>
          <w:sz-cs w:val="28"/>
          <w:spacing w:val="0"/>
          <w:color w:val="141821"/>
        </w:rPr>
        <w:t xml:space="preserve"/>
      </w:r>
    </w:p>
    <w:p>
      <w:pPr>
        <w:spacing w:after="160"/>
      </w:pPr>
      <w:r>
        <w:rPr>
          <w:rFonts w:ascii="Helvetica Neue" w:hAnsi="Helvetica Neue" w:cs="Helvetica Neue"/>
          <w:sz w:val="34"/>
          <w:sz-cs w:val="34"/>
          <w:spacing w:val="0"/>
          <w:color w:val="71441E"/>
        </w:rPr>
        <w:t xml:space="preserve">Multi-District Pilot Data Benchmarks:</w:t>
      </w:r>
    </w:p>
    <w:p>
      <w:pPr>
        <w:jc w:val="both"/>
        <w:ind w:left="720" w:first-line="-720"/>
        <w:spacing w:after="120"/>
      </w:pPr>
      <w:r>
        <w:rPr>
          <w:rFonts w:ascii="Helvetica Neue" w:hAnsi="Helvetica Neue" w:cs="Helvetica Neue"/>
          <w:sz w:val="29"/>
          <w:sz-cs w:val="29"/>
          <w:color w:val="222938"/>
        </w:rPr>
        <w:t xml:space="preserve"/>
        <w:tab/>
        <w:t xml:space="preserve">•</w:t>
        <w:tab/>
        <w:t xml:space="preserve"/>
      </w:r>
      <w:r>
        <w:rPr>
          <w:rFonts w:ascii="Helvetica Neue" w:hAnsi="Helvetica Neue" w:cs="Helvetica Neue"/>
          <w:sz w:val="29"/>
          <w:sz-cs w:val="29"/>
          <w:spacing w:val="0"/>
          <w:color w:val="222938"/>
        </w:rPr>
        <w:t xml:space="preserve">Banda District (Bundelkhand, UP): 1,482 Artisans Mapped • Dominant: Agro &amp; Spice Milling (ODOP) • Spatial Voids: 2 Clusters (Mahuwa Leather, 58 km away) • Justified GIA Budget: ₹24.5 Lakhs.</w:t>
      </w:r>
    </w:p>
    <w:p>
      <w:pPr>
        <w:jc w:val="both"/>
        <w:ind w:left="720" w:first-line="-720"/>
        <w:spacing w:after="120"/>
      </w:pPr>
      <w:r>
        <w:rPr>
          <w:rFonts w:ascii="Helvetica Neue" w:hAnsi="Helvetica Neue" w:cs="Helvetica Neue"/>
          <w:sz w:val="29"/>
          <w:sz-cs w:val="29"/>
          <w:color w:val="222938"/>
        </w:rPr>
        <w:t xml:space="preserve"/>
        <w:tab/>
        <w:t xml:space="preserve">•</w:t>
        <w:tab/>
        <w:t xml:space="preserve"/>
      </w:r>
      <w:r>
        <w:rPr>
          <w:rFonts w:ascii="Helvetica Neue" w:hAnsi="Helvetica Neue" w:cs="Helvetica Neue"/>
          <w:sz w:val="29"/>
          <w:sz-cs w:val="29"/>
          <w:spacing w:val="0"/>
          <w:color w:val="222938"/>
        </w:rPr>
        <w:t xml:space="preserve">Amravati District (Vidarbha, MH): 1,920 Artisans Mapped • Dominant: Cotton Ginning &amp; Citrus Cold-Chain • Spatial Voids: Melghat Tribal Cluster (64 km away) • Justified GIA Budget: ₹31.0 Lakhs.</w:t>
      </w:r>
    </w:p>
    <w:p>
      <w:pPr>
        <w:jc w:val="both"/>
        <w:ind w:left="720" w:first-line="-720"/>
        <w:spacing w:after="120"/>
      </w:pPr>
      <w:r>
        <w:rPr>
          <w:rFonts w:ascii="Helvetica Neue" w:hAnsi="Helvetica Neue" w:cs="Helvetica Neue"/>
          <w:sz w:val="29"/>
          <w:sz-cs w:val="29"/>
          <w:color w:val="222938"/>
        </w:rPr>
        <w:t xml:space="preserve"/>
        <w:tab/>
        <w:t xml:space="preserve">•</w:t>
        <w:tab/>
        <w:t xml:space="preserve"/>
      </w:r>
      <w:r>
        <w:rPr>
          <w:rFonts w:ascii="Helvetica Neue" w:hAnsi="Helvetica Neue" w:cs="Helvetica Neue"/>
          <w:sz w:val="29"/>
          <w:sz-cs w:val="29"/>
          <w:spacing w:val="0"/>
          <w:color w:val="222938"/>
        </w:rPr>
        <w:t xml:space="preserve">Salem District (Tamil Nadu): 2,310 Artisans Mapped • Dominant: Sago &amp; Tapioca Food Processing • Spatial Voids: Kolli Hills Spice Cluster (48 km away) • Justified GIA Budget: ₹18.0 Lakhs.</w:t>
      </w:r>
    </w:p>
    <w:p>
      <w:pPr>
        <w:jc w:val="both"/>
        <w:ind w:left="720" w:first-line="-720"/>
        <w:spacing w:after="120"/>
      </w:pPr>
      <w:r>
        <w:rPr>
          <w:rFonts w:ascii="Helvetica Neue" w:hAnsi="Helvetica Neue" w:cs="Helvetica Neue"/>
          <w:sz w:val="29"/>
          <w:sz-cs w:val="29"/>
          <w:color w:val="222938"/>
        </w:rPr>
        <w:t xml:space="preserve"/>
        <w:tab/>
        <w:t xml:space="preserve">•</w:t>
        <w:tab/>
        <w:t xml:space="preserve"/>
      </w:r>
      <w:r>
        <w:rPr>
          <w:rFonts w:ascii="Helvetica Neue" w:hAnsi="Helvetica Neue" w:cs="Helvetica Neue"/>
          <w:sz w:val="29"/>
          <w:sz-cs w:val="29"/>
          <w:spacing w:val="0"/>
          <w:color w:val="222938"/>
        </w:rPr>
        <w:t xml:space="preserve">Gaya District (Bihar): 1,680 Artisans Mapped • Dominant: Tilkut Confectionery &amp; Stone Masonry • Spatial Voids: Barabar Hills Cluster (46 km away) • Justified GIA Budget: ₹22.0 Lakhs.</w:t>
      </w:r>
    </w:p>
    <w:p>
      <w:pPr>
        <w:spacing w:after="240"/>
      </w:pPr>
      <w:r>
        <w:rPr>
          <w:rFonts w:ascii="Helvetica Neue" w:hAnsi="Helvetica Neue" w:cs="Helvetica Neue"/>
          <w:sz w:val="42"/>
          <w:sz-cs w:val="42"/>
          <w:spacing w:val="0"/>
          <w:color w:val="0B1F15"/>
        </w:rPr>
        <w:t xml:space="preserve">7. Phased 12-Month National Implementation Roadmap</w:t>
      </w:r>
    </w:p>
    <w:p>
      <w:pPr>
        <w:jc w:val="both"/>
        <w:ind w:left="720" w:first-line="-720"/>
        <w:spacing w:after="120"/>
      </w:pPr>
      <w:r>
        <w:rPr>
          <w:rFonts w:ascii="Helvetica Neue" w:hAnsi="Helvetica Neue" w:cs="Helvetica Neue"/>
          <w:sz w:val="29"/>
          <w:sz-cs w:val="29"/>
          <w:color w:val="222938"/>
        </w:rPr>
        <w:t xml:space="preserve"/>
        <w:tab/>
        <w:t xml:space="preserve">•</w:t>
        <w:tab/>
        <w:t xml:space="preserve"/>
      </w:r>
      <w:r>
        <w:rPr>
          <w:rFonts w:ascii="Helvetica Neue" w:hAnsi="Helvetica Neue" w:cs="Helvetica Neue"/>
          <w:sz w:val="29"/>
          <w:sz-cs w:val="29"/>
          <w:spacing w:val="0"/>
          <w:color w:val="222938"/>
        </w:rPr>
        <w:t xml:space="preserve">Phase 1 (Months 1–3) • Pilot Sandbox &amp; Dialect Tuning: Deploy across 50 CSC centers in Banda (UP) and Amravati (MH); calibrate IndicASR acoustic models for Bundelkhandi and Varhadi dialects.</w:t>
      </w:r>
    </w:p>
    <w:p>
      <w:pPr>
        <w:jc w:val="both"/>
        <w:ind w:left="720" w:first-line="-720"/>
        <w:spacing w:after="120"/>
      </w:pPr>
      <w:r>
        <w:rPr>
          <w:rFonts w:ascii="Helvetica Neue" w:hAnsi="Helvetica Neue" w:cs="Helvetica Neue"/>
          <w:sz w:val="29"/>
          <w:sz-cs w:val="29"/>
          <w:color w:val="222938"/>
        </w:rPr>
        <w:t xml:space="preserve"/>
        <w:tab/>
        <w:t xml:space="preserve">•</w:t>
        <w:tab/>
        <w:t xml:space="preserve"/>
      </w:r>
      <w:r>
        <w:rPr>
          <w:rFonts w:ascii="Helvetica Neue" w:hAnsi="Helvetica Neue" w:cs="Helvetica Neue"/>
          <w:sz w:val="29"/>
          <w:sz-cs w:val="29"/>
          <w:spacing w:val="0"/>
          <w:color w:val="222938"/>
        </w:rPr>
        <w:t xml:space="preserve">Phase 2 (Months 4–6) • GIA Mobile Van &amp; DBT Integration: Operationalize automated mobile van route scheduling for unserved clusters; link candidate completion slips to Direct Benefit Transfer (DBT) stipends via PFMS.</w:t>
      </w:r>
    </w:p>
    <w:p>
      <w:pPr>
        <w:jc w:val="both"/>
        <w:ind w:left="720" w:first-line="-720"/>
        <w:spacing w:after="120"/>
      </w:pPr>
      <w:r>
        <w:rPr>
          <w:rFonts w:ascii="Helvetica Neue" w:hAnsi="Helvetica Neue" w:cs="Helvetica Neue"/>
          <w:sz w:val="29"/>
          <w:sz-cs w:val="29"/>
          <w:color w:val="222938"/>
        </w:rPr>
        <w:t xml:space="preserve"/>
        <w:tab/>
        <w:t xml:space="preserve">•</w:t>
        <w:tab/>
        <w:t xml:space="preserve"/>
      </w:r>
      <w:r>
        <w:rPr>
          <w:rFonts w:ascii="Helvetica Neue" w:hAnsi="Helvetica Neue" w:cs="Helvetica Neue"/>
          <w:sz w:val="29"/>
          <w:sz-cs w:val="29"/>
          <w:spacing w:val="0"/>
          <w:color w:val="222938"/>
        </w:rPr>
        <w:t xml:space="preserve">Phase 3 (Months 7–12) • Pan-India Scaling across 100 Aspirational Districts: Expand across 22 scheduled Indian languages; establish bidirectional synchronization with the official NCVET National Qualification Register API.</w:t>
      </w:r>
    </w:p>
    <w:p>
      <w:pPr>
        <w:jc w:val="center"/>
      </w:pPr>
      <w:r>
        <w:rPr>
          <w:rFonts w:ascii="Helvetica Neue" w:hAnsi="Helvetica Neue" w:cs="Helvetica Neue"/>
          <w:sz w:val="25"/>
          <w:sz-cs w:val="25"/>
          <w:spacing w:val="0"/>
          <w:color w:val="5E6C84"/>
        </w:rPr>
        <w:t xml:space="preserve">Endorsed for: Ministry of Social Justice &amp; Empowerment (MoSJE) • PM-AJAY Grants-in-Aid Component</w:t>
      </w:r>
    </w:p>
    <w:p>
      <w:pPr>
        <w:jc w:val="center"/>
      </w:pPr>
      <w:r>
        <w:rPr>
          <w:rFonts w:ascii="Helvetica Neue" w:hAnsi="Helvetica Neue" w:cs="Helvetica Neue"/>
          <w:sz w:val="25"/>
          <w:sz-cs w:val="25"/>
          <w:spacing w:val="0"/>
          <w:color w:val="5E6C84"/>
        </w:rPr>
        <w:t xml:space="preserve">Developed by: Hunar AI Engineering Consortium • Smart India Hackathon 2026</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CocoaOOXMLWriter/2685.2</generator>
</meta>
</file>