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Segoe UI" w:hAnsi="Segoe UI"/>
          <w:b/>
          <w:color w:val="64748B"/>
          <w:sz w:val="17"/>
        </w:rPr>
        <w:t>EVIGRAPH TECHNICAL AUDIT &amp; DELIVERY ROADMAP | OCTOBER 2026</w:t>
      </w:r>
    </w:p>
    <w:p>
      <w:pPr>
        <w:spacing w:before="160" w:after="40"/>
      </w:pPr>
      <w:r>
        <w:rPr>
          <w:rFonts w:ascii="Segoe UI Semibold" w:hAnsi="Segoe UI Semibold"/>
          <w:b/>
          <w:color w:val="0F172A"/>
          <w:sz w:val="44"/>
        </w:rPr>
        <w:t>EviGraph: Comprehensive System Audit &amp; Implementation Roadmap</w:t>
      </w:r>
    </w:p>
    <w:p>
      <w:pPr>
        <w:spacing w:after="280"/>
      </w:pPr>
      <w:r>
        <w:rPr>
          <w:rFonts w:ascii="Segoe UI" w:hAnsi="Segoe UI"/>
          <w:i/>
          <w:color w:val="475569"/>
          <w:sz w:val="24"/>
        </w:rPr>
        <w:t>Formal Architectural Verification, Production Readiness Audit, and Detailed UI/API Gap Analysis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val="clear" w:color="auto" w:fill="F8FAFC"/>
            <w:tcMar>
              <w:top w:w="60" w:type="dxa"/>
              <w:bottom w:w="60" w:type="dxa"/>
              <w:left w:w="100" w:type="dxa"/>
              <w:right w:w="100" w:type="dxa"/>
            </w:tcMar>
          </w:tcPr>
          <w:p>
            <w:pPr>
              <w:spacing w:after="0"/>
            </w:pPr>
            <w:r>
              <w:rPr>
                <w:b/>
                <w:color w:val="475569"/>
                <w:sz w:val="17"/>
              </w:rPr>
              <w:t>Project Lead &amp; Author</w:t>
            </w:r>
          </w:p>
        </w:tc>
        <w:tc>
          <w:tcPr>
            <w:tcW w:type="dxa" w:w="2592"/>
            <w:shd w:val="clear" w:color="auto" w:fill="FFFFFF"/>
            <w:tcMar>
              <w:top w:w="60" w:type="dxa"/>
              <w:bottom w:w="60" w:type="dxa"/>
              <w:left w:w="100" w:type="dxa"/>
              <w:right w:w="100" w:type="dxa"/>
            </w:tcMar>
          </w:tcPr>
          <w:p>
            <w:pPr>
              <w:spacing w:after="0"/>
            </w:pPr>
            <w:r>
              <w:rPr>
                <w:color w:val="0F172A"/>
                <w:sz w:val="17"/>
              </w:rPr>
              <w:t>Google DeepMind / EviGraph Team</w:t>
            </w:r>
          </w:p>
        </w:tc>
        <w:tc>
          <w:tcPr>
            <w:tcW w:type="dxa" w:w="2160"/>
            <w:shd w:val="clear" w:color="auto" w:fill="F8FAFC"/>
            <w:tcMar>
              <w:top w:w="60" w:type="dxa"/>
              <w:bottom w:w="60" w:type="dxa"/>
              <w:left w:w="100" w:type="dxa"/>
              <w:right w:w="100" w:type="dxa"/>
            </w:tcMar>
          </w:tcPr>
          <w:p>
            <w:pPr>
              <w:spacing w:after="0"/>
            </w:pPr>
            <w:r>
              <w:rPr>
                <w:b/>
                <w:color w:val="475569"/>
                <w:sz w:val="17"/>
              </w:rPr>
              <w:t>Document Status</w:t>
            </w:r>
          </w:p>
        </w:tc>
        <w:tc>
          <w:tcPr>
            <w:tcW w:type="dxa" w:w="2304"/>
            <w:shd w:val="clear" w:color="auto" w:fill="FFFFFF"/>
            <w:tcMar>
              <w:top w:w="60" w:type="dxa"/>
              <w:bottom w:w="60" w:type="dxa"/>
              <w:left w:w="100" w:type="dxa"/>
              <w:right w:w="100" w:type="dxa"/>
            </w:tcMar>
          </w:tcPr>
          <w:p>
            <w:pPr>
              <w:spacing w:after="0"/>
            </w:pPr>
            <w:r>
              <w:rPr>
                <w:color w:val="0F172A"/>
                <w:sz w:val="17"/>
              </w:rPr>
              <w:t>Verified Draft (85% Implemented)</w:t>
            </w:r>
          </w:p>
        </w:tc>
      </w:tr>
      <w:tr>
        <w:tc>
          <w:tcPr>
            <w:tcW w:type="dxa" w:w="2304"/>
            <w:shd w:val="clear" w:color="auto" w:fill="F8FAFC"/>
            <w:tcMar>
              <w:top w:w="60" w:type="dxa"/>
              <w:bottom w:w="60" w:type="dxa"/>
              <w:left w:w="100" w:type="dxa"/>
              <w:right w:w="100" w:type="dxa"/>
            </w:tcMar>
          </w:tcPr>
          <w:p>
            <w:pPr>
              <w:spacing w:after="0"/>
            </w:pPr>
            <w:r>
              <w:rPr>
                <w:b/>
                <w:color w:val="475569"/>
                <w:sz w:val="17"/>
              </w:rPr>
              <w:t>Verification Standard</w:t>
            </w:r>
          </w:p>
        </w:tc>
        <w:tc>
          <w:tcPr>
            <w:tcW w:type="dxa" w:w="2592"/>
            <w:shd w:val="clear" w:color="auto" w:fill="FFFFFF"/>
            <w:tcMar>
              <w:top w:w="60" w:type="dxa"/>
              <w:bottom w:w="60" w:type="dxa"/>
              <w:left w:w="100" w:type="dxa"/>
              <w:right w:w="100" w:type="dxa"/>
            </w:tcMar>
          </w:tcPr>
          <w:p>
            <w:pPr>
              <w:spacing w:after="0"/>
            </w:pPr>
            <w:r>
              <w:rPr>
                <w:color w:val="0F172A"/>
                <w:sz w:val="17"/>
              </w:rPr>
              <w:t>FRE 902(13)/(14) &amp; ISO 27037</w:t>
            </w:r>
          </w:p>
        </w:tc>
        <w:tc>
          <w:tcPr>
            <w:tcW w:type="dxa" w:w="2160"/>
            <w:shd w:val="clear" w:color="auto" w:fill="F8FAFC"/>
            <w:tcMar>
              <w:top w:w="60" w:type="dxa"/>
              <w:bottom w:w="60" w:type="dxa"/>
              <w:left w:w="100" w:type="dxa"/>
              <w:right w:w="100" w:type="dxa"/>
            </w:tcMar>
          </w:tcPr>
          <w:p>
            <w:pPr>
              <w:spacing w:after="0"/>
            </w:pPr>
            <w:r>
              <w:rPr>
                <w:b/>
                <w:color w:val="475569"/>
                <w:sz w:val="17"/>
              </w:rPr>
              <w:t>Test Suite Status</w:t>
            </w:r>
          </w:p>
        </w:tc>
        <w:tc>
          <w:tcPr>
            <w:tcW w:type="dxa" w:w="2304"/>
            <w:shd w:val="clear" w:color="auto" w:fill="FFFFFF"/>
            <w:tcMar>
              <w:top w:w="60" w:type="dxa"/>
              <w:bottom w:w="60" w:type="dxa"/>
              <w:left w:w="100" w:type="dxa"/>
              <w:right w:w="100" w:type="dxa"/>
            </w:tcMar>
          </w:tcPr>
          <w:p>
            <w:pPr>
              <w:spacing w:after="0"/>
            </w:pPr>
            <w:r>
              <w:rPr>
                <w:color w:val="0F172A"/>
                <w:sz w:val="17"/>
              </w:rPr>
              <w:t>129 / 129 Passed (0 Errors)</w:t>
            </w:r>
          </w:p>
        </w:tc>
      </w:tr>
    </w:tbl>
    <w:p/>
    <w:p>
      <w:pPr>
        <w:pStyle w:val="Heading1"/>
      </w:pPr>
      <w:r>
        <w:rPr>
          <w:rFonts w:ascii="Segoe UI Semibold" w:hAnsi="Segoe UI Semibold"/>
          <w:color w:val="0F172A"/>
          <w:sz w:val="30"/>
        </w:rPr>
        <w:t>1. Executive Summary &amp; Overall Readiness</w:t>
      </w:r>
    </w:p>
    <w:p>
      <w:r>
        <w:t>This audit establishes the definitive baseline of what has been implemented, validated, and merged into the EviGraph repository, and details the exact specifications of the presentation and interaction layers remaining to be built. Across all architectural pillars—Data Ingestion (Member 1), Multi-Model Detection &amp; Graph Analytics (Member 2), Forensic Legal/Compliance USPs (Lead/Member 2), and LLM Reasoning Agents (Member 3)—the algorithmic backend is 100% complete and verified against a comprehensive 129-test automated test suite.</w:t>
      </w:r>
    </w:p>
    <w:tbl>
      <w:tblPr>
        <w:tblW w:type="auto" w:w="0"/>
        <w:jc w:val="center"/>
        <w:tblLayout w:type="fixed"/>
        <w:tblLook w:firstColumn="1" w:firstRow="1" w:lastColumn="0" w:lastRow="0" w:noHBand="0" w:noVBand="1" w:val="04A0"/>
      </w:tblPr>
      <w:tblGrid>
        <w:gridCol w:w="9360"/>
      </w:tblGrid>
      <w:tr>
        <w:tc>
          <w:tcPr>
            <w:tcW w:type="dxa" w:w="9936"/>
            <w:shd w:val="clear" w:color="auto" w:fill="F1F5F9"/>
            <w:tcMar>
              <w:top w:w="140" w:type="dxa"/>
              <w:bottom w:w="140" w:type="dxa"/>
              <w:left w:w="200" w:type="dxa"/>
              <w:right w:w="200" w:type="dxa"/>
            </w:tcMar>
            <w:tcBorders>
              <w:left w:val="single" w:sz="24" w:space="0" w:color="1E3A8A"/>
              <w:top w:val="none"/>
              <w:right w:val="none"/>
              <w:bottom w:val="none"/>
            </w:tcBorders>
          </w:tcPr>
          <w:p>
            <w:pPr>
              <w:spacing w:before="0" w:after="60"/>
            </w:pPr>
            <w:r>
              <w:rPr>
                <w:rFonts w:ascii="Segoe UI" w:hAnsi="Segoe UI"/>
                <w:b/>
                <w:color w:val="1E3A8A"/>
                <w:sz w:val="20"/>
              </w:rPr>
              <w:t>[AUDIT SUMMARY &amp; READINESS SCORE]</w:t>
              <w:br/>
            </w:r>
            <w:r>
              <w:rPr>
                <w:rFonts w:ascii="Segoe UI" w:hAnsi="Segoe UI"/>
                <w:color w:val="334155"/>
                <w:sz w:val="19"/>
              </w:rPr>
              <w:t>Current System Readiness: 85% Complete overall. 100% of telemetry pipelines, multi-model detectors (XGBoost, HistGB, Deep Autoencoder, Edge-GraphSAGE, Meta-Ensemble), RFC-6962 Merkle chain-of-custody, Causal Provenance DAGs, Adversarial Courtroom Auditor, Surgical Containment Engine, and LLM Grounded Report Builders are operational.</w:t>
              <w:br/>
              <w:t>Remaining Work: The Presentation Layer (FastAPI REST Server + Cytoscape.js Interactive SOC Dashboard) and final deployment packaging.</w:t>
            </w:r>
          </w:p>
        </w:tc>
      </w:tr>
    </w:tbl>
    <w:p/>
    <w:p>
      <w:pPr>
        <w:pStyle w:val="Heading1"/>
      </w:pPr>
      <w:r>
        <w:rPr>
          <w:rFonts w:ascii="Segoe UI Semibold" w:hAnsi="Segoe UI Semibold"/>
          <w:color w:val="0F172A"/>
          <w:sz w:val="30"/>
        </w:rPr>
        <w:t>2. Comprehensive Architectural Audit Matrix</w:t>
      </w:r>
    </w:p>
    <w:p>
      <w:r>
        <w:t>The matrix below itemizes the status of each subsystem across PRD requirements, source modules, and verification metrics: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val="clear" w:color="auto" w:fill="0F172A"/>
            <w:tcMar>
              <w:top w:w="80" w:type="dxa"/>
              <w:bottom w:w="80" w:type="dxa"/>
              <w:left w:w="100" w:type="dxa"/>
              <w:right w:w="100" w:type="dxa"/>
            </w:tcMar>
          </w:tcPr>
          <w:p>
            <w:pPr>
              <w:spacing w:after="0"/>
            </w:pPr>
            <w:r>
              <w:rPr>
                <w:b/>
                <w:color w:val="FFFFFF"/>
                <w:sz w:val="17"/>
              </w:rPr>
              <w:t>Subsystem Layer</w:t>
            </w:r>
          </w:p>
        </w:tc>
        <w:tc>
          <w:tcPr>
            <w:tcW w:type="dxa" w:w="1728"/>
            <w:shd w:val="clear" w:color="auto" w:fill="0F172A"/>
            <w:tcMar>
              <w:top w:w="80" w:type="dxa"/>
              <w:bottom w:w="80" w:type="dxa"/>
              <w:left w:w="100" w:type="dxa"/>
              <w:right w:w="100" w:type="dxa"/>
            </w:tcMar>
          </w:tcPr>
          <w:p>
            <w:pPr>
              <w:spacing w:after="0"/>
            </w:pPr>
            <w:r>
              <w:rPr>
                <w:b/>
                <w:color w:val="FFFFFF"/>
                <w:sz w:val="17"/>
              </w:rPr>
              <w:t>Assigned Role</w:t>
            </w:r>
          </w:p>
        </w:tc>
        <w:tc>
          <w:tcPr>
            <w:tcW w:type="dxa" w:w="1296"/>
            <w:shd w:val="clear" w:color="auto" w:fill="0F172A"/>
            <w:tcMar>
              <w:top w:w="80" w:type="dxa"/>
              <w:bottom w:w="80" w:type="dxa"/>
              <w:left w:w="100" w:type="dxa"/>
              <w:right w:w="100" w:type="dxa"/>
            </w:tcMar>
          </w:tcPr>
          <w:p>
            <w:pPr>
              <w:spacing w:after="0"/>
            </w:pPr>
            <w:r>
              <w:rPr>
                <w:b/>
                <w:color w:val="FFFFFF"/>
                <w:sz w:val="17"/>
              </w:rPr>
              <w:t>Completion</w:t>
            </w:r>
          </w:p>
        </w:tc>
        <w:tc>
          <w:tcPr>
            <w:tcW w:type="dxa" w:w="2304"/>
            <w:shd w:val="clear" w:color="auto" w:fill="0F172A"/>
            <w:tcMar>
              <w:top w:w="80" w:type="dxa"/>
              <w:bottom w:w="80" w:type="dxa"/>
              <w:left w:w="100" w:type="dxa"/>
              <w:right w:w="100" w:type="dxa"/>
            </w:tcMar>
          </w:tcPr>
          <w:p>
            <w:pPr>
              <w:spacing w:after="0"/>
            </w:pPr>
            <w:r>
              <w:rPr>
                <w:b/>
                <w:color w:val="FFFFFF"/>
                <w:sz w:val="17"/>
              </w:rPr>
              <w:t>Verification Metric</w:t>
            </w:r>
          </w:p>
        </w:tc>
        <w:tc>
          <w:tcPr>
            <w:tcW w:type="dxa" w:w="1728"/>
            <w:shd w:val="clear" w:color="auto" w:fill="0F172A"/>
            <w:tcMar>
              <w:top w:w="80" w:type="dxa"/>
              <w:bottom w:w="80" w:type="dxa"/>
              <w:left w:w="100" w:type="dxa"/>
              <w:right w:w="100" w:type="dxa"/>
            </w:tcMar>
          </w:tcPr>
          <w:p>
            <w:pPr>
              <w:spacing w:after="0"/>
            </w:pPr>
            <w:r>
              <w:rPr>
                <w:b/>
                <w:color w:val="FFFFFF"/>
                <w:sz w:val="17"/>
              </w:rPr>
              <w:t>Production Status</w:t>
            </w:r>
          </w:p>
        </w:tc>
      </w:tr>
      <w:tr>
        <w:tc>
          <w:tcPr>
            <w:tcW w:type="dxa" w:w="2304"/>
            <w:tcMar>
              <w:top w:w="60" w:type="dxa"/>
              <w:bottom w:w="60" w:type="dxa"/>
              <w:left w:w="100" w:type="dxa"/>
              <w:right w:w="100" w:type="dxa"/>
            </w:tcMar>
            <w:shd w:val="clear" w:color="auto" w:fill="F8FAFC"/>
          </w:tcPr>
          <w:p>
            <w:pPr>
              <w:spacing w:after="0"/>
            </w:pPr>
            <w:r>
              <w:rPr>
                <w:sz w:val="17"/>
              </w:rPr>
              <w:t>Layer 1: Telemetry &amp; Ingestion</w:t>
            </w:r>
          </w:p>
        </w:tc>
        <w:tc>
          <w:tcPr>
            <w:tcW w:type="dxa" w:w="1728"/>
            <w:tcMar>
              <w:top w:w="60" w:type="dxa"/>
              <w:bottom w:w="60" w:type="dxa"/>
              <w:left w:w="100" w:type="dxa"/>
              <w:right w:w="100" w:type="dxa"/>
            </w:tcMar>
            <w:shd w:val="clear" w:color="auto" w:fill="F8FAFC"/>
          </w:tcPr>
          <w:p>
            <w:pPr>
              <w:spacing w:after="0"/>
            </w:pPr>
            <w:r>
              <w:rPr>
                <w:sz w:val="17"/>
              </w:rPr>
              <w:t>Member 1 (Data)</w:t>
            </w:r>
          </w:p>
        </w:tc>
        <w:tc>
          <w:tcPr>
            <w:tcW w:type="dxa" w:w="1296"/>
            <w:tcMar>
              <w:top w:w="60" w:type="dxa"/>
              <w:bottom w:w="60" w:type="dxa"/>
              <w:left w:w="100" w:type="dxa"/>
              <w:right w:w="100" w:type="dxa"/>
            </w:tcMar>
            <w:shd w:val="clear" w:color="auto" w:fill="F8FAFC"/>
          </w:tcPr>
          <w:p>
            <w:pPr>
              <w:spacing w:after="0"/>
            </w:pPr>
            <w:r>
              <w:rPr>
                <w:sz w:val="17"/>
              </w:rPr>
              <w:t>100%</w:t>
            </w:r>
          </w:p>
        </w:tc>
        <w:tc>
          <w:tcPr>
            <w:tcW w:type="dxa" w:w="2304"/>
            <w:tcMar>
              <w:top w:w="60" w:type="dxa"/>
              <w:bottom w:w="60" w:type="dxa"/>
              <w:left w:w="100" w:type="dxa"/>
              <w:right w:w="100" w:type="dxa"/>
            </w:tcMar>
            <w:shd w:val="clear" w:color="auto" w:fill="F8FAFC"/>
          </w:tcPr>
          <w:p>
            <w:pPr>
              <w:spacing w:after="0"/>
            </w:pPr>
            <w:r>
              <w:rPr>
                <w:sz w:val="17"/>
              </w:rPr>
              <w:t>42/42 Unit Tests Passed; Parquet/DuckDB schemas valid</w:t>
            </w:r>
          </w:p>
        </w:tc>
        <w:tc>
          <w:tcPr>
            <w:tcW w:type="dxa" w:w="1728"/>
            <w:tcMar>
              <w:top w:w="60" w:type="dxa"/>
              <w:bottom w:w="60" w:type="dxa"/>
              <w:left w:w="100" w:type="dxa"/>
              <w:right w:w="100" w:type="dxa"/>
            </w:tcMar>
            <w:shd w:val="clear" w:color="auto" w:fill="F8FAFC"/>
          </w:tcPr>
          <w:p>
            <w:pPr>
              <w:spacing w:after="0"/>
            </w:pPr>
            <w:r>
              <w:rPr>
                <w:b/>
                <w:color w:val="15803D"/>
                <w:sz w:val="17"/>
              </w:rPr>
              <w:t>COMPLETE</w:t>
            </w:r>
          </w:p>
        </w:tc>
      </w:tr>
      <w:tr>
        <w:tc>
          <w:tcPr>
            <w:tcW w:type="dxa" w:w="2304"/>
            <w:tcMar>
              <w:top w:w="60" w:type="dxa"/>
              <w:bottom w:w="60" w:type="dxa"/>
              <w:left w:w="100" w:type="dxa"/>
              <w:right w:w="100" w:type="dxa"/>
            </w:tcMar>
            <w:shd w:val="clear" w:color="auto" w:fill="FFFFFF"/>
          </w:tcPr>
          <w:p>
            <w:pPr>
              <w:spacing w:after="0"/>
            </w:pPr>
            <w:r>
              <w:rPr>
                <w:sz w:val="17"/>
              </w:rPr>
              <w:t>Layer 2: ML/DL Detection Suite</w:t>
            </w:r>
          </w:p>
        </w:tc>
        <w:tc>
          <w:tcPr>
            <w:tcW w:type="dxa" w:w="1728"/>
            <w:tcMar>
              <w:top w:w="60" w:type="dxa"/>
              <w:bottom w:w="60" w:type="dxa"/>
              <w:left w:w="100" w:type="dxa"/>
              <w:right w:w="100" w:type="dxa"/>
            </w:tcMar>
            <w:shd w:val="clear" w:color="auto" w:fill="FFFFFF"/>
          </w:tcPr>
          <w:p>
            <w:pPr>
              <w:spacing w:after="0"/>
            </w:pPr>
            <w:r>
              <w:rPr>
                <w:sz w:val="17"/>
              </w:rPr>
              <w:t>Member 2 (Detection)</w:t>
            </w:r>
          </w:p>
        </w:tc>
        <w:tc>
          <w:tcPr>
            <w:tcW w:type="dxa" w:w="1296"/>
            <w:tcMar>
              <w:top w:w="60" w:type="dxa"/>
              <w:bottom w:w="60" w:type="dxa"/>
              <w:left w:w="100" w:type="dxa"/>
              <w:right w:w="100" w:type="dxa"/>
            </w:tcMar>
            <w:shd w:val="clear" w:color="auto" w:fill="FFFFFF"/>
          </w:tcPr>
          <w:p>
            <w:pPr>
              <w:spacing w:after="0"/>
            </w:pPr>
            <w:r>
              <w:rPr>
                <w:sz w:val="17"/>
              </w:rPr>
              <w:t>100%</w:t>
            </w:r>
          </w:p>
        </w:tc>
        <w:tc>
          <w:tcPr>
            <w:tcW w:type="dxa" w:w="2304"/>
            <w:tcMar>
              <w:top w:w="60" w:type="dxa"/>
              <w:bottom w:w="60" w:type="dxa"/>
              <w:left w:w="100" w:type="dxa"/>
              <w:right w:w="100" w:type="dxa"/>
            </w:tcMar>
            <w:shd w:val="clear" w:color="auto" w:fill="FFFFFF"/>
          </w:tcPr>
          <w:p>
            <w:pPr>
              <w:spacing w:after="0"/>
            </w:pPr>
            <w:r>
              <w:rPr>
                <w:sz w:val="17"/>
              </w:rPr>
              <w:t>100.0% Validation Precision/Recall; PR-AUC 1.0000</w:t>
            </w:r>
          </w:p>
        </w:tc>
        <w:tc>
          <w:tcPr>
            <w:tcW w:type="dxa" w:w="1728"/>
            <w:tcMar>
              <w:top w:w="60" w:type="dxa"/>
              <w:bottom w:w="60" w:type="dxa"/>
              <w:left w:w="100" w:type="dxa"/>
              <w:right w:w="100" w:type="dxa"/>
            </w:tcMar>
            <w:shd w:val="clear" w:color="auto" w:fill="FFFFFF"/>
          </w:tcPr>
          <w:p>
            <w:pPr>
              <w:spacing w:after="0"/>
            </w:pPr>
            <w:r>
              <w:rPr>
                <w:b/>
                <w:color w:val="15803D"/>
                <w:sz w:val="17"/>
              </w:rPr>
              <w:t>COMPLETE</w:t>
            </w:r>
          </w:p>
        </w:tc>
      </w:tr>
      <w:tr>
        <w:tc>
          <w:tcPr>
            <w:tcW w:type="dxa" w:w="2304"/>
            <w:tcMar>
              <w:top w:w="60" w:type="dxa"/>
              <w:bottom w:w="60" w:type="dxa"/>
              <w:left w:w="100" w:type="dxa"/>
              <w:right w:w="100" w:type="dxa"/>
            </w:tcMar>
            <w:shd w:val="clear" w:color="auto" w:fill="F8FAFC"/>
          </w:tcPr>
          <w:p>
            <w:pPr>
              <w:spacing w:after="0"/>
            </w:pPr>
            <w:r>
              <w:rPr>
                <w:sz w:val="17"/>
              </w:rPr>
              <w:t>Layer 3: Graph &amp; Incident Clustering</w:t>
            </w:r>
          </w:p>
        </w:tc>
        <w:tc>
          <w:tcPr>
            <w:tcW w:type="dxa" w:w="1728"/>
            <w:tcMar>
              <w:top w:w="60" w:type="dxa"/>
              <w:bottom w:w="60" w:type="dxa"/>
              <w:left w:w="100" w:type="dxa"/>
              <w:right w:w="100" w:type="dxa"/>
            </w:tcMar>
            <w:shd w:val="clear" w:color="auto" w:fill="F8FAFC"/>
          </w:tcPr>
          <w:p>
            <w:pPr>
              <w:spacing w:after="0"/>
            </w:pPr>
            <w:r>
              <w:rPr>
                <w:sz w:val="17"/>
              </w:rPr>
              <w:t>Member 2 (Graph)</w:t>
            </w:r>
          </w:p>
        </w:tc>
        <w:tc>
          <w:tcPr>
            <w:tcW w:type="dxa" w:w="1296"/>
            <w:tcMar>
              <w:top w:w="60" w:type="dxa"/>
              <w:bottom w:w="60" w:type="dxa"/>
              <w:left w:w="100" w:type="dxa"/>
              <w:right w:w="100" w:type="dxa"/>
            </w:tcMar>
            <w:shd w:val="clear" w:color="auto" w:fill="F8FAFC"/>
          </w:tcPr>
          <w:p>
            <w:pPr>
              <w:spacing w:after="0"/>
            </w:pPr>
            <w:r>
              <w:rPr>
                <w:sz w:val="17"/>
              </w:rPr>
              <w:t>100%</w:t>
            </w:r>
          </w:p>
        </w:tc>
        <w:tc>
          <w:tcPr>
            <w:tcW w:type="dxa" w:w="2304"/>
            <w:tcMar>
              <w:top w:w="60" w:type="dxa"/>
              <w:bottom w:w="60" w:type="dxa"/>
              <w:left w:w="100" w:type="dxa"/>
              <w:right w:w="100" w:type="dxa"/>
            </w:tcMar>
            <w:shd w:val="clear" w:color="auto" w:fill="F8FAFC"/>
          </w:tcPr>
          <w:p>
            <w:pPr>
              <w:spacing w:after="0"/>
            </w:pPr>
            <w:r>
              <w:rPr>
                <w:sz w:val="17"/>
              </w:rPr>
              <w:t>Single-pass O(N) Inverted Host Index; Subgraph extraction</w:t>
            </w:r>
          </w:p>
        </w:tc>
        <w:tc>
          <w:tcPr>
            <w:tcW w:type="dxa" w:w="1728"/>
            <w:tcMar>
              <w:top w:w="60" w:type="dxa"/>
              <w:bottom w:w="60" w:type="dxa"/>
              <w:left w:w="100" w:type="dxa"/>
              <w:right w:w="100" w:type="dxa"/>
            </w:tcMar>
            <w:shd w:val="clear" w:color="auto" w:fill="F8FAFC"/>
          </w:tcPr>
          <w:p>
            <w:pPr>
              <w:spacing w:after="0"/>
            </w:pPr>
            <w:r>
              <w:rPr>
                <w:b/>
                <w:color w:val="15803D"/>
                <w:sz w:val="17"/>
              </w:rPr>
              <w:t>COMPLETE</w:t>
            </w:r>
          </w:p>
        </w:tc>
      </w:tr>
      <w:tr>
        <w:tc>
          <w:tcPr>
            <w:tcW w:type="dxa" w:w="2304"/>
            <w:tcMar>
              <w:top w:w="60" w:type="dxa"/>
              <w:bottom w:w="60" w:type="dxa"/>
              <w:left w:w="100" w:type="dxa"/>
              <w:right w:w="100" w:type="dxa"/>
            </w:tcMar>
            <w:shd w:val="clear" w:color="auto" w:fill="FFFFFF"/>
          </w:tcPr>
          <w:p>
            <w:pPr>
              <w:spacing w:after="0"/>
            </w:pPr>
            <w:r>
              <w:rPr>
                <w:sz w:val="17"/>
              </w:rPr>
              <w:t>Layer 4: RFC-6962 Merkle Ledger (USP)</w:t>
            </w:r>
          </w:p>
        </w:tc>
        <w:tc>
          <w:tcPr>
            <w:tcW w:type="dxa" w:w="1728"/>
            <w:tcMar>
              <w:top w:w="60" w:type="dxa"/>
              <w:bottom w:w="60" w:type="dxa"/>
              <w:left w:w="100" w:type="dxa"/>
              <w:right w:w="100" w:type="dxa"/>
            </w:tcMar>
            <w:shd w:val="clear" w:color="auto" w:fill="FFFFFF"/>
          </w:tcPr>
          <w:p>
            <w:pPr>
              <w:spacing w:after="0"/>
            </w:pPr>
            <w:r>
              <w:rPr>
                <w:sz w:val="17"/>
              </w:rPr>
              <w:t>Lead / Security</w:t>
            </w:r>
          </w:p>
        </w:tc>
        <w:tc>
          <w:tcPr>
            <w:tcW w:type="dxa" w:w="1296"/>
            <w:tcMar>
              <w:top w:w="60" w:type="dxa"/>
              <w:bottom w:w="60" w:type="dxa"/>
              <w:left w:w="100" w:type="dxa"/>
              <w:right w:w="100" w:type="dxa"/>
            </w:tcMar>
            <w:shd w:val="clear" w:color="auto" w:fill="FFFFFF"/>
          </w:tcPr>
          <w:p>
            <w:pPr>
              <w:spacing w:after="0"/>
            </w:pPr>
            <w:r>
              <w:rPr>
                <w:sz w:val="17"/>
              </w:rPr>
              <w:t>100%</w:t>
            </w:r>
          </w:p>
        </w:tc>
        <w:tc>
          <w:tcPr>
            <w:tcW w:type="dxa" w:w="2304"/>
            <w:tcMar>
              <w:top w:w="60" w:type="dxa"/>
              <w:bottom w:w="60" w:type="dxa"/>
              <w:left w:w="100" w:type="dxa"/>
              <w:right w:w="100" w:type="dxa"/>
            </w:tcMar>
            <w:shd w:val="clear" w:color="auto" w:fill="FFFFFF"/>
          </w:tcPr>
          <w:p>
            <w:pPr>
              <w:spacing w:after="0"/>
            </w:pPr>
            <w:r>
              <w:rPr>
                <w:sz w:val="17"/>
              </w:rPr>
              <w:t>O(log N) proofs; 100% root verification; tamper-detection</w:t>
            </w:r>
          </w:p>
        </w:tc>
        <w:tc>
          <w:tcPr>
            <w:tcW w:type="dxa" w:w="1728"/>
            <w:tcMar>
              <w:top w:w="60" w:type="dxa"/>
              <w:bottom w:w="60" w:type="dxa"/>
              <w:left w:w="100" w:type="dxa"/>
              <w:right w:w="100" w:type="dxa"/>
            </w:tcMar>
            <w:shd w:val="clear" w:color="auto" w:fill="FFFFFF"/>
          </w:tcPr>
          <w:p>
            <w:pPr>
              <w:spacing w:after="0"/>
            </w:pPr>
            <w:r>
              <w:rPr>
                <w:b/>
                <w:color w:val="15803D"/>
                <w:sz w:val="17"/>
              </w:rPr>
              <w:t>COMPLETE</w:t>
            </w:r>
          </w:p>
        </w:tc>
      </w:tr>
      <w:tr>
        <w:tc>
          <w:tcPr>
            <w:tcW w:type="dxa" w:w="2304"/>
            <w:tcMar>
              <w:top w:w="60" w:type="dxa"/>
              <w:bottom w:w="60" w:type="dxa"/>
              <w:left w:w="100" w:type="dxa"/>
              <w:right w:w="100" w:type="dxa"/>
            </w:tcMar>
            <w:shd w:val="clear" w:color="auto" w:fill="F8FAFC"/>
          </w:tcPr>
          <w:p>
            <w:pPr>
              <w:spacing w:after="0"/>
            </w:pPr>
            <w:r>
              <w:rPr>
                <w:sz w:val="17"/>
              </w:rPr>
              <w:t>Layer 5: Causal Provenance DAG (USP)</w:t>
            </w:r>
          </w:p>
        </w:tc>
        <w:tc>
          <w:tcPr>
            <w:tcW w:type="dxa" w:w="1728"/>
            <w:tcMar>
              <w:top w:w="60" w:type="dxa"/>
              <w:bottom w:w="60" w:type="dxa"/>
              <w:left w:w="100" w:type="dxa"/>
              <w:right w:w="100" w:type="dxa"/>
            </w:tcMar>
            <w:shd w:val="clear" w:color="auto" w:fill="F8FAFC"/>
          </w:tcPr>
          <w:p>
            <w:pPr>
              <w:spacing w:after="0"/>
            </w:pPr>
            <w:r>
              <w:rPr>
                <w:sz w:val="17"/>
              </w:rPr>
              <w:t>Lead / Reasoning</w:t>
            </w:r>
          </w:p>
        </w:tc>
        <w:tc>
          <w:tcPr>
            <w:tcW w:type="dxa" w:w="1296"/>
            <w:tcMar>
              <w:top w:w="60" w:type="dxa"/>
              <w:bottom w:w="60" w:type="dxa"/>
              <w:left w:w="100" w:type="dxa"/>
              <w:right w:w="100" w:type="dxa"/>
            </w:tcMar>
            <w:shd w:val="clear" w:color="auto" w:fill="F8FAFC"/>
          </w:tcPr>
          <w:p>
            <w:pPr>
              <w:spacing w:after="0"/>
            </w:pPr>
            <w:r>
              <w:rPr>
                <w:sz w:val="17"/>
              </w:rPr>
              <w:t>100%</w:t>
            </w:r>
          </w:p>
        </w:tc>
        <w:tc>
          <w:tcPr>
            <w:tcW w:type="dxa" w:w="2304"/>
            <w:tcMar>
              <w:top w:w="60" w:type="dxa"/>
              <w:bottom w:w="60" w:type="dxa"/>
              <w:left w:w="100" w:type="dxa"/>
              <w:right w:w="100" w:type="dxa"/>
            </w:tcMar>
            <w:shd w:val="clear" w:color="auto" w:fill="F8FAFC"/>
          </w:tcPr>
          <w:p>
            <w:pPr>
              <w:spacing w:after="0"/>
            </w:pPr>
            <w:r>
              <w:rPr>
                <w:sz w:val="17"/>
              </w:rPr>
              <w:t>Lamport monotonic time; Topological DP primary chain</w:t>
            </w:r>
          </w:p>
        </w:tc>
        <w:tc>
          <w:tcPr>
            <w:tcW w:type="dxa" w:w="1728"/>
            <w:tcMar>
              <w:top w:w="60" w:type="dxa"/>
              <w:bottom w:w="60" w:type="dxa"/>
              <w:left w:w="100" w:type="dxa"/>
              <w:right w:w="100" w:type="dxa"/>
            </w:tcMar>
            <w:shd w:val="clear" w:color="auto" w:fill="F8FAFC"/>
          </w:tcPr>
          <w:p>
            <w:pPr>
              <w:spacing w:after="0"/>
            </w:pPr>
            <w:r>
              <w:rPr>
                <w:b/>
                <w:color w:val="15803D"/>
                <w:sz w:val="17"/>
              </w:rPr>
              <w:t>COMPLETE</w:t>
            </w:r>
          </w:p>
        </w:tc>
      </w:tr>
      <w:tr>
        <w:tc>
          <w:tcPr>
            <w:tcW w:type="dxa" w:w="2304"/>
            <w:tcMar>
              <w:top w:w="60" w:type="dxa"/>
              <w:bottom w:w="60" w:type="dxa"/>
              <w:left w:w="100" w:type="dxa"/>
              <w:right w:w="100" w:type="dxa"/>
            </w:tcMar>
            <w:shd w:val="clear" w:color="auto" w:fill="FFFFFF"/>
          </w:tcPr>
          <w:p>
            <w:pPr>
              <w:spacing w:after="0"/>
            </w:pPr>
            <w:r>
              <w:rPr>
                <w:sz w:val="17"/>
              </w:rPr>
              <w:t>Layer 6: Courtroom Cross-Examiner (USP)</w:t>
            </w:r>
          </w:p>
        </w:tc>
        <w:tc>
          <w:tcPr>
            <w:tcW w:type="dxa" w:w="1728"/>
            <w:tcMar>
              <w:top w:w="60" w:type="dxa"/>
              <w:bottom w:w="60" w:type="dxa"/>
              <w:left w:w="100" w:type="dxa"/>
              <w:right w:w="100" w:type="dxa"/>
            </w:tcMar>
            <w:shd w:val="clear" w:color="auto" w:fill="FFFFFF"/>
          </w:tcPr>
          <w:p>
            <w:pPr>
              <w:spacing w:after="0"/>
            </w:pPr>
            <w:r>
              <w:rPr>
                <w:sz w:val="17"/>
              </w:rPr>
              <w:t>Lead / Legal</w:t>
            </w:r>
          </w:p>
        </w:tc>
        <w:tc>
          <w:tcPr>
            <w:tcW w:type="dxa" w:w="1296"/>
            <w:tcMar>
              <w:top w:w="60" w:type="dxa"/>
              <w:bottom w:w="60" w:type="dxa"/>
              <w:left w:w="100" w:type="dxa"/>
              <w:right w:w="100" w:type="dxa"/>
            </w:tcMar>
            <w:shd w:val="clear" w:color="auto" w:fill="FFFFFF"/>
          </w:tcPr>
          <w:p>
            <w:pPr>
              <w:spacing w:after="0"/>
            </w:pPr>
            <w:r>
              <w:rPr>
                <w:sz w:val="17"/>
              </w:rPr>
              <w:t>100%</w:t>
            </w:r>
          </w:p>
        </w:tc>
        <w:tc>
          <w:tcPr>
            <w:tcW w:type="dxa" w:w="2304"/>
            <w:tcMar>
              <w:top w:w="60" w:type="dxa"/>
              <w:bottom w:w="60" w:type="dxa"/>
              <w:left w:w="100" w:type="dxa"/>
              <w:right w:w="100" w:type="dxa"/>
            </w:tcMar>
            <w:shd w:val="clear" w:color="auto" w:fill="FFFFFF"/>
          </w:tcPr>
          <w:p>
            <w:pPr>
              <w:spacing w:after="0"/>
            </w:pPr>
            <w:r>
              <w:rPr>
                <w:sz w:val="17"/>
              </w:rPr>
              <w:t>FRE 902(13)/(14) &amp; ISO 27037: 100% Admissibility Score</w:t>
            </w:r>
          </w:p>
        </w:tc>
        <w:tc>
          <w:tcPr>
            <w:tcW w:type="dxa" w:w="1728"/>
            <w:tcMar>
              <w:top w:w="60" w:type="dxa"/>
              <w:bottom w:w="60" w:type="dxa"/>
              <w:left w:w="100" w:type="dxa"/>
              <w:right w:w="100" w:type="dxa"/>
            </w:tcMar>
            <w:shd w:val="clear" w:color="auto" w:fill="FFFFFF"/>
          </w:tcPr>
          <w:p>
            <w:pPr>
              <w:spacing w:after="0"/>
            </w:pPr>
            <w:r>
              <w:rPr>
                <w:b/>
                <w:color w:val="15803D"/>
                <w:sz w:val="17"/>
              </w:rPr>
              <w:t>COMPLETE</w:t>
            </w:r>
          </w:p>
        </w:tc>
      </w:tr>
      <w:tr>
        <w:tc>
          <w:tcPr>
            <w:tcW w:type="dxa" w:w="2304"/>
            <w:tcMar>
              <w:top w:w="60" w:type="dxa"/>
              <w:bottom w:w="60" w:type="dxa"/>
              <w:left w:w="100" w:type="dxa"/>
              <w:right w:w="100" w:type="dxa"/>
            </w:tcMar>
            <w:shd w:val="clear" w:color="auto" w:fill="F8FAFC"/>
          </w:tcPr>
          <w:p>
            <w:pPr>
              <w:spacing w:after="0"/>
            </w:pPr>
            <w:r>
              <w:rPr>
                <w:sz w:val="17"/>
              </w:rPr>
              <w:t>Layer 7: Surgical Containment Engine (USP)</w:t>
            </w:r>
          </w:p>
        </w:tc>
        <w:tc>
          <w:tcPr>
            <w:tcW w:type="dxa" w:w="1728"/>
            <w:tcMar>
              <w:top w:w="60" w:type="dxa"/>
              <w:bottom w:w="60" w:type="dxa"/>
              <w:left w:w="100" w:type="dxa"/>
              <w:right w:w="100" w:type="dxa"/>
            </w:tcMar>
            <w:shd w:val="clear" w:color="auto" w:fill="F8FAFC"/>
          </w:tcPr>
          <w:p>
            <w:pPr>
              <w:spacing w:after="0"/>
            </w:pPr>
            <w:r>
              <w:rPr>
                <w:sz w:val="17"/>
              </w:rPr>
              <w:t>Lead / Active Def</w:t>
            </w:r>
          </w:p>
        </w:tc>
        <w:tc>
          <w:tcPr>
            <w:tcW w:type="dxa" w:w="1296"/>
            <w:tcMar>
              <w:top w:w="60" w:type="dxa"/>
              <w:bottom w:w="60" w:type="dxa"/>
              <w:left w:w="100" w:type="dxa"/>
              <w:right w:w="100" w:type="dxa"/>
            </w:tcMar>
            <w:shd w:val="clear" w:color="auto" w:fill="F8FAFC"/>
          </w:tcPr>
          <w:p>
            <w:pPr>
              <w:spacing w:after="0"/>
            </w:pPr>
            <w:r>
              <w:rPr>
                <w:sz w:val="17"/>
              </w:rPr>
              <w:t>100%</w:t>
            </w:r>
          </w:p>
        </w:tc>
        <w:tc>
          <w:tcPr>
            <w:tcW w:type="dxa" w:w="2304"/>
            <w:tcMar>
              <w:top w:w="60" w:type="dxa"/>
              <w:bottom w:w="60" w:type="dxa"/>
              <w:left w:w="100" w:type="dxa"/>
              <w:right w:w="100" w:type="dxa"/>
            </w:tcMar>
            <w:shd w:val="clear" w:color="auto" w:fill="F8FAFC"/>
          </w:tcPr>
          <w:p>
            <w:pPr>
              <w:spacing w:after="0"/>
            </w:pPr>
            <w:r>
              <w:rPr>
                <w:sz w:val="17"/>
              </w:rPr>
              <w:t>Min-Cut bottleneck cuts; 4 firewall platforms compiled</w:t>
            </w:r>
          </w:p>
        </w:tc>
        <w:tc>
          <w:tcPr>
            <w:tcW w:type="dxa" w:w="1728"/>
            <w:tcMar>
              <w:top w:w="60" w:type="dxa"/>
              <w:bottom w:w="60" w:type="dxa"/>
              <w:left w:w="100" w:type="dxa"/>
              <w:right w:w="100" w:type="dxa"/>
            </w:tcMar>
            <w:shd w:val="clear" w:color="auto" w:fill="F8FAFC"/>
          </w:tcPr>
          <w:p>
            <w:pPr>
              <w:spacing w:after="0"/>
            </w:pPr>
            <w:r>
              <w:rPr>
                <w:b/>
                <w:color w:val="15803D"/>
                <w:sz w:val="17"/>
              </w:rPr>
              <w:t>COMPLETE</w:t>
            </w:r>
          </w:p>
        </w:tc>
      </w:tr>
      <w:tr>
        <w:tc>
          <w:tcPr>
            <w:tcW w:type="dxa" w:w="2304"/>
            <w:tcMar>
              <w:top w:w="60" w:type="dxa"/>
              <w:bottom w:w="60" w:type="dxa"/>
              <w:left w:w="100" w:type="dxa"/>
              <w:right w:w="100" w:type="dxa"/>
            </w:tcMar>
            <w:shd w:val="clear" w:color="auto" w:fill="FFFFFF"/>
          </w:tcPr>
          <w:p>
            <w:pPr>
              <w:spacing w:after="0"/>
            </w:pPr>
            <w:r>
              <w:rPr>
                <w:sz w:val="17"/>
              </w:rPr>
              <w:t>Layer 8: Privacy-Preserving Proofs (USP)</w:t>
            </w:r>
          </w:p>
        </w:tc>
        <w:tc>
          <w:tcPr>
            <w:tcW w:type="dxa" w:w="1728"/>
            <w:tcMar>
              <w:top w:w="60" w:type="dxa"/>
              <w:bottom w:w="60" w:type="dxa"/>
              <w:left w:w="100" w:type="dxa"/>
              <w:right w:w="100" w:type="dxa"/>
            </w:tcMar>
            <w:shd w:val="clear" w:color="auto" w:fill="FFFFFF"/>
          </w:tcPr>
          <w:p>
            <w:pPr>
              <w:spacing w:after="0"/>
            </w:pPr>
            <w:r>
              <w:rPr>
                <w:sz w:val="17"/>
              </w:rPr>
              <w:t>Lead / Privacy</w:t>
            </w:r>
          </w:p>
        </w:tc>
        <w:tc>
          <w:tcPr>
            <w:tcW w:type="dxa" w:w="1296"/>
            <w:tcMar>
              <w:top w:w="60" w:type="dxa"/>
              <w:bottom w:w="60" w:type="dxa"/>
              <w:left w:w="100" w:type="dxa"/>
              <w:right w:w="100" w:type="dxa"/>
            </w:tcMar>
            <w:shd w:val="clear" w:color="auto" w:fill="FFFFFF"/>
          </w:tcPr>
          <w:p>
            <w:pPr>
              <w:spacing w:after="0"/>
            </w:pPr>
            <w:r>
              <w:rPr>
                <w:sz w:val="17"/>
              </w:rPr>
              <w:t>100%</w:t>
            </w:r>
          </w:p>
        </w:tc>
        <w:tc>
          <w:tcPr>
            <w:tcW w:type="dxa" w:w="2304"/>
            <w:tcMar>
              <w:top w:w="60" w:type="dxa"/>
              <w:bottom w:w="60" w:type="dxa"/>
              <w:left w:w="100" w:type="dxa"/>
              <w:right w:w="100" w:type="dxa"/>
            </w:tcMar>
            <w:shd w:val="clear" w:color="auto" w:fill="FFFFFF"/>
          </w:tcPr>
          <w:p>
            <w:pPr>
              <w:spacing w:after="0"/>
            </w:pPr>
            <w:r>
              <w:rPr>
                <w:sz w:val="17"/>
              </w:rPr>
              <w:t>Zero topology leakage; Salted HMAC SEC/GDPR certificates</w:t>
            </w:r>
          </w:p>
        </w:tc>
        <w:tc>
          <w:tcPr>
            <w:tcW w:type="dxa" w:w="1728"/>
            <w:tcMar>
              <w:top w:w="60" w:type="dxa"/>
              <w:bottom w:w="60" w:type="dxa"/>
              <w:left w:w="100" w:type="dxa"/>
              <w:right w:w="100" w:type="dxa"/>
            </w:tcMar>
            <w:shd w:val="clear" w:color="auto" w:fill="FFFFFF"/>
          </w:tcPr>
          <w:p>
            <w:pPr>
              <w:spacing w:after="0"/>
            </w:pPr>
            <w:r>
              <w:rPr>
                <w:b/>
                <w:color w:val="15803D"/>
                <w:sz w:val="17"/>
              </w:rPr>
              <w:t>COMPLETE</w:t>
            </w:r>
          </w:p>
        </w:tc>
      </w:tr>
      <w:tr>
        <w:tc>
          <w:tcPr>
            <w:tcW w:type="dxa" w:w="2304"/>
            <w:tcMar>
              <w:top w:w="60" w:type="dxa"/>
              <w:bottom w:w="60" w:type="dxa"/>
              <w:left w:w="100" w:type="dxa"/>
              <w:right w:w="100" w:type="dxa"/>
            </w:tcMar>
            <w:shd w:val="clear" w:color="auto" w:fill="F8FAFC"/>
          </w:tcPr>
          <w:p>
            <w:pPr>
              <w:spacing w:after="0"/>
            </w:pPr>
            <w:r>
              <w:rPr>
                <w:sz w:val="17"/>
              </w:rPr>
              <w:t>Layer 9: Counterfactual Simulator (USP)</w:t>
            </w:r>
          </w:p>
        </w:tc>
        <w:tc>
          <w:tcPr>
            <w:tcW w:type="dxa" w:w="1728"/>
            <w:tcMar>
              <w:top w:w="60" w:type="dxa"/>
              <w:bottom w:w="60" w:type="dxa"/>
              <w:left w:w="100" w:type="dxa"/>
              <w:right w:w="100" w:type="dxa"/>
            </w:tcMar>
            <w:shd w:val="clear" w:color="auto" w:fill="F8FAFC"/>
          </w:tcPr>
          <w:p>
            <w:pPr>
              <w:spacing w:after="0"/>
            </w:pPr>
            <w:r>
              <w:rPr>
                <w:sz w:val="17"/>
              </w:rPr>
              <w:t>Lead / Architect</w:t>
            </w:r>
          </w:p>
        </w:tc>
        <w:tc>
          <w:tcPr>
            <w:tcW w:type="dxa" w:w="1296"/>
            <w:tcMar>
              <w:top w:w="60" w:type="dxa"/>
              <w:bottom w:w="60" w:type="dxa"/>
              <w:left w:w="100" w:type="dxa"/>
              <w:right w:w="100" w:type="dxa"/>
            </w:tcMar>
            <w:shd w:val="clear" w:color="auto" w:fill="F8FAFC"/>
          </w:tcPr>
          <w:p>
            <w:pPr>
              <w:spacing w:after="0"/>
            </w:pPr>
            <w:r>
              <w:rPr>
                <w:sz w:val="17"/>
              </w:rPr>
              <w:t>100%</w:t>
            </w:r>
          </w:p>
        </w:tc>
        <w:tc>
          <w:tcPr>
            <w:tcW w:type="dxa" w:w="2304"/>
            <w:tcMar>
              <w:top w:w="60" w:type="dxa"/>
              <w:bottom w:w="60" w:type="dxa"/>
              <w:left w:w="100" w:type="dxa"/>
              <w:right w:w="100" w:type="dxa"/>
            </w:tcMar>
            <w:shd w:val="clear" w:color="auto" w:fill="F8FAFC"/>
          </w:tcPr>
          <w:p>
            <w:pPr>
              <w:spacing w:after="0"/>
            </w:pPr>
            <w:r>
              <w:rPr>
                <w:sz w:val="17"/>
              </w:rPr>
              <w:t>Defensive Resilience Index (DRI) perturbation modeling</w:t>
            </w:r>
          </w:p>
        </w:tc>
        <w:tc>
          <w:tcPr>
            <w:tcW w:type="dxa" w:w="1728"/>
            <w:tcMar>
              <w:top w:w="60" w:type="dxa"/>
              <w:bottom w:w="60" w:type="dxa"/>
              <w:left w:w="100" w:type="dxa"/>
              <w:right w:w="100" w:type="dxa"/>
            </w:tcMar>
            <w:shd w:val="clear" w:color="auto" w:fill="F8FAFC"/>
          </w:tcPr>
          <w:p>
            <w:pPr>
              <w:spacing w:after="0"/>
            </w:pPr>
            <w:r>
              <w:rPr>
                <w:b/>
                <w:color w:val="15803D"/>
                <w:sz w:val="17"/>
              </w:rPr>
              <w:t>COMPLETE</w:t>
            </w:r>
          </w:p>
        </w:tc>
      </w:tr>
      <w:tr>
        <w:tc>
          <w:tcPr>
            <w:tcW w:type="dxa" w:w="2304"/>
            <w:tcMar>
              <w:top w:w="60" w:type="dxa"/>
              <w:bottom w:w="60" w:type="dxa"/>
              <w:left w:w="100" w:type="dxa"/>
              <w:right w:w="100" w:type="dxa"/>
            </w:tcMar>
            <w:shd w:val="clear" w:color="auto" w:fill="FFFFFF"/>
          </w:tcPr>
          <w:p>
            <w:pPr>
              <w:spacing w:after="0"/>
            </w:pPr>
            <w:r>
              <w:rPr>
                <w:sz w:val="17"/>
              </w:rPr>
              <w:t>Layer 10: LLM Forensic Agent &amp; RAG</w:t>
            </w:r>
          </w:p>
        </w:tc>
        <w:tc>
          <w:tcPr>
            <w:tcW w:type="dxa" w:w="1728"/>
            <w:tcMar>
              <w:top w:w="60" w:type="dxa"/>
              <w:bottom w:w="60" w:type="dxa"/>
              <w:left w:w="100" w:type="dxa"/>
              <w:right w:w="100" w:type="dxa"/>
            </w:tcMar>
            <w:shd w:val="clear" w:color="auto" w:fill="FFFFFF"/>
          </w:tcPr>
          <w:p>
            <w:pPr>
              <w:spacing w:after="0"/>
            </w:pPr>
            <w:r>
              <w:rPr>
                <w:sz w:val="17"/>
              </w:rPr>
              <w:t>Member 3 (Agent)</w:t>
            </w:r>
          </w:p>
        </w:tc>
        <w:tc>
          <w:tcPr>
            <w:tcW w:type="dxa" w:w="1296"/>
            <w:tcMar>
              <w:top w:w="60" w:type="dxa"/>
              <w:bottom w:w="60" w:type="dxa"/>
              <w:left w:w="100" w:type="dxa"/>
              <w:right w:w="100" w:type="dxa"/>
            </w:tcMar>
            <w:shd w:val="clear" w:color="auto" w:fill="FFFFFF"/>
          </w:tcPr>
          <w:p>
            <w:pPr>
              <w:spacing w:after="0"/>
            </w:pPr>
            <w:r>
              <w:rPr>
                <w:sz w:val="17"/>
              </w:rPr>
              <w:t>95%</w:t>
            </w:r>
          </w:p>
        </w:tc>
        <w:tc>
          <w:tcPr>
            <w:tcW w:type="dxa" w:w="2304"/>
            <w:tcMar>
              <w:top w:w="60" w:type="dxa"/>
              <w:bottom w:w="60" w:type="dxa"/>
              <w:left w:w="100" w:type="dxa"/>
              <w:right w:w="100" w:type="dxa"/>
            </w:tcMar>
            <w:shd w:val="clear" w:color="auto" w:fill="FFFFFF"/>
          </w:tcPr>
          <w:p>
            <w:pPr>
              <w:spacing w:after="0"/>
            </w:pPr>
            <w:r>
              <w:rPr>
                <w:sz w:val="17"/>
              </w:rPr>
              <w:t>Grounded tool loop; Citation Validator; Report Builder</w:t>
            </w:r>
          </w:p>
        </w:tc>
        <w:tc>
          <w:tcPr>
            <w:tcW w:type="dxa" w:w="1728"/>
            <w:tcMar>
              <w:top w:w="60" w:type="dxa"/>
              <w:bottom w:w="60" w:type="dxa"/>
              <w:left w:w="100" w:type="dxa"/>
              <w:right w:w="100" w:type="dxa"/>
            </w:tcMar>
            <w:shd w:val="clear" w:color="auto" w:fill="FFFFFF"/>
          </w:tcPr>
          <w:p>
            <w:pPr>
              <w:spacing w:after="0"/>
            </w:pPr>
            <w:r>
              <w:rPr>
                <w:b/>
                <w:color w:val="0284C7"/>
                <w:sz w:val="17"/>
              </w:rPr>
              <w:t>OPERATIONAL</w:t>
            </w:r>
          </w:p>
        </w:tc>
      </w:tr>
      <w:tr>
        <w:tc>
          <w:tcPr>
            <w:tcW w:type="dxa" w:w="2304"/>
            <w:tcMar>
              <w:top w:w="60" w:type="dxa"/>
              <w:bottom w:w="60" w:type="dxa"/>
              <w:left w:w="100" w:type="dxa"/>
              <w:right w:w="100" w:type="dxa"/>
            </w:tcMar>
            <w:shd w:val="clear" w:color="auto" w:fill="F8FAFC"/>
          </w:tcPr>
          <w:p>
            <w:pPr>
              <w:spacing w:after="0"/>
            </w:pPr>
            <w:r>
              <w:rPr>
                <w:sz w:val="17"/>
              </w:rPr>
              <w:t>Layer 11: Unified FastAPI REST Backend</w:t>
            </w:r>
          </w:p>
        </w:tc>
        <w:tc>
          <w:tcPr>
            <w:tcW w:type="dxa" w:w="1728"/>
            <w:tcMar>
              <w:top w:w="60" w:type="dxa"/>
              <w:bottom w:w="60" w:type="dxa"/>
              <w:left w:w="100" w:type="dxa"/>
              <w:right w:w="100" w:type="dxa"/>
            </w:tcMar>
            <w:shd w:val="clear" w:color="auto" w:fill="F8FAFC"/>
          </w:tcPr>
          <w:p>
            <w:pPr>
              <w:spacing w:after="0"/>
            </w:pPr>
            <w:r>
              <w:rPr>
                <w:sz w:val="17"/>
              </w:rPr>
              <w:t>Integration Team</w:t>
            </w:r>
          </w:p>
        </w:tc>
        <w:tc>
          <w:tcPr>
            <w:tcW w:type="dxa" w:w="1296"/>
            <w:tcMar>
              <w:top w:w="60" w:type="dxa"/>
              <w:bottom w:w="60" w:type="dxa"/>
              <w:left w:w="100" w:type="dxa"/>
              <w:right w:w="100" w:type="dxa"/>
            </w:tcMar>
            <w:shd w:val="clear" w:color="auto" w:fill="F8FAFC"/>
          </w:tcPr>
          <w:p>
            <w:pPr>
              <w:spacing w:after="0"/>
            </w:pPr>
            <w:r>
              <w:rPr>
                <w:sz w:val="17"/>
              </w:rPr>
              <w:t>20%</w:t>
            </w:r>
          </w:p>
        </w:tc>
        <w:tc>
          <w:tcPr>
            <w:tcW w:type="dxa" w:w="2304"/>
            <w:tcMar>
              <w:top w:w="60" w:type="dxa"/>
              <w:bottom w:w="60" w:type="dxa"/>
              <w:left w:w="100" w:type="dxa"/>
              <w:right w:w="100" w:type="dxa"/>
            </w:tcMar>
            <w:shd w:val="clear" w:color="auto" w:fill="F8FAFC"/>
          </w:tcPr>
          <w:p>
            <w:pPr>
              <w:spacing w:after="0"/>
            </w:pPr>
            <w:r>
              <w:rPr>
                <w:sz w:val="17"/>
              </w:rPr>
              <w:t>src/agent/api.py exists; Full HTTP REST server pending</w:t>
            </w:r>
          </w:p>
        </w:tc>
        <w:tc>
          <w:tcPr>
            <w:tcW w:type="dxa" w:w="1728"/>
            <w:tcMar>
              <w:top w:w="60" w:type="dxa"/>
              <w:bottom w:w="60" w:type="dxa"/>
              <w:left w:w="100" w:type="dxa"/>
              <w:right w:w="100" w:type="dxa"/>
            </w:tcMar>
            <w:shd w:val="clear" w:color="auto" w:fill="F8FAFC"/>
          </w:tcPr>
          <w:p>
            <w:pPr>
              <w:spacing w:after="0"/>
            </w:pPr>
            <w:r>
              <w:rPr>
                <w:b/>
                <w:color w:val="DC2626"/>
                <w:sz w:val="17"/>
              </w:rPr>
              <w:t>YET TO BUILD</w:t>
            </w:r>
          </w:p>
        </w:tc>
      </w:tr>
      <w:tr>
        <w:tc>
          <w:tcPr>
            <w:tcW w:type="dxa" w:w="2304"/>
            <w:tcMar>
              <w:top w:w="60" w:type="dxa"/>
              <w:bottom w:w="60" w:type="dxa"/>
              <w:left w:w="100" w:type="dxa"/>
              <w:right w:w="100" w:type="dxa"/>
            </w:tcMar>
            <w:shd w:val="clear" w:color="auto" w:fill="FFFFFF"/>
          </w:tcPr>
          <w:p>
            <w:pPr>
              <w:spacing w:after="0"/>
            </w:pPr>
            <w:r>
              <w:rPr>
                <w:sz w:val="17"/>
              </w:rPr>
              <w:t>Layer 12: Cytoscape.js Interactive UI</w:t>
            </w:r>
          </w:p>
        </w:tc>
        <w:tc>
          <w:tcPr>
            <w:tcW w:type="dxa" w:w="1728"/>
            <w:tcMar>
              <w:top w:w="60" w:type="dxa"/>
              <w:bottom w:w="60" w:type="dxa"/>
              <w:left w:w="100" w:type="dxa"/>
              <w:right w:w="100" w:type="dxa"/>
            </w:tcMar>
            <w:shd w:val="clear" w:color="auto" w:fill="FFFFFF"/>
          </w:tcPr>
          <w:p>
            <w:pPr>
              <w:spacing w:after="0"/>
            </w:pPr>
            <w:r>
              <w:rPr>
                <w:sz w:val="17"/>
              </w:rPr>
              <w:t>Frontend Team</w:t>
            </w:r>
          </w:p>
        </w:tc>
        <w:tc>
          <w:tcPr>
            <w:tcW w:type="dxa" w:w="1296"/>
            <w:tcMar>
              <w:top w:w="60" w:type="dxa"/>
              <w:bottom w:w="60" w:type="dxa"/>
              <w:left w:w="100" w:type="dxa"/>
              <w:right w:w="100" w:type="dxa"/>
            </w:tcMar>
            <w:shd w:val="clear" w:color="auto" w:fill="FFFFFF"/>
          </w:tcPr>
          <w:p>
            <w:pPr>
              <w:spacing w:after="0"/>
            </w:pPr>
            <w:r>
              <w:rPr>
                <w:sz w:val="17"/>
              </w:rPr>
              <w:t>0%</w:t>
            </w:r>
          </w:p>
        </w:tc>
        <w:tc>
          <w:tcPr>
            <w:tcW w:type="dxa" w:w="2304"/>
            <w:tcMar>
              <w:top w:w="60" w:type="dxa"/>
              <w:bottom w:w="60" w:type="dxa"/>
              <w:left w:w="100" w:type="dxa"/>
              <w:right w:w="100" w:type="dxa"/>
            </w:tcMar>
            <w:shd w:val="clear" w:color="auto" w:fill="FFFFFF"/>
          </w:tcPr>
          <w:p>
            <w:pPr>
              <w:spacing w:after="0"/>
            </w:pPr>
            <w:r>
              <w:rPr>
                <w:sz w:val="17"/>
              </w:rPr>
              <w:t>Design System &amp; layout approved; Component build pending</w:t>
            </w:r>
          </w:p>
        </w:tc>
        <w:tc>
          <w:tcPr>
            <w:tcW w:type="dxa" w:w="1728"/>
            <w:tcMar>
              <w:top w:w="60" w:type="dxa"/>
              <w:bottom w:w="60" w:type="dxa"/>
              <w:left w:w="100" w:type="dxa"/>
              <w:right w:w="100" w:type="dxa"/>
            </w:tcMar>
            <w:shd w:val="clear" w:color="auto" w:fill="FFFFFF"/>
          </w:tcPr>
          <w:p>
            <w:pPr>
              <w:spacing w:after="0"/>
            </w:pPr>
            <w:r>
              <w:rPr>
                <w:b/>
                <w:color w:val="DC2626"/>
                <w:sz w:val="17"/>
              </w:rPr>
              <w:t>YET TO BUILD</w:t>
            </w:r>
          </w:p>
        </w:tc>
      </w:tr>
      <w:tr>
        <w:tc>
          <w:tcPr>
            <w:tcW w:type="dxa" w:w="2304"/>
            <w:tcMar>
              <w:top w:w="60" w:type="dxa"/>
              <w:bottom w:w="60" w:type="dxa"/>
              <w:left w:w="100" w:type="dxa"/>
              <w:right w:w="100" w:type="dxa"/>
            </w:tcMar>
            <w:shd w:val="clear" w:color="auto" w:fill="F8FAFC"/>
          </w:tcPr>
          <w:p>
            <w:pPr>
              <w:spacing w:after="0"/>
            </w:pPr>
            <w:r>
              <w:rPr>
                <w:sz w:val="17"/>
              </w:rPr>
              <w:t>Layer 13: Container &amp; One-Click Launcher</w:t>
            </w:r>
          </w:p>
        </w:tc>
        <w:tc>
          <w:tcPr>
            <w:tcW w:type="dxa" w:w="1728"/>
            <w:tcMar>
              <w:top w:w="60" w:type="dxa"/>
              <w:bottom w:w="60" w:type="dxa"/>
              <w:left w:w="100" w:type="dxa"/>
              <w:right w:w="100" w:type="dxa"/>
            </w:tcMar>
            <w:shd w:val="clear" w:color="auto" w:fill="F8FAFC"/>
          </w:tcPr>
          <w:p>
            <w:pPr>
              <w:spacing w:after="0"/>
            </w:pPr>
            <w:r>
              <w:rPr>
                <w:sz w:val="17"/>
              </w:rPr>
              <w:t>DevOps / Release</w:t>
            </w:r>
          </w:p>
        </w:tc>
        <w:tc>
          <w:tcPr>
            <w:tcW w:type="dxa" w:w="1296"/>
            <w:tcMar>
              <w:top w:w="60" w:type="dxa"/>
              <w:bottom w:w="60" w:type="dxa"/>
              <w:left w:w="100" w:type="dxa"/>
              <w:right w:w="100" w:type="dxa"/>
            </w:tcMar>
            <w:shd w:val="clear" w:color="auto" w:fill="F8FAFC"/>
          </w:tcPr>
          <w:p>
            <w:pPr>
              <w:spacing w:after="0"/>
            </w:pPr>
            <w:r>
              <w:rPr>
                <w:sz w:val="17"/>
              </w:rPr>
              <w:t>15%</w:t>
            </w:r>
          </w:p>
        </w:tc>
        <w:tc>
          <w:tcPr>
            <w:tcW w:type="dxa" w:w="2304"/>
            <w:tcMar>
              <w:top w:w="60" w:type="dxa"/>
              <w:bottom w:w="60" w:type="dxa"/>
              <w:left w:w="100" w:type="dxa"/>
              <w:right w:w="100" w:type="dxa"/>
            </w:tcMar>
            <w:shd w:val="clear" w:color="auto" w:fill="F8FAFC"/>
          </w:tcPr>
          <w:p>
            <w:pPr>
              <w:spacing w:after="0"/>
            </w:pPr>
            <w:r>
              <w:rPr>
                <w:sz w:val="17"/>
              </w:rPr>
              <w:t>Local scripts verified; Dockerfile/Compose pending</w:t>
            </w:r>
          </w:p>
        </w:tc>
        <w:tc>
          <w:tcPr>
            <w:tcW w:type="dxa" w:w="1728"/>
            <w:tcMar>
              <w:top w:w="60" w:type="dxa"/>
              <w:bottom w:w="60" w:type="dxa"/>
              <w:left w:w="100" w:type="dxa"/>
              <w:right w:w="100" w:type="dxa"/>
            </w:tcMar>
            <w:shd w:val="clear" w:color="auto" w:fill="F8FAFC"/>
          </w:tcPr>
          <w:p>
            <w:pPr>
              <w:spacing w:after="0"/>
            </w:pPr>
            <w:r>
              <w:rPr>
                <w:b/>
                <w:color w:val="DC2626"/>
                <w:sz w:val="17"/>
              </w:rPr>
              <w:t>YET TO BUILD</w:t>
            </w:r>
          </w:p>
        </w:tc>
      </w:tr>
    </w:tbl>
    <w:p/>
    <w:p>
      <w:pPr>
        <w:pStyle w:val="Heading1"/>
      </w:pPr>
      <w:r>
        <w:rPr>
          <w:rFonts w:ascii="Segoe UI Semibold" w:hAnsi="Segoe UI Semibold"/>
          <w:color w:val="0F172A"/>
          <w:sz w:val="30"/>
        </w:rPr>
        <w:t>3. Implemented Capabilities Deep-Dive</w:t>
      </w:r>
    </w:p>
    <w:p>
      <w:pPr>
        <w:pStyle w:val="Heading2"/>
      </w:pPr>
      <w:r>
        <w:rPr>
          <w:color w:val="1E3A8A"/>
          <w:sz w:val="24"/>
        </w:rPr>
        <w:t>3.1 Telemetry Ingestion &amp; Data Pipeline (Member 1)</w:t>
      </w:r>
    </w:p>
    <w:p>
      <w:r>
        <w:t>• Native Heterogeneous Parsers: Automated parsing of raw PCAP captures via dpkt, Zeek conn/dns/http/ssl logs (with TSV and JSON-lines automatic dialect detection), and NetFlow/CIC-IDS CSV captures.</w:t>
        <w:br/>
        <w:t>• Strict Canonical Schema v1.1: 44-column canonical schema (data/schema.py) enforcing non-negative byte/packet bounds, port clipping [0, 65535], temporal paradox rejection (ts_end &gt;= ts_start), and complete isolation of host behavioral features from flow tables.</w:t>
        <w:br/>
        <w:t>• Storage &amp; Export Architecture: Embedded DuckDB catalog (data/storage.py) with partition indexing and Member-2 adapter (data/adapters/member2.py) generating SHA-256 sidecar cryptographic manifests.</w:t>
      </w:r>
    </w:p>
    <w:p>
      <w:pPr>
        <w:pStyle w:val="Heading2"/>
      </w:pPr>
      <w:r>
        <w:rPr>
          <w:color w:val="1E3A8A"/>
          <w:sz w:val="24"/>
        </w:rPr>
        <w:t>3.2 Multi-Model Detection &amp; Graph Engine (Member 2)</w:t>
      </w:r>
    </w:p>
    <w:p>
      <w:r>
        <w:t>• Tri-Pillar Multi-Model Ensemble: Fuses supervised GPU-accelerated XGBoost (Pillar 1), unsupervised deep PyTorch Flow Autoencoder for zero-day anomaly reconstruction (Pillar 2), and native Scikit-Learn HistGradientBoosting for low-latency inference (Pillar 3) via a learned meta-classifier with Platt probability calibration.</w:t>
        <w:br/>
        <w:t>• Inductive Graph Neural Network (PyG Edge-GraphSAGE): Embeds bipartite host-communication graph topology to flag structural anomalies even under low-volume living-off-the-land (LotL) and stealth C2 beaconing.</w:t>
        <w:br/>
        <w:t>• Native C++ TreeSHAP Attributions: Every flagged alert is tagged with exact feature contributions for transparent analyst triage.</w:t>
        <w:br/>
        <w:t>• Inverted Host Index &amp; Clustering: Single-pass O(N) temporal windowing (Delta-t &lt;= 300s) correlating alerts into bounded incident cases.</w:t>
      </w:r>
    </w:p>
    <w:p>
      <w:pPr>
        <w:pStyle w:val="Heading2"/>
      </w:pPr>
      <w:r>
        <w:rPr>
          <w:color w:val="1E3A8A"/>
          <w:sz w:val="24"/>
        </w:rPr>
        <w:t>3.3 Core Forensic Legal &amp; Defense USPs (Lead / Member 2)</w:t>
      </w:r>
    </w:p>
    <w:p>
      <w:r>
        <w:t>• RFC-6962 SHA-256 Merkle Evidence Ledger: Constructs an immutable cryptographic binary tree over all flow telemetry, anchoring an authoritative session root hash and generating O(log N) sibling inclusion proofs for cited evidence.</w:t>
        <w:br/>
        <w:t>• Temporal Causal Provenance DAG: Enforces Lamport monotonic ordering (t1 &lt; t2), dwell time minimums, and the 6-stage MITRE ATT&amp;CK progression FSM. Extracts the primary attack chain via topological dynamic programming.</w:t>
        <w:br/>
        <w:t>• Dual-Agent Courtroom Cross-Examiner: Adversarial forensic auditor verifying evidence under Federal Rules of Evidence Rule 902(13)/(14) and ISO/IEC 27037 standards across 4 defense gates (Cryptographic, Protocol, Causal DAG, and Fact-Checking), emitting certified verdicts.</w:t>
        <w:br/>
        <w:t>• Autonomous Surgical Containment &amp; Blast-Radius Engine: Formulates Ford-Fulkerson min-cuts on the attack graph, computing blast-radius risk scores (protecting DNS, Active Directory, and Kerberos) and synthesizing ready-to-deploy firewall scripts for Linux iptables/nftables, Windows Defender PowerShell, Cisco IOS ACLs, and AWS/Azure Cloud Security Groups.</w:t>
        <w:br/>
        <w:t>• Privacy-Preserving Redacted Proofs: Emits zero-topology-leakage intrusion certificates with Salted HMAC commitments under SEC Item 1.05 and GDPR Article 33 compliance, mathematically verifiable against the root hash while shielding internal IPs.</w:t>
        <w:br/>
        <w:t>• Counterfactual 'What-If' Resilience Simulator: Perturbs attack DAGs to evaluate defensive security policies, discovering Single Points of Failure (SPOF) and calculating Defensive Resilience Indices (DRI).</w:t>
      </w:r>
    </w:p>
    <w:p>
      <w:pPr>
        <w:pStyle w:val="Heading2"/>
      </w:pPr>
      <w:r>
        <w:rPr>
          <w:color w:val="1E3A8A"/>
          <w:sz w:val="24"/>
        </w:rPr>
        <w:t>3.4 LLM Forensic Reasoning &amp; Grounded Reporting (Member 3)</w:t>
      </w:r>
    </w:p>
    <w:p>
      <w:r>
        <w:t>• Tool-Calling Investigation Loop: Interactive loop allowing local LLM (llama3.2:3b) to query flow records, host summaries, and MITRE ATT&amp;CK knowledge dynamically.</w:t>
        <w:br/>
        <w:t>• Grounded Citation Verification: Strict validation of all proposed findings; any claim citing an unverified flow ID, unretrieved ATT&amp;CK technique, unknown IP, or invented metric is automatically withheld or rejected.</w:t>
        <w:br/>
        <w:t>• Offline Robustness: Built-in curated ATT&amp;CK dictionary with token-similarity fallback ensuring zero-crash execution even without an active Ollama instance.</w:t>
      </w:r>
    </w:p>
    <w:p>
      <w:pPr>
        <w:pStyle w:val="Heading1"/>
      </w:pPr>
      <w:r>
        <w:rPr>
          <w:rFonts w:ascii="Segoe UI Semibold" w:hAnsi="Segoe UI Semibold"/>
          <w:color w:val="0F172A"/>
          <w:sz w:val="30"/>
        </w:rPr>
        <w:t>4. Detailed Gap Analysis: What is Yet to Implement</w:t>
      </w:r>
    </w:p>
    <w:p>
      <w:r>
        <w:t>To advance EviGraph from a fully functional forensic engine to a turnkey, production-grade security operations platform, the following four components must be implemented in the final delivery phase:</w:t>
      </w:r>
    </w:p>
    <w:p>
      <w:pPr>
        <w:pStyle w:val="Heading2"/>
      </w:pPr>
      <w:r>
        <w:rPr>
          <w:color w:val="DC2626"/>
          <w:sz w:val="24"/>
        </w:rPr>
        <w:t>4.1 Unified FastAPI REST API Backend (Priority: P0 - Critical)</w:t>
      </w:r>
    </w:p>
    <w:p>
      <w:r>
        <w:t>Currently, src/agent/api.py exists as an internal Python module, but no HTTP server is running to serve browser clients. A dedicated, asynchronous FastAPI service (api/server.py) must be created to expose the following endpoints:</w:t>
      </w:r>
    </w:p>
    <w:tbl>
      <w:tblPr>
        <w:tblW w:type="auto" w:w="0"/>
        <w:jc w:val="center"/>
        <w:tblLook w:firstColumn="1" w:firstRow="1" w:lastColumn="0" w:lastRow="0" w:noHBand="0" w:noVBand="1" w:val="04A0"/>
      </w:tblPr>
      <w:tblGrid>
        <w:gridCol w:w="3168"/>
        <w:gridCol w:w="6192"/>
      </w:tblGrid>
      <w:tr>
        <w:tc>
          <w:tcPr>
            <w:tcW w:type="dxa" w:w="4968"/>
            <w:shd w:val="clear" w:color="auto" w:fill="1E293B"/>
            <w:tcMar>
              <w:top w:w="60" w:type="dxa"/>
              <w:bottom w:w="60" w:type="dxa"/>
              <w:left w:w="100" w:type="dxa"/>
              <w:right w:w="100" w:type="dxa"/>
            </w:tcMar>
          </w:tcPr>
          <w:p>
            <w:r>
              <w:rPr>
                <w:b/>
                <w:color w:val="FFFFFF"/>
                <w:sz w:val="17"/>
              </w:rPr>
              <w:t>Endpoint</w:t>
            </w:r>
          </w:p>
        </w:tc>
        <w:tc>
          <w:tcPr>
            <w:tcW w:type="dxa" w:w="4968"/>
            <w:shd w:val="clear" w:color="auto" w:fill="1E293B"/>
            <w:tcMar>
              <w:top w:w="60" w:type="dxa"/>
              <w:bottom w:w="60" w:type="dxa"/>
              <w:left w:w="100" w:type="dxa"/>
              <w:right w:w="100" w:type="dxa"/>
            </w:tcMar>
          </w:tcPr>
          <w:p>
            <w:r>
              <w:rPr>
                <w:b/>
                <w:color w:val="FFFFFF"/>
                <w:sz w:val="17"/>
              </w:rPr>
              <w:t>Functional Responsibility</w:t>
            </w:r>
          </w:p>
        </w:tc>
      </w:tr>
      <w:tr>
        <w:tc>
          <w:tcPr>
            <w:tcW w:type="dxa" w:w="3168"/>
            <w:shd w:val="clear" w:color="auto" w:fill="F8FAFC"/>
            <w:tcMar>
              <w:top w:w="50" w:type="dxa"/>
              <w:bottom w:w="50" w:type="dxa"/>
              <w:left w:w="80" w:type="dxa"/>
              <w:right w:w="80" w:type="dxa"/>
            </w:tcMar>
          </w:tcPr>
          <w:p>
            <w:r>
              <w:rPr>
                <w:rFonts w:ascii="Consolas" w:hAnsi="Consolas"/>
                <w:b/>
                <w:sz w:val="16"/>
              </w:rPr>
              <w:t>GET /api/incidents</w:t>
            </w:r>
          </w:p>
        </w:tc>
        <w:tc>
          <w:tcPr>
            <w:tcW w:type="dxa" w:w="6192"/>
            <w:shd w:val="clear" w:color="auto" w:fill="FFFFFF"/>
            <w:tcMar>
              <w:top w:w="50" w:type="dxa"/>
              <w:bottom w:w="50" w:type="dxa"/>
              <w:left w:w="80" w:type="dxa"/>
              <w:right w:w="80" w:type="dxa"/>
            </w:tcMar>
          </w:tcPr>
          <w:p>
            <w:r>
              <w:rPr>
                <w:sz w:val="17"/>
              </w:rPr>
              <w:t>Returns triage list of all detected incidents, ranked by severity score, with host count, alert volume, and attack classes.</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w:t>
            </w:r>
          </w:p>
        </w:tc>
        <w:tc>
          <w:tcPr>
            <w:tcW w:type="dxa" w:w="6192"/>
            <w:shd w:val="clear" w:color="auto" w:fill="FFFFFF"/>
            <w:tcMar>
              <w:top w:w="50" w:type="dxa"/>
              <w:bottom w:w="50" w:type="dxa"/>
              <w:left w:w="80" w:type="dxa"/>
              <w:right w:w="80" w:type="dxa"/>
            </w:tcMar>
          </w:tcPr>
          <w:p>
            <w:r>
              <w:rPr>
                <w:sz w:val="17"/>
              </w:rPr>
              <w:t>Returns comprehensive case package: affected hosts, suspected entry point, and alert lists.</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/api/incidents/{id}/graph</w:t>
            </w:r>
          </w:p>
        </w:tc>
        <w:tc>
          <w:tcPr>
            <w:tcW w:type="dxa" w:w="6192"/>
            <w:shd w:val="clear" w:color="auto" w:fill="FFFFFF"/>
            <w:tcMar>
              <w:top w:w="50" w:type="dxa"/>
              <w:bottom w:w="50" w:type="dxa"/>
              <w:left w:w="80" w:type="dxa"/>
              <w:right w:w="80" w:type="dxa"/>
            </w:tcMar>
          </w:tcPr>
          <w:p>
            <w:r>
              <w:rPr>
                <w:sz w:val="17"/>
              </w:rPr>
              <w:t>Returns Cytoscape.js JSON payload (nodes, edges, risk styles, port labels) for the 1-hop bounded subgraph.</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/api/incidents/{id}/timeline</w:t>
            </w:r>
          </w:p>
        </w:tc>
        <w:tc>
          <w:tcPr>
            <w:tcW w:type="dxa" w:w="6192"/>
            <w:shd w:val="clear" w:color="auto" w:fill="FFFFFF"/>
            <w:tcMar>
              <w:top w:w="50" w:type="dxa"/>
              <w:bottom w:w="50" w:type="dxa"/>
              <w:left w:w="80" w:type="dxa"/>
              <w:right w:w="80" w:type="dxa"/>
            </w:tcMar>
          </w:tcPr>
          <w:p>
            <w:r>
              <w:rPr>
                <w:sz w:val="17"/>
              </w:rPr>
              <w:t>Returns ordered attack progression stages (Recon -&gt; Initial Access -&gt; Lateral -&gt; C2 -&gt; Exfil).</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/api/incidents/{id}/merkle</w:t>
            </w:r>
          </w:p>
        </w:tc>
        <w:tc>
          <w:tcPr>
            <w:tcW w:type="dxa" w:w="6192"/>
            <w:shd w:val="clear" w:color="auto" w:fill="FFFFFF"/>
            <w:tcMar>
              <w:top w:w="50" w:type="dxa"/>
              <w:bottom w:w="50" w:type="dxa"/>
              <w:left w:w="80" w:type="dxa"/>
              <w:right w:w="80" w:type="dxa"/>
            </w:tcMar>
          </w:tcPr>
          <w:p>
            <w:r>
              <w:rPr>
                <w:sz w:val="17"/>
              </w:rPr>
              <w:t>Returns session Merkle root hash, inclusion proofs, and cryptographic verification status.</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/api/incidents/{id}/courtroom</w:t>
            </w:r>
          </w:p>
        </w:tc>
        <w:tc>
          <w:tcPr>
            <w:tcW w:type="dxa" w:w="6192"/>
            <w:shd w:val="clear" w:color="auto" w:fill="FFFFFF"/>
            <w:tcMar>
              <w:top w:w="50" w:type="dxa"/>
              <w:bottom w:w="50" w:type="dxa"/>
              <w:left w:w="80" w:type="dxa"/>
              <w:right w:w="80" w:type="dxa"/>
            </w:tcMar>
          </w:tcPr>
          <w:p>
            <w:r>
              <w:rPr>
                <w:sz w:val="17"/>
              </w:rPr>
              <w:t>Returns FRE 902(13)/(14) courtroom audit score, gate-by-gate pass/fail results, and cross-examination transcript.</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/api/incidents/{id}/containment</w:t>
            </w:r>
          </w:p>
        </w:tc>
        <w:tc>
          <w:tcPr>
            <w:tcW w:type="dxa" w:w="6192"/>
            <w:shd w:val="clear" w:color="auto" w:fill="FFFFFF"/>
            <w:tcMar>
              <w:top w:w="50" w:type="dxa"/>
              <w:bottom w:w="50" w:type="dxa"/>
              <w:left w:w="80" w:type="dxa"/>
              <w:right w:w="80" w:type="dxa"/>
            </w:tcMar>
          </w:tcPr>
          <w:p>
            <w:r>
              <w:rPr>
                <w:sz w:val="17"/>
              </w:rPr>
              <w:t>Returns Ford-Fulkerson min-cut firewall rules (Linux, Windows, Cisco, AWS) and blast-radius impact score.</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/api/incidents/{id}/privacy-proof</w:t>
            </w:r>
          </w:p>
        </w:tc>
        <w:tc>
          <w:tcPr>
            <w:tcW w:type="dxa" w:w="6192"/>
            <w:shd w:val="clear" w:color="auto" w:fill="FFFFFF"/>
            <w:tcMar>
              <w:top w:w="50" w:type="dxa"/>
              <w:bottom w:w="50" w:type="dxa"/>
              <w:left w:w="80" w:type="dxa"/>
              <w:right w:w="80" w:type="dxa"/>
            </w:tcMar>
          </w:tcPr>
          <w:p>
            <w:r>
              <w:rPr>
                <w:sz w:val="17"/>
              </w:rPr>
              <w:t>Returns SEC Item 1.05 / GDPR Art. 33 zero-topology-leakage redacted proof certificate.</w:t>
            </w:r>
          </w:p>
        </w:tc>
      </w:tr>
      <w:tr>
        <w:tc>
          <w:tcPr>
            <w:tcW w:type="dxa" w:w="3168"/>
            <w:shd w:val="clear" w:color="auto" w:fill="F8FAFC"/>
            <w:tcMar>
              <w:top w:w="50" w:type="dxa"/>
              <w:bottom w:w="50" w:type="dxa"/>
              <w:left w:w="80" w:type="dxa"/>
              <w:right w:w="80" w:type="dxa"/>
            </w:tcMar>
          </w:tcPr>
          <w:p>
            <w:r>
              <w:rPr>
                <w:rFonts w:ascii="Consolas" w:hAnsi="Consolas"/>
                <w:b/>
                <w:sz w:val="16"/>
              </w:rPr>
              <w:t>GET /api/incidents/{id}/simulation</w:t>
            </w:r>
          </w:p>
        </w:tc>
        <w:tc>
          <w:tcPr>
            <w:tcW w:type="dxa" w:w="6192"/>
            <w:shd w:val="clear" w:color="auto" w:fill="FFFFFF"/>
            <w:tcMar>
              <w:top w:w="50" w:type="dxa"/>
              <w:bottom w:w="50" w:type="dxa"/>
              <w:left w:w="80" w:type="dxa"/>
              <w:right w:w="80" w:type="dxa"/>
            </w:tcMar>
          </w:tcPr>
          <w:p>
            <w:r>
              <w:rPr>
                <w:sz w:val="17"/>
              </w:rPr>
              <w:t>Returns Counterfactual resilience simulation results, DRI scores, and single points of failure.</w:t>
            </w:r>
          </w:p>
        </w:tc>
      </w:tr>
      <w:tr>
        <w:tc>
          <w:tcPr>
            <w:tcW w:type="dxa" w:w="3168"/>
            <w:shd w:val="clear" w:color="auto" w:fill="F8FAFC"/>
            <w:tcMar>
              <w:top w:w="50" w:type="dxa"/>
              <w:bottom w:w="50" w:type="dxa"/>
              <w:left w:w="80" w:type="dxa"/>
              <w:right w:w="80" w:type="dxa"/>
            </w:tcMar>
          </w:tcPr>
          <w:p>
            <w:r>
              <w:rPr>
                <w:rFonts w:ascii="Consolas" w:hAnsi="Consolas"/>
                <w:b/>
                <w:sz w:val="16"/>
              </w:rPr>
              <w:t>POST /api/incidents/{id}/investigate</w:t>
            </w:r>
          </w:p>
        </w:tc>
        <w:tc>
          <w:tcPr>
            <w:tcW w:type="dxa" w:w="6192"/>
            <w:shd w:val="clear" w:color="auto" w:fill="FFFFFF"/>
            <w:tcMar>
              <w:top w:w="50" w:type="dxa"/>
              <w:bottom w:w="50" w:type="dxa"/>
              <w:left w:w="80" w:type="dxa"/>
              <w:right w:w="80" w:type="dxa"/>
            </w:tcMar>
          </w:tcPr>
          <w:p>
            <w:r>
              <w:rPr>
                <w:sz w:val="17"/>
              </w:rPr>
              <w:t>Triggers asynchronous LLM forensic agent investigation and emits the grounded Markdown report.</w:t>
            </w:r>
          </w:p>
        </w:tc>
      </w:tr>
      <w:tr>
        <w:tc>
          <w:tcPr>
            <w:tcW w:type="dxa" w:w="3168"/>
            <w:shd w:val="clear" w:color="auto" w:fill="F8FAFC"/>
            <w:tcMar>
              <w:top w:w="50" w:type="dxa"/>
              <w:bottom w:w="50" w:type="dxa"/>
              <w:left w:w="80" w:type="dxa"/>
              <w:right w:w="80" w:type="dxa"/>
            </w:tcMar>
          </w:tcPr>
          <w:p>
            <w:r>
              <w:rPr>
                <w:rFonts w:ascii="Consolas" w:hAnsi="Consolas"/>
                <w:b/>
                <w:sz w:val="16"/>
              </w:rPr>
              <w:t>POST /api/upload</w:t>
            </w:r>
          </w:p>
        </w:tc>
        <w:tc>
          <w:tcPr>
            <w:tcW w:type="dxa" w:w="6192"/>
            <w:shd w:val="clear" w:color="auto" w:fill="FFFFFF"/>
            <w:tcMar>
              <w:top w:w="50" w:type="dxa"/>
              <w:bottom w:w="50" w:type="dxa"/>
              <w:left w:w="80" w:type="dxa"/>
              <w:right w:w="80" w:type="dxa"/>
            </w:tcMar>
          </w:tcPr>
          <w:p>
            <w:r>
              <w:rPr>
                <w:sz w:val="17"/>
              </w:rPr>
              <w:t>Accepts PCAP or NetFlow CSV file uploads, running ingestion, detection, and clustering on demand.</w:t>
            </w:r>
          </w:p>
        </w:tc>
      </w:tr>
    </w:tbl>
    <w:p/>
    <w:p>
      <w:pPr>
        <w:pStyle w:val="Heading2"/>
      </w:pPr>
      <w:r>
        <w:rPr>
          <w:color w:val="DC2626"/>
          <w:sz w:val="24"/>
        </w:rPr>
        <w:t>4.2 Interactive Forensic SOC Dashboard &amp; Cytoscape.js Visualizer (Priority: P0 - Critical)</w:t>
      </w:r>
    </w:p>
    <w:p>
      <w:r>
        <w:t>Specified in PRD FR-8.1 and DESIGN_SYSTEM.md, this is the primary human-in-the-loop interface for SOC tier-2/3 analysts. It implements a high-contrast dark theme (#0B0F19 Obsidian) structured into synchronized forensic panes:</w:t>
        <w:br/>
        <w:br/>
        <w:t>1. Incident Triage Pane (Zero-Click Context): Real-time list of incidents ranked by composite severity score (0.0 to 1.0), displaying attack classes, host count, and entry points.</w:t>
        <w:br/>
        <w:t>2. Interactive Graph Visualizer (Cytoscape.js): Directed graph mapping hosts to color-coded geometric shapes (Attacker = Crimson Octagon #E53E3E; Victim = Orange Hexagon #ED8936; Workstation = Slate Ellipse #64748B; Gateway = Blue Diamond #3182CE). Edges represent flows with thickness scaling by log10(bytes) and color scaling by risk score.</w:t>
        <w:br/>
        <w:t>3. Attack Stage Timeline: Monotonic horizontal progression track displaying MITRE ATT&amp;CK stages with dwell times and entry breach.</w:t>
        <w:br/>
        <w:t>4. Evidence Inspector (3-Click Rule): Clicking any edge or alert reveals raw packet metrics, TreeSHAP feature explanations, and SHA-256 Merkle inclusion hashes.</w:t>
        <w:br/>
        <w:t>5. Core USP Workbench Tabs:</w:t>
        <w:br/>
        <w:t xml:space="preserve">   • Courtroom Gate Tab: Visual meter showing the 100% admissibility score and gate-by-gate evidence cross-examination.</w:t>
        <w:br/>
        <w:t xml:space="preserve">   • Containment Playbook Tab: Copy-paste widgets for Linux, Windows, Cisco, and AWS firewall commands with blast-radius safety gauges.</w:t>
        <w:br/>
        <w:t xml:space="preserve">   • Privacy Certificate Tab: Zero-topology proof certificate download for SEC/GDPR compliance.</w:t>
        <w:br/>
        <w:t xml:space="preserve">   • What-If Resilience Simulator: Interactive toggles to disconnect nodes and simulate live network survivability (DRI).</w:t>
      </w:r>
    </w:p>
    <w:p>
      <w:pPr>
        <w:pStyle w:val="Heading2"/>
      </w:pPr>
      <w:r>
        <w:rPr>
          <w:color w:val="D97706"/>
          <w:sz w:val="24"/>
        </w:rPr>
        <w:t>4.3 Pre-Built MITRE ATT&amp;CK STIX Vector Embedding Index (Priority: P1 - Operational)</w:t>
      </w:r>
    </w:p>
    <w:p>
      <w:r>
        <w:t>While the system includes a robust curated dictionary fallback, the full 1,500-technique raw STIX dataset (data/knowledge/enterprise-attack.json) is git-ignored. Building data/knowledge/attack_index.npz via nomic-embed-text will unlock semantic embeddings over all sub-techniques in enterprise ATT&amp;CK.</w:t>
      </w:r>
    </w:p>
    <w:p>
      <w:pPr>
        <w:pStyle w:val="Heading2"/>
      </w:pPr>
      <w:r>
        <w:rPr>
          <w:color w:val="2563EB"/>
          <w:sz w:val="24"/>
        </w:rPr>
        <w:t>4.4 Containerization &amp; One-Click Launcher (Priority: P2 - Deployment)</w:t>
      </w:r>
    </w:p>
    <w:p>
      <w:r>
        <w:t>• Dockerfile &amp; docker-compose.yml: Bundles Python 3.13, PyTorch CUDA runtime, FastAPI backend, and static web dashboard into an isolated container.</w:t>
        <w:br/>
        <w:t>• Single-Command Launcher: A root-level run_dashboard.py script that starts the API server and opens the browser dashboard automatically.</w:t>
      </w:r>
    </w:p>
    <w:p>
      <w:pPr>
        <w:pStyle w:val="Heading1"/>
      </w:pPr>
      <w:r>
        <w:rPr>
          <w:rFonts w:ascii="Segoe UI Semibold" w:hAnsi="Segoe UI Semibold"/>
          <w:color w:val="0F172A"/>
          <w:sz w:val="30"/>
        </w:rPr>
        <w:t>5. Phased Delivery Roadmap to 100% Completion</w:t>
      </w:r>
    </w:p>
    <w:tbl>
      <w:tblPr>
        <w:tblW w:type="auto" w:w="0"/>
        <w:jc w:val="center"/>
        <w:tblLook w:firstColumn="1" w:firstRow="1" w:lastColumn="0" w:lastRow="0" w:noHBand="0" w:noVBand="1" w:val="04A0"/>
      </w:tblPr>
      <w:tblGrid>
        <w:gridCol w:w="3168"/>
        <w:gridCol w:w="4464"/>
        <w:gridCol w:w="1728"/>
      </w:tblGrid>
      <w:tr>
        <w:tc>
          <w:tcPr>
            <w:tcW w:type="dxa" w:w="3312"/>
            <w:shd w:val="clear" w:color="auto" w:fill="0F172A"/>
            <w:tcMar>
              <w:top w:w="60" w:type="dxa"/>
              <w:bottom w:w="60" w:type="dxa"/>
              <w:left w:w="100" w:type="dxa"/>
              <w:right w:w="100" w:type="dxa"/>
            </w:tcMar>
          </w:tcPr>
          <w:p>
            <w:r>
              <w:rPr>
                <w:b/>
                <w:color w:val="FFFFFF"/>
                <w:sz w:val="17"/>
              </w:rPr>
              <w:t>Milestone</w:t>
            </w:r>
          </w:p>
        </w:tc>
        <w:tc>
          <w:tcPr>
            <w:tcW w:type="dxa" w:w="3312"/>
            <w:shd w:val="clear" w:color="auto" w:fill="0F172A"/>
            <w:tcMar>
              <w:top w:w="60" w:type="dxa"/>
              <w:bottom w:w="60" w:type="dxa"/>
              <w:left w:w="100" w:type="dxa"/>
              <w:right w:w="100" w:type="dxa"/>
            </w:tcMar>
          </w:tcPr>
          <w:p>
            <w:r>
              <w:rPr>
                <w:b/>
                <w:color w:val="FFFFFF"/>
                <w:sz w:val="17"/>
              </w:rPr>
              <w:t>Scope of Work</w:t>
            </w:r>
          </w:p>
        </w:tc>
        <w:tc>
          <w:tcPr>
            <w:tcW w:type="dxa" w:w="3312"/>
            <w:shd w:val="clear" w:color="auto" w:fill="0F172A"/>
            <w:tcMar>
              <w:top w:w="60" w:type="dxa"/>
              <w:bottom w:w="60" w:type="dxa"/>
              <w:left w:w="100" w:type="dxa"/>
              <w:right w:w="100" w:type="dxa"/>
            </w:tcMar>
          </w:tcPr>
          <w:p>
            <w:r>
              <w:rPr>
                <w:b/>
                <w:color w:val="FFFFFF"/>
                <w:sz w:val="17"/>
              </w:rPr>
              <w:t>Timeline</w:t>
            </w:r>
          </w:p>
        </w:tc>
      </w:tr>
      <w:tr>
        <w:tc>
          <w:tcPr>
            <w:tcW w:type="dxa" w:w="3168"/>
            <w:shd w:val="clear" w:color="auto" w:fill="F8FAFC"/>
            <w:tcMar>
              <w:top w:w="50" w:type="dxa"/>
              <w:bottom w:w="50" w:type="dxa"/>
              <w:left w:w="80" w:type="dxa"/>
              <w:right w:w="80" w:type="dxa"/>
            </w:tcMar>
          </w:tcPr>
          <w:p>
            <w:r>
              <w:rPr>
                <w:b/>
                <w:sz w:val="17"/>
              </w:rPr>
              <w:t>Phase 1: REST API Layer (api/server.py)</w:t>
            </w:r>
          </w:p>
        </w:tc>
        <w:tc>
          <w:tcPr>
            <w:tcW w:type="dxa" w:w="4464"/>
            <w:shd w:val="clear" w:color="auto" w:fill="FFFFFF"/>
            <w:tcMar>
              <w:top w:w="50" w:type="dxa"/>
              <w:bottom w:w="50" w:type="dxa"/>
              <w:left w:w="80" w:type="dxa"/>
              <w:right w:w="80" w:type="dxa"/>
            </w:tcMar>
          </w:tcPr>
          <w:p>
            <w:r>
              <w:rPr>
                <w:sz w:val="17"/>
              </w:rPr>
              <w:t>Implement FastAPI server with CORS, Pydantic schemas, and endpoints connecting all detection, Merkle, Causal DAG, Courtroom, and Containment outputs.</w:t>
            </w:r>
          </w:p>
        </w:tc>
        <w:tc>
          <w:tcPr>
            <w:tcW w:type="dxa" w:w="1728"/>
            <w:shd w:val="clear" w:color="auto" w:fill="F1F5F9"/>
            <w:tcMar>
              <w:top w:w="50" w:type="dxa"/>
              <w:bottom w:w="50" w:type="dxa"/>
              <w:left w:w="80" w:type="dxa"/>
              <w:right w:w="80" w:type="dxa"/>
            </w:tcMar>
          </w:tcPr>
          <w:p>
            <w:r>
              <w:rPr>
                <w:sz w:val="17"/>
              </w:rPr>
              <w:t>Immediate Next Step</w:t>
            </w:r>
          </w:p>
        </w:tc>
      </w:tr>
      <w:tr>
        <w:tc>
          <w:tcPr>
            <w:tcW w:type="dxa" w:w="3168"/>
            <w:shd w:val="clear" w:color="auto" w:fill="F8FAFC"/>
            <w:tcMar>
              <w:top w:w="50" w:type="dxa"/>
              <w:bottom w:w="50" w:type="dxa"/>
              <w:left w:w="80" w:type="dxa"/>
              <w:right w:w="80" w:type="dxa"/>
            </w:tcMar>
          </w:tcPr>
          <w:p>
            <w:r>
              <w:rPr>
                <w:b/>
                <w:sz w:val="17"/>
              </w:rPr>
              <w:t>Phase 2: Cytoscape.js SOC Web Dashboard</w:t>
            </w:r>
          </w:p>
        </w:tc>
        <w:tc>
          <w:tcPr>
            <w:tcW w:type="dxa" w:w="4464"/>
            <w:shd w:val="clear" w:color="auto" w:fill="FFFFFF"/>
            <w:tcMar>
              <w:top w:w="50" w:type="dxa"/>
              <w:bottom w:w="50" w:type="dxa"/>
              <w:left w:w="80" w:type="dxa"/>
              <w:right w:w="80" w:type="dxa"/>
            </w:tcMar>
          </w:tcPr>
          <w:p>
            <w:r>
              <w:rPr>
                <w:sz w:val="17"/>
              </w:rPr>
              <w:t>Build self-contained, responsive dashboard (HTML5 + Tailwind CSS + Cytoscape.js) matching DESIGN_SYSTEM.md specifications with all 4 panes and USP workbench tabs.</w:t>
            </w:r>
          </w:p>
        </w:tc>
        <w:tc>
          <w:tcPr>
            <w:tcW w:type="dxa" w:w="1728"/>
            <w:shd w:val="clear" w:color="auto" w:fill="F1F5F9"/>
            <w:tcMar>
              <w:top w:w="50" w:type="dxa"/>
              <w:bottom w:w="50" w:type="dxa"/>
              <w:left w:w="80" w:type="dxa"/>
              <w:right w:w="80" w:type="dxa"/>
            </w:tcMar>
          </w:tcPr>
          <w:p>
            <w:r>
              <w:rPr>
                <w:sz w:val="17"/>
              </w:rPr>
              <w:t>Immediately Following Phase 1</w:t>
            </w:r>
          </w:p>
        </w:tc>
      </w:tr>
      <w:tr>
        <w:tc>
          <w:tcPr>
            <w:tcW w:type="dxa" w:w="3168"/>
            <w:shd w:val="clear" w:color="auto" w:fill="F8FAFC"/>
            <w:tcMar>
              <w:top w:w="50" w:type="dxa"/>
              <w:bottom w:w="50" w:type="dxa"/>
              <w:left w:w="80" w:type="dxa"/>
              <w:right w:w="80" w:type="dxa"/>
            </w:tcMar>
          </w:tcPr>
          <w:p>
            <w:r>
              <w:rPr>
                <w:b/>
                <w:sz w:val="17"/>
              </w:rPr>
              <w:t>Phase 3: Live Telemetry &amp; Vector Index Ingestion</w:t>
            </w:r>
          </w:p>
        </w:tc>
        <w:tc>
          <w:tcPr>
            <w:tcW w:type="dxa" w:w="4464"/>
            <w:shd w:val="clear" w:color="auto" w:fill="FFFFFF"/>
            <w:tcMar>
              <w:top w:w="50" w:type="dxa"/>
              <w:bottom w:w="50" w:type="dxa"/>
              <w:left w:w="80" w:type="dxa"/>
              <w:right w:w="80" w:type="dxa"/>
            </w:tcMar>
          </w:tcPr>
          <w:p>
            <w:r>
              <w:rPr>
                <w:sz w:val="17"/>
              </w:rPr>
              <w:t>Execute STIX ingestion to pre-populate data/knowledge/attack_index.npz for full-corpus ATT&amp;CK coverage.</w:t>
            </w:r>
          </w:p>
        </w:tc>
        <w:tc>
          <w:tcPr>
            <w:tcW w:type="dxa" w:w="1728"/>
            <w:shd w:val="clear" w:color="auto" w:fill="F1F5F9"/>
            <w:tcMar>
              <w:top w:w="50" w:type="dxa"/>
              <w:bottom w:w="50" w:type="dxa"/>
              <w:left w:w="80" w:type="dxa"/>
              <w:right w:w="80" w:type="dxa"/>
            </w:tcMar>
          </w:tcPr>
          <w:p>
            <w:r>
              <w:rPr>
                <w:sz w:val="17"/>
              </w:rPr>
              <w:t>Post Phase 2</w:t>
            </w:r>
          </w:p>
        </w:tc>
      </w:tr>
      <w:tr>
        <w:tc>
          <w:tcPr>
            <w:tcW w:type="dxa" w:w="3168"/>
            <w:shd w:val="clear" w:color="auto" w:fill="F8FAFC"/>
            <w:tcMar>
              <w:top w:w="50" w:type="dxa"/>
              <w:bottom w:w="50" w:type="dxa"/>
              <w:left w:w="80" w:type="dxa"/>
              <w:right w:w="80" w:type="dxa"/>
            </w:tcMar>
          </w:tcPr>
          <w:p>
            <w:r>
              <w:rPr>
                <w:b/>
                <w:sz w:val="17"/>
              </w:rPr>
              <w:t>Phase 4: Dockerization &amp; Single-Click Packaging</w:t>
            </w:r>
          </w:p>
        </w:tc>
        <w:tc>
          <w:tcPr>
            <w:tcW w:type="dxa" w:w="4464"/>
            <w:shd w:val="clear" w:color="auto" w:fill="FFFFFF"/>
            <w:tcMar>
              <w:top w:w="50" w:type="dxa"/>
              <w:bottom w:w="50" w:type="dxa"/>
              <w:left w:w="80" w:type="dxa"/>
              <w:right w:w="80" w:type="dxa"/>
            </w:tcMar>
          </w:tcPr>
          <w:p>
            <w:r>
              <w:rPr>
                <w:sz w:val="17"/>
              </w:rPr>
              <w:t>Author Dockerfile, docker-compose.yml, and run_dashboard.py for automated zero-configuration deployment.</w:t>
            </w:r>
          </w:p>
        </w:tc>
        <w:tc>
          <w:tcPr>
            <w:tcW w:type="dxa" w:w="1728"/>
            <w:shd w:val="clear" w:color="auto" w:fill="F1F5F9"/>
            <w:tcMar>
              <w:top w:w="50" w:type="dxa"/>
              <w:bottom w:w="50" w:type="dxa"/>
              <w:left w:w="80" w:type="dxa"/>
              <w:right w:w="80" w:type="dxa"/>
            </w:tcMar>
          </w:tcPr>
          <w:p>
            <w:r>
              <w:rPr>
                <w:sz w:val="17"/>
              </w:rPr>
              <w:t>Final Milestone</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