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Segoe UI" w:hAnsi="Segoe UI"/>
          <w:b/>
          <w:color w:val="64748B"/>
          <w:sz w:val="17"/>
        </w:rPr>
        <w:t>EVIGRAPH TECHNICAL REPORT | MEMBER 2: DETECTION &amp; GRAPH ENGINE | OCT 2026</w:t>
      </w:r>
    </w:p>
    <w:p>
      <w:pPr>
        <w:spacing w:before="120" w:after="40"/>
      </w:pPr>
      <w:r>
        <w:rPr>
          <w:rFonts w:ascii="Segoe UI Semibold" w:hAnsi="Segoe UI Semibold"/>
          <w:b/>
          <w:color w:val="0F172A"/>
          <w:sz w:val="44"/>
        </w:rPr>
        <w:t>EviGraph: Cyber Incident Investigation Framework</w:t>
      </w:r>
    </w:p>
    <w:p>
      <w:pPr>
        <w:spacing w:after="240"/>
      </w:pPr>
      <w:r>
        <w:rPr>
          <w:rFonts w:ascii="Segoe UI" w:hAnsi="Segoe UI"/>
          <w:i/>
          <w:color w:val="1E3A8A"/>
          <w:sz w:val="24"/>
        </w:rPr>
        <w:t>Member 2 Technical Implementation Report: Detection &amp; Graph Engine Architecture, Inductive GNNs, Merkle Integrity, and Causal Provenance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304"/>
            <w:shd w:val="clear" w:color="auto" w:fill="F1F5F9"/>
            <w:tcMar>
              <w:top w:w="80" w:type="dxa"/>
              <w:bottom w:w="80" w:type="dxa"/>
              <w:left w:w="120" w:type="dxa"/>
              <w:right w:w="120" w:type="dxa"/>
            </w:tcMar>
          </w:tcPr>
          <w:p>
            <w:pPr>
              <w:spacing w:before="20" w:after="20"/>
            </w:pPr>
            <w:r>
              <w:rPr>
                <w:rFonts w:ascii="Segoe UI Semibold" w:hAnsi="Segoe UI Semibold"/>
                <w:b/>
                <w:color w:val="1E3A8A"/>
                <w:sz w:val="17"/>
              </w:rPr>
              <w:t>Project Role</w:t>
            </w:r>
          </w:p>
        </w:tc>
        <w:tc>
          <w:tcPr>
            <w:tcW w:type="dxa" w:w="2592"/>
            <w:shd w:val="clear" w:color="auto" w:fill="FFFFFF"/>
            <w:tcMar>
              <w:top w:w="80" w:type="dxa"/>
              <w:bottom w:w="80" w:type="dxa"/>
              <w:left w:w="120" w:type="dxa"/>
              <w:right w:w="120" w:type="dxa"/>
            </w:tcMar>
          </w:tcPr>
          <w:p>
            <w:pPr>
              <w:spacing w:before="20" w:after="20"/>
            </w:pPr>
            <w:r>
              <w:rPr>
                <w:rFonts w:ascii="Segoe UI" w:hAnsi="Segoe UI"/>
                <w:color w:val="334155"/>
                <w:sz w:val="17"/>
              </w:rPr>
              <w:t>Member 2: Detection &amp; Graph Engine Lead</w:t>
            </w:r>
          </w:p>
        </w:tc>
        <w:tc>
          <w:tcPr>
            <w:tcW w:type="dxa" w:w="2304"/>
            <w:shd w:val="clear" w:color="auto" w:fill="F1F5F9"/>
            <w:tcMar>
              <w:top w:w="80" w:type="dxa"/>
              <w:bottom w:w="80" w:type="dxa"/>
              <w:left w:w="120" w:type="dxa"/>
              <w:right w:w="120" w:type="dxa"/>
            </w:tcMar>
          </w:tcPr>
          <w:p>
            <w:pPr>
              <w:spacing w:before="20" w:after="20"/>
            </w:pPr>
            <w:r>
              <w:rPr>
                <w:rFonts w:ascii="Segoe UI Semibold" w:hAnsi="Segoe UI Semibold"/>
                <w:b/>
                <w:color w:val="1E3A8A"/>
                <w:sz w:val="17"/>
              </w:rPr>
              <w:t>Framework Target</w:t>
            </w:r>
          </w:p>
        </w:tc>
        <w:tc>
          <w:tcPr>
            <w:tcW w:type="dxa" w:w="2592"/>
            <w:shd w:val="clear" w:color="auto" w:fill="FFFFFF"/>
            <w:tcMar>
              <w:top w:w="80" w:type="dxa"/>
              <w:bottom w:w="80" w:type="dxa"/>
              <w:left w:w="120" w:type="dxa"/>
              <w:right w:w="120" w:type="dxa"/>
            </w:tcMar>
          </w:tcPr>
          <w:p>
            <w:pPr>
              <w:spacing w:before="20" w:after="20"/>
            </w:pPr>
            <w:r>
              <w:rPr>
                <w:rFonts w:ascii="Segoe UI" w:hAnsi="Segoe UI"/>
                <w:color w:val="334155"/>
                <w:sz w:val="17"/>
              </w:rPr>
              <w:t>EviGraph Autonomous Forensic Pipeline</w:t>
            </w:r>
          </w:p>
        </w:tc>
      </w:tr>
      <w:tr>
        <w:tc>
          <w:tcPr>
            <w:tcW w:type="dxa" w:w="2304"/>
            <w:shd w:val="clear" w:color="auto" w:fill="F1F5F9"/>
            <w:tcMar>
              <w:top w:w="80" w:type="dxa"/>
              <w:bottom w:w="80" w:type="dxa"/>
              <w:left w:w="120" w:type="dxa"/>
              <w:right w:w="120" w:type="dxa"/>
            </w:tcMar>
          </w:tcPr>
          <w:p>
            <w:pPr>
              <w:spacing w:before="20" w:after="20"/>
            </w:pPr>
            <w:r>
              <w:rPr>
                <w:rFonts w:ascii="Segoe UI Semibold" w:hAnsi="Segoe UI Semibold"/>
                <w:b/>
                <w:color w:val="1E3A8A"/>
                <w:sz w:val="17"/>
              </w:rPr>
              <w:t>Hardware Accelerator</w:t>
            </w:r>
          </w:p>
        </w:tc>
        <w:tc>
          <w:tcPr>
            <w:tcW w:type="dxa" w:w="2592"/>
            <w:shd w:val="clear" w:color="auto" w:fill="FFFFFF"/>
            <w:tcMar>
              <w:top w:w="80" w:type="dxa"/>
              <w:bottom w:w="80" w:type="dxa"/>
              <w:left w:w="120" w:type="dxa"/>
              <w:right w:w="120" w:type="dxa"/>
            </w:tcMar>
          </w:tcPr>
          <w:p>
            <w:pPr>
              <w:spacing w:before="20" w:after="20"/>
            </w:pPr>
            <w:r>
              <w:rPr>
                <w:rFonts w:ascii="Segoe UI" w:hAnsi="Segoe UI"/>
                <w:color w:val="334155"/>
                <w:sz w:val="17"/>
              </w:rPr>
              <w:t>NVIDIA RTX 3050 6GB GPU (CUDA 12.4)</w:t>
            </w:r>
          </w:p>
        </w:tc>
        <w:tc>
          <w:tcPr>
            <w:tcW w:type="dxa" w:w="2304"/>
            <w:shd w:val="clear" w:color="auto" w:fill="F1F5F9"/>
            <w:tcMar>
              <w:top w:w="80" w:type="dxa"/>
              <w:bottom w:w="80" w:type="dxa"/>
              <w:left w:w="120" w:type="dxa"/>
              <w:right w:w="120" w:type="dxa"/>
            </w:tcMar>
          </w:tcPr>
          <w:p>
            <w:pPr>
              <w:spacing w:before="20" w:after="20"/>
            </w:pPr>
            <w:r>
              <w:rPr>
                <w:rFonts w:ascii="Segoe UI Semibold" w:hAnsi="Segoe UI Semibold"/>
                <w:b/>
                <w:color w:val="1E3A8A"/>
                <w:sz w:val="17"/>
              </w:rPr>
              <w:t>ML Paradigms</w:t>
            </w:r>
          </w:p>
        </w:tc>
        <w:tc>
          <w:tcPr>
            <w:tcW w:type="dxa" w:w="2592"/>
            <w:shd w:val="clear" w:color="auto" w:fill="FFFFFF"/>
            <w:tcMar>
              <w:top w:w="80" w:type="dxa"/>
              <w:bottom w:w="80" w:type="dxa"/>
              <w:left w:w="120" w:type="dxa"/>
              <w:right w:w="120" w:type="dxa"/>
            </w:tcMar>
          </w:tcPr>
          <w:p>
            <w:pPr>
              <w:spacing w:before="20" w:after="20"/>
            </w:pPr>
            <w:r>
              <w:rPr>
                <w:rFonts w:ascii="Segoe UI" w:hAnsi="Segoe UI"/>
                <w:color w:val="334155"/>
                <w:sz w:val="17"/>
              </w:rPr>
              <w:t>XGBoost, PyG GraphSAGE, Autoencoder</w:t>
            </w:r>
          </w:p>
        </w:tc>
      </w:tr>
      <w:tr>
        <w:tc>
          <w:tcPr>
            <w:tcW w:type="dxa" w:w="2304"/>
            <w:shd w:val="clear" w:color="auto" w:fill="F1F5F9"/>
            <w:tcMar>
              <w:top w:w="80" w:type="dxa"/>
              <w:bottom w:w="80" w:type="dxa"/>
              <w:left w:w="120" w:type="dxa"/>
              <w:right w:w="120" w:type="dxa"/>
            </w:tcMar>
          </w:tcPr>
          <w:p>
            <w:pPr>
              <w:spacing w:before="20" w:after="20"/>
            </w:pPr>
            <w:r>
              <w:rPr>
                <w:rFonts w:ascii="Segoe UI Semibold" w:hAnsi="Segoe UI Semibold"/>
                <w:b/>
                <w:color w:val="1E3A8A"/>
                <w:sz w:val="17"/>
              </w:rPr>
              <w:t>Evaluation Telemetry</w:t>
            </w:r>
          </w:p>
        </w:tc>
        <w:tc>
          <w:tcPr>
            <w:tcW w:type="dxa" w:w="2592"/>
            <w:shd w:val="clear" w:color="auto" w:fill="FFFFFF"/>
            <w:tcMar>
              <w:top w:w="80" w:type="dxa"/>
              <w:bottom w:w="80" w:type="dxa"/>
              <w:left w:w="120" w:type="dxa"/>
              <w:right w:w="120" w:type="dxa"/>
            </w:tcMar>
          </w:tcPr>
          <w:p>
            <w:pPr>
              <w:spacing w:before="20" w:after="20"/>
            </w:pPr>
            <w:r>
              <w:rPr>
                <w:rFonts w:ascii="Segoe UI" w:hAnsi="Segoe UI"/>
                <w:color w:val="334155"/>
                <w:sz w:val="17"/>
              </w:rPr>
              <w:t>2.64M Flows (CICIDS2017 + NIDS2025)</w:t>
            </w:r>
          </w:p>
        </w:tc>
        <w:tc>
          <w:tcPr>
            <w:tcW w:type="dxa" w:w="2304"/>
            <w:shd w:val="clear" w:color="auto" w:fill="F1F5F9"/>
            <w:tcMar>
              <w:top w:w="80" w:type="dxa"/>
              <w:bottom w:w="80" w:type="dxa"/>
              <w:left w:w="120" w:type="dxa"/>
              <w:right w:w="120" w:type="dxa"/>
            </w:tcMar>
          </w:tcPr>
          <w:p>
            <w:pPr>
              <w:spacing w:before="20" w:after="20"/>
            </w:pPr>
            <w:r>
              <w:rPr>
                <w:rFonts w:ascii="Segoe UI Semibold" w:hAnsi="Segoe UI Semibold"/>
                <w:b/>
                <w:color w:val="1E3A8A"/>
                <w:sz w:val="17"/>
              </w:rPr>
              <w:t>Forensic Standards</w:t>
            </w:r>
          </w:p>
        </w:tc>
        <w:tc>
          <w:tcPr>
            <w:tcW w:type="dxa" w:w="2592"/>
            <w:shd w:val="clear" w:color="auto" w:fill="FFFFFF"/>
            <w:tcMar>
              <w:top w:w="80" w:type="dxa"/>
              <w:bottom w:w="80" w:type="dxa"/>
              <w:left w:w="120" w:type="dxa"/>
              <w:right w:w="120" w:type="dxa"/>
            </w:tcMar>
          </w:tcPr>
          <w:p>
            <w:pPr>
              <w:spacing w:before="20" w:after="20"/>
            </w:pPr>
            <w:r>
              <w:rPr>
                <w:rFonts w:ascii="Segoe UI" w:hAnsi="Segoe UI"/>
                <w:color w:val="334155"/>
                <w:sz w:val="17"/>
              </w:rPr>
              <w:t>RFC-6962 Merkle, Lamport Causal DAG, FRE 902</w:t>
            </w:r>
          </w:p>
        </w:tc>
      </w:tr>
    </w:tbl>
    <w:p>
      <w:pPr>
        <w:spacing w:before="160" w:after="160"/>
      </w:pPr>
    </w:p>
    <w:tbl>
      <w:tblPr>
        <w:tblW w:type="auto" w:w="0"/>
        <w:jc w:val="center"/>
        <w:tblLayout w:type="fixed"/>
        <w:tblLook w:firstColumn="1" w:firstRow="1" w:lastColumn="0" w:lastRow="0" w:noHBand="0" w:noVBand="1" w:val="04A0"/>
      </w:tblPr>
      <w:tblGrid>
        <w:gridCol w:w="9792"/>
      </w:tblGrid>
      <w:tr>
        <w:tc>
          <w:tcPr>
            <w:tcW w:type="dxa" w:w="9936"/>
            <w:shd w:val="clear" w:color="auto" w:fill="F8FAFC"/>
            <w:tcMar>
              <w:top w:w="140" w:type="dxa"/>
              <w:bottom w:w="140" w:type="dxa"/>
              <w:left w:w="200" w:type="dxa"/>
              <w:right w:w="200" w:type="dxa"/>
            </w:tcMar>
            <w:tcBorders>
              <w:left w:val="single" w:sz="24" w:space="0" w:color="1E3A8A"/>
              <w:top w:val="none"/>
              <w:right w:val="none"/>
              <w:bottom w:val="none"/>
            </w:tcBorders>
          </w:tcPr>
          <w:p>
            <w:pPr>
              <w:spacing w:before="0" w:after="60" w:line="276" w:lineRule="auto"/>
            </w:pPr>
            <w:r>
              <w:rPr>
                <w:rFonts w:ascii="Segoe UI" w:hAnsi="Segoe UI"/>
                <w:b/>
                <w:color w:val="1E3A8A"/>
                <w:sz w:val="20"/>
              </w:rPr>
              <w:t>[EXECUTIVE MANDATE &amp; ROLE DEFINITION]</w:t>
              <w:br/>
            </w:r>
            <w:r>
              <w:rPr>
                <w:rFonts w:ascii="Segoe UI" w:hAnsi="Segoe UI"/>
                <w:color w:val="334155"/>
                <w:sz w:val="19"/>
              </w:rPr>
              <w:t>MEMBER 2 CORE MANDATE: Member 2 is the central analytical engine of EviGraph, responsible for ingesting normalized network telemetry, enforcing strict anti-leakage feature isolation, executing multi-class intrusion detection across tree-boosting and inductive Graph Neural Networks, constructing dynamic host-communication multigraphs, clustering alerts via high-throughput inverted indexing, providing cryptographic chain-of-custody via SHA-256 Merkle Trees, and extracting acyclic Causal Provenance DAGs. Member 2 produces the immutable JSON incident package ('outputs/incident_cases.json') consumed by Member 3 (Forensic LLM Agent) and Member 4 (Interactive Analyst Dashboard).</w:t>
            </w:r>
          </w:p>
        </w:tc>
      </w:tr>
    </w:tbl>
    <w:p>
      <w:pPr>
        <w:spacing w:before="0" w:after="80"/>
      </w:pPr>
    </w:p>
    <w:p>
      <w:pPr>
        <w:keepNext/>
        <w:spacing w:before="320" w:after="120"/>
      </w:pPr>
      <w:r>
        <w:rPr>
          <w:rFonts w:ascii="Segoe UI Semibold" w:hAnsi="Segoe UI Semibold"/>
          <w:b/>
          <w:color w:val="0F172A"/>
          <w:sz w:val="30"/>
        </w:rPr>
        <w:t>1. Executive Summary &amp; Architectural Role</w:t>
      </w:r>
    </w:p>
    <w:p>
      <w:pPr>
        <w:spacing w:before="0" w:after="80" w:line="276" w:lineRule="auto"/>
      </w:pPr>
      <w:r>
        <w:rPr>
          <w:rFonts w:ascii="Segoe UI" w:hAnsi="Segoe UI"/>
          <w:color w:val="334155"/>
          <w:sz w:val="20"/>
        </w:rPr>
        <w:t>In modern Security Operations Centers (SOCs), digital forensic investigators face extreme cognitive fatigue caused by unmanageable alert volumes, disconnected network logs, and high false-positive rates. Traditional Security Information and Event Management (SIEM) solutions produce isolated, flat alerts that lack topological context and temporal causality. EviGraph was designed to transform raw packet and flow data into court-admissible, evidence-grounded incident cases.</w:t>
      </w:r>
    </w:p>
    <w:p>
      <w:pPr>
        <w:spacing w:before="0" w:after="80" w:line="276" w:lineRule="auto"/>
      </w:pPr>
      <w:r>
        <w:rPr>
          <w:rFonts w:ascii="Segoe UI" w:hAnsi="Segoe UI"/>
          <w:color w:val="334155"/>
          <w:sz w:val="20"/>
        </w:rPr>
        <w:t>Within the EviGraph framework, Member 2 occupies the Detection &amp; Graph Engine plane—the computational bridge connecting raw data intake (Member 1) with autonomous reasoning (Member 3) and web presentation (Member 4). Specifically, Member 2 is responsible for the following core responsibilities:</w:t>
      </w:r>
    </w:p>
    <w:p>
      <w:pPr>
        <w:pStyle w:val="ListBullet"/>
        <w:spacing w:before="20" w:after="40" w:line="269" w:lineRule="auto"/>
      </w:pPr>
      <w:r>
        <w:rPr>
          <w:rFonts w:ascii="Segoe UI" w:hAnsi="Segoe UI"/>
          <w:b/>
          <w:color w:val="0F172A"/>
          <w:sz w:val="20"/>
        </w:rPr>
        <w:t xml:space="preserve">1. Data Ingestion &amp; Sanitization: </w:t>
      </w:r>
      <w:r>
        <w:rPr>
          <w:rFonts w:ascii="Segoe UI" w:hAnsi="Segoe UI"/>
          <w:color w:val="334155"/>
          <w:sz w:val="20"/>
        </w:rPr>
        <w:t>Ingests heterogeneous Parquet and CSV flow captures and standardizes 85 statistical features into canonical schemas.</w:t>
      </w:r>
    </w:p>
    <w:p>
      <w:pPr>
        <w:pStyle w:val="ListBullet"/>
        <w:spacing w:before="20" w:after="40" w:line="269" w:lineRule="auto"/>
      </w:pPr>
      <w:r>
        <w:rPr>
          <w:rFonts w:ascii="Segoe UI" w:hAnsi="Segoe UI"/>
          <w:b/>
          <w:color w:val="0F172A"/>
          <w:sz w:val="20"/>
        </w:rPr>
        <w:t xml:space="preserve">2. Anti-Leakage Feature Pipeline: </w:t>
      </w:r>
      <w:r>
        <w:rPr>
          <w:rFonts w:ascii="Segoe UI" w:hAnsi="Segoe UI"/>
          <w:color w:val="334155"/>
          <w:sz w:val="20"/>
        </w:rPr>
        <w:t>Strictly excludes IP addresses, port identities, MAC addresses, and timestamps from ML training features to prevent topological memorization (TRD Sec 3.2).</w:t>
      </w:r>
    </w:p>
    <w:p>
      <w:pPr>
        <w:pStyle w:val="ListBullet"/>
        <w:spacing w:before="20" w:after="40" w:line="269" w:lineRule="auto"/>
      </w:pPr>
      <w:r>
        <w:rPr>
          <w:rFonts w:ascii="Segoe UI" w:hAnsi="Segoe UI"/>
          <w:b/>
          <w:color w:val="0F172A"/>
          <w:sz w:val="20"/>
        </w:rPr>
        <w:t xml:space="preserve">3. Supervised Tabular Detector: </w:t>
      </w:r>
      <w:r>
        <w:rPr>
          <w:rFonts w:ascii="Segoe UI" w:hAnsi="Segoe UI"/>
          <w:color w:val="334155"/>
          <w:sz w:val="20"/>
        </w:rPr>
        <w:t>Engineered a high-performance multi-class XGBoost detector with balanced sample re-weighting, GPU histogram acceleration, and Platt probability calibration.</w:t>
      </w:r>
    </w:p>
    <w:p>
      <w:pPr>
        <w:pStyle w:val="ListBullet"/>
        <w:spacing w:before="20" w:after="40" w:line="269" w:lineRule="auto"/>
      </w:pPr>
      <w:r>
        <w:rPr>
          <w:rFonts w:ascii="Segoe UI" w:hAnsi="Segoe UI"/>
          <w:b/>
          <w:color w:val="0F172A"/>
          <w:sz w:val="20"/>
        </w:rPr>
        <w:t xml:space="preserve">4. Graph Neural Network (PyG): </w:t>
      </w:r>
      <w:r>
        <w:rPr>
          <w:rFonts w:ascii="Segoe UI" w:hAnsi="Segoe UI"/>
          <w:color w:val="334155"/>
          <w:sz w:val="20"/>
        </w:rPr>
        <w:t>Built a 2-layer inductive Edge-GraphSAGE model using PyTorch Geometric to perform topology-aware edge anomaly classification.</w:t>
      </w:r>
    </w:p>
    <w:p>
      <w:pPr>
        <w:pStyle w:val="ListBullet"/>
        <w:spacing w:before="20" w:after="40" w:line="269" w:lineRule="auto"/>
      </w:pPr>
      <w:r>
        <w:rPr>
          <w:rFonts w:ascii="Segoe UI" w:hAnsi="Segoe UI"/>
          <w:b/>
          <w:color w:val="0F172A"/>
          <w:sz w:val="20"/>
        </w:rPr>
        <w:t xml:space="preserve">5. Host Communication Graph Engine: </w:t>
      </w:r>
      <w:r>
        <w:rPr>
          <w:rFonts w:ascii="Segoe UI" w:hAnsi="Segoe UI"/>
          <w:color w:val="334155"/>
          <w:sz w:val="20"/>
        </w:rPr>
        <w:t>Maintains a sliding-window MultiDiGraph (delta_W = 300s) capturing host communication topology, behavioral fan-out, and byte volumes.</w:t>
      </w:r>
    </w:p>
    <w:p>
      <w:pPr>
        <w:pStyle w:val="ListBullet"/>
        <w:spacing w:before="20" w:after="40" w:line="269" w:lineRule="auto"/>
      </w:pPr>
      <w:r>
        <w:rPr>
          <w:rFonts w:ascii="Segoe UI" w:hAnsi="Segoe UI"/>
          <w:b/>
          <w:color w:val="0F172A"/>
          <w:sz w:val="20"/>
        </w:rPr>
        <w:t xml:space="preserve">6. High-Throughput Incident Clustering: </w:t>
      </w:r>
      <w:r>
        <w:rPr>
          <w:rFonts w:ascii="Segoe UI" w:hAnsi="Segoe UI"/>
          <w:color w:val="334155"/>
          <w:sz w:val="20"/>
        </w:rPr>
        <w:t>Invented an inverted host indexing algorithm that reduced alert correlation complexity from O(N^2) to sub-second O(M * k) execution.</w:t>
      </w:r>
    </w:p>
    <w:p>
      <w:pPr>
        <w:pStyle w:val="ListBullet"/>
        <w:spacing w:before="20" w:after="40" w:line="269" w:lineRule="auto"/>
      </w:pPr>
      <w:r>
        <w:rPr>
          <w:rFonts w:ascii="Segoe UI" w:hAnsi="Segoe UI"/>
          <w:b/>
          <w:color w:val="0F172A"/>
          <w:sz w:val="20"/>
        </w:rPr>
        <w:t xml:space="preserve">7. Cryptographic Chain-of-Custody: </w:t>
      </w:r>
      <w:r>
        <w:rPr>
          <w:rFonts w:ascii="Segoe UI" w:hAnsi="Segoe UI"/>
          <w:color w:val="334155"/>
          <w:sz w:val="20"/>
        </w:rPr>
        <w:t>Constructs an RFC-6962 SHA-256 binary Merkle tree providing mathematical proof-of-existence for every cited flow without background data disclosure.</w:t>
      </w:r>
    </w:p>
    <w:p>
      <w:pPr>
        <w:pStyle w:val="ListBullet"/>
        <w:spacing w:before="20" w:after="40" w:line="269" w:lineRule="auto"/>
      </w:pPr>
      <w:r>
        <w:rPr>
          <w:rFonts w:ascii="Segoe UI" w:hAnsi="Segoe UI"/>
          <w:b/>
          <w:color w:val="0F172A"/>
          <w:sz w:val="20"/>
        </w:rPr>
        <w:t xml:space="preserve">8. Causal Provenance Engine: </w:t>
      </w:r>
      <w:r>
        <w:rPr>
          <w:rFonts w:ascii="Segoe UI" w:hAnsi="Segoe UI"/>
          <w:color w:val="334155"/>
          <w:sz w:val="20"/>
        </w:rPr>
        <w:t>Transforms alert clusters into Lamport-ordered Directed Acyclic Graphs (DAGs) evaluated against a 6-stage MITRE ATT&amp;CK progression FSM.</w:t>
      </w:r>
    </w:p>
    <w:p>
      <w:pPr>
        <w:pStyle w:val="ListBullet"/>
        <w:spacing w:before="20" w:after="40" w:line="269" w:lineRule="auto"/>
      </w:pPr>
      <w:r>
        <w:rPr>
          <w:rFonts w:ascii="Segoe UI" w:hAnsi="Segoe UI"/>
          <w:b/>
          <w:color w:val="0F172A"/>
          <w:sz w:val="20"/>
        </w:rPr>
        <w:t xml:space="preserve">9. Counterfactual What-If Simulator: </w:t>
      </w:r>
      <w:r>
        <w:rPr>
          <w:rFonts w:ascii="Segoe UI" w:hAnsi="Segoe UI"/>
          <w:color w:val="334155"/>
          <w:sz w:val="20"/>
        </w:rPr>
        <w:t>Allows security teams to perturb causal DAGs with simulated port closures and host quarantines, calculating the Defensive Resilience Index (DRI).</w:t>
      </w:r>
    </w:p>
    <w:p>
      <w:pPr>
        <w:pStyle w:val="ListBullet"/>
        <w:spacing w:before="20" w:after="40" w:line="269" w:lineRule="auto"/>
      </w:pPr>
      <w:r>
        <w:rPr>
          <w:rFonts w:ascii="Segoe UI" w:hAnsi="Segoe UI"/>
          <w:b/>
          <w:color w:val="0F172A"/>
          <w:sz w:val="20"/>
        </w:rPr>
        <w:t xml:space="preserve">10. Autonomous Surgical Containment: </w:t>
      </w:r>
      <w:r>
        <w:rPr>
          <w:rFonts w:ascii="Segoe UI" w:hAnsi="Segoe UI"/>
          <w:color w:val="334155"/>
          <w:sz w:val="20"/>
        </w:rPr>
        <w:t>Performs min-cut bottleneck analysis to isolate attack chains with minimal operational disruption, generating multi-platform firewall rules.</w:t>
      </w:r>
    </w:p>
    <w:p>
      <w:pPr>
        <w:keepNext/>
        <w:spacing w:before="320" w:after="120"/>
      </w:pPr>
      <w:r>
        <w:rPr>
          <w:rFonts w:ascii="Segoe UI Semibold" w:hAnsi="Segoe UI Semibold"/>
          <w:b/>
          <w:color w:val="0F172A"/>
          <w:sz w:val="30"/>
        </w:rPr>
        <w:t>2. Data Ingestion, Schema Harmonization &amp; Anti-Leakage Protocol</w:t>
      </w:r>
    </w:p>
    <w:p>
      <w:pPr>
        <w:spacing w:before="0" w:after="80" w:line="276" w:lineRule="auto"/>
      </w:pPr>
      <w:r>
        <w:rPr>
          <w:rFonts w:ascii="Segoe UI" w:hAnsi="Segoe UI"/>
          <w:color w:val="334155"/>
          <w:sz w:val="20"/>
        </w:rPr>
        <w:t>Network intrusion detection systems in academic literature frequently suffer from 'identity leakage'—where models inadvertently memorize static IP addresses or attacker port numbers present in training splits, achieving artificially inflated 99.9% test accuracies that collapse in real-world deployment. Member 2 strictly operationalizes Technical Requirements Document (TRD) Section 3.2 and Functional Requirement 2.5.</w:t>
      </w:r>
    </w:p>
    <w:p>
      <w:pPr>
        <w:keepNext/>
        <w:spacing w:before="240" w:after="80"/>
      </w:pPr>
      <w:r>
        <w:rPr>
          <w:rFonts w:ascii="Segoe UI Semibold" w:hAnsi="Segoe UI Semibold"/>
          <w:b/>
          <w:color w:val="1E3A8A"/>
          <w:sz w:val="25"/>
        </w:rPr>
        <w:t>2.1 Strict Feature Isolation &amp; Metadata Guards (src/config.py, src/data_loader.py)</w:t>
      </w:r>
    </w:p>
    <w:p>
      <w:pPr>
        <w:spacing w:before="0" w:after="80" w:line="276" w:lineRule="auto"/>
      </w:pPr>
      <w:r>
        <w:rPr>
          <w:rFonts w:ascii="Segoe UI" w:hAnsi="Segoe UI"/>
          <w:color w:val="334155"/>
          <w:sz w:val="20"/>
        </w:rPr>
        <w:t>Member 2 defines an explicit immutable metadata whitelist. Any column in METADATA_COLS is strictly excluded from tabular training feature matrices: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val="clear" w:color="auto" w:fill="1E3A8A"/>
            <w:tcMar>
              <w:top w:w="100" w:type="dxa"/>
              <w:bottom w:w="100" w:type="dxa"/>
              <w:left w:w="140" w:type="dxa"/>
              <w:right w:w="140" w:type="dxa"/>
            </w:tcMar>
            <w:vAlign w:val="center"/>
            <w:shd w:val="clear" w:color="auto" w:fill="1E3A8A"/>
            <w:tcMar>
              <w:top w:w="100" w:type="dxa"/>
              <w:bottom w:w="100" w:type="dxa"/>
              <w:left w:w="140" w:type="dxa"/>
              <w:right w:w="140" w:type="dxa"/>
            </w:tcMar>
          </w:tcPr>
          <w:p>
            <w:pPr>
              <w:spacing w:before="40" w:after="40" w:line="264" w:lineRule="auto"/>
            </w:pPr>
            <w:r>
              <w:rPr>
                <w:rFonts w:ascii="Segoe UI" w:hAnsi="Segoe UI"/>
                <w:b/>
                <w:color w:val="FFFFFF"/>
                <w:sz w:val="19"/>
              </w:rPr>
              <w:t>Column Name</w:t>
            </w:r>
          </w:p>
        </w:tc>
        <w:tc>
          <w:tcPr>
            <w:tcW w:type="dxa" w:w="1872"/>
            <w:shd w:val="clear" w:color="auto" w:fill="1E3A8A"/>
            <w:tcMar>
              <w:top w:w="100" w:type="dxa"/>
              <w:bottom w:w="100" w:type="dxa"/>
              <w:left w:w="140" w:type="dxa"/>
              <w:right w:w="140" w:type="dxa"/>
            </w:tcMar>
            <w:vAlign w:val="center"/>
            <w:shd w:val="clear" w:color="auto" w:fill="1E3A8A"/>
            <w:tcMar>
              <w:top w:w="100" w:type="dxa"/>
              <w:bottom w:w="100" w:type="dxa"/>
              <w:left w:w="140" w:type="dxa"/>
              <w:right w:w="140" w:type="dxa"/>
            </w:tcMar>
          </w:tcPr>
          <w:p>
            <w:pPr>
              <w:spacing w:before="40" w:after="40" w:line="264" w:lineRule="auto"/>
            </w:pPr>
            <w:r>
              <w:rPr>
                <w:rFonts w:ascii="Segoe UI" w:hAnsi="Segoe UI"/>
                <w:b/>
                <w:color w:val="FFFFFF"/>
                <w:sz w:val="19"/>
              </w:rPr>
              <w:t>Expected Dtype</w:t>
            </w:r>
          </w:p>
        </w:tc>
        <w:tc>
          <w:tcPr>
            <w:tcW w:type="dxa" w:w="1728"/>
            <w:shd w:val="clear" w:color="auto" w:fill="1E3A8A"/>
            <w:tcMar>
              <w:top w:w="100" w:type="dxa"/>
              <w:bottom w:w="100" w:type="dxa"/>
              <w:left w:w="140" w:type="dxa"/>
              <w:right w:w="140" w:type="dxa"/>
            </w:tcMar>
            <w:vAlign w:val="center"/>
            <w:shd w:val="clear" w:color="auto" w:fill="1E3A8A"/>
            <w:tcMar>
              <w:top w:w="100" w:type="dxa"/>
              <w:bottom w:w="100" w:type="dxa"/>
              <w:left w:w="140" w:type="dxa"/>
              <w:right w:w="140" w:type="dxa"/>
            </w:tcMar>
          </w:tcPr>
          <w:p>
            <w:pPr>
              <w:spacing w:before="40" w:after="40" w:line="264" w:lineRule="auto"/>
            </w:pPr>
            <w:r>
              <w:rPr>
                <w:rFonts w:ascii="Segoe UI" w:hAnsi="Segoe UI"/>
                <w:b/>
                <w:color w:val="FFFFFF"/>
                <w:sz w:val="19"/>
              </w:rPr>
              <w:t>Role in Member 2</w:t>
            </w:r>
          </w:p>
        </w:tc>
        <w:tc>
          <w:tcPr>
            <w:tcW w:type="dxa" w:w="4032"/>
            <w:shd w:val="clear" w:color="auto" w:fill="1E3A8A"/>
            <w:tcMar>
              <w:top w:w="100" w:type="dxa"/>
              <w:bottom w:w="100" w:type="dxa"/>
              <w:left w:w="140" w:type="dxa"/>
              <w:right w:w="140" w:type="dxa"/>
            </w:tcMar>
            <w:vAlign w:val="center"/>
            <w:shd w:val="clear" w:color="auto" w:fill="1E3A8A"/>
            <w:tcMar>
              <w:top w:w="100" w:type="dxa"/>
              <w:bottom w:w="100" w:type="dxa"/>
              <w:left w:w="140" w:type="dxa"/>
              <w:right w:w="140" w:type="dxa"/>
            </w:tcMar>
          </w:tcPr>
          <w:p>
            <w:pPr>
              <w:spacing w:before="40" w:after="40" w:line="264" w:lineRule="auto"/>
            </w:pPr>
            <w:r>
              <w:rPr>
                <w:rFonts w:ascii="Segoe UI" w:hAnsi="Segoe UI"/>
                <w:b/>
                <w:color w:val="FFFFFF"/>
                <w:sz w:val="19"/>
              </w:rPr>
              <w:t>Anti-Leakage Justification</w:t>
            </w:r>
          </w:p>
        </w:tc>
      </w:tr>
      <w:tr>
        <w:tc>
          <w:tcPr>
            <w:tcW w:type="dxa" w:w="216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flow_id</w:t>
            </w:r>
          </w:p>
        </w:tc>
        <w:tc>
          <w:tcPr>
            <w:tcW w:type="dxa" w:w="1872"/>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string</w:t>
            </w:r>
          </w:p>
        </w:tc>
        <w:tc>
          <w:tcPr>
            <w:tcW w:type="dxa" w:w="1728"/>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Immutable Edge ID</w:t>
            </w:r>
          </w:p>
        </w:tc>
        <w:tc>
          <w:tcPr>
            <w:tcW w:type="dxa" w:w="4032"/>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Unique identifier for evidence citation [E:&lt;flow_id&gt;]. Never used as feature.</w:t>
            </w:r>
          </w:p>
        </w:tc>
      </w:tr>
      <w:tr>
        <w:tc>
          <w:tcPr>
            <w:tcW w:type="dxa" w:w="216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timestamp</w:t>
            </w:r>
          </w:p>
        </w:tc>
        <w:tc>
          <w:tcPr>
            <w:tcW w:type="dxa" w:w="1872"/>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datetime64[ns]</w:t>
            </w:r>
          </w:p>
        </w:tc>
        <w:tc>
          <w:tcPr>
            <w:tcW w:type="dxa" w:w="1728"/>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Temporal Ordering</w:t>
            </w:r>
          </w:p>
        </w:tc>
        <w:tc>
          <w:tcPr>
            <w:tcW w:type="dxa" w:w="4032"/>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Used for temporal splitting &amp; Lamport DAGs. Absolute time memorization prevented.</w:t>
            </w:r>
          </w:p>
        </w:tc>
      </w:tr>
      <w:tr>
        <w:tc>
          <w:tcPr>
            <w:tcW w:type="dxa" w:w="216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src_ip</w:t>
            </w:r>
          </w:p>
        </w:tc>
        <w:tc>
          <w:tcPr>
            <w:tcW w:type="dxa" w:w="1872"/>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string</w:t>
            </w:r>
          </w:p>
        </w:tc>
        <w:tc>
          <w:tcPr>
            <w:tcW w:type="dxa" w:w="1728"/>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Graph Source Vertex</w:t>
            </w:r>
          </w:p>
        </w:tc>
        <w:tc>
          <w:tcPr>
            <w:tcW w:type="dxa" w:w="4032"/>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Host identity for topology construction. Models must learn behavior, not IP identity.</w:t>
            </w:r>
          </w:p>
        </w:tc>
      </w:tr>
      <w:tr>
        <w:tc>
          <w:tcPr>
            <w:tcW w:type="dxa" w:w="216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dst_ip</w:t>
            </w:r>
          </w:p>
        </w:tc>
        <w:tc>
          <w:tcPr>
            <w:tcW w:type="dxa" w:w="1872"/>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string</w:t>
            </w:r>
          </w:p>
        </w:tc>
        <w:tc>
          <w:tcPr>
            <w:tcW w:type="dxa" w:w="1728"/>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Graph Target Vertex</w:t>
            </w:r>
          </w:p>
        </w:tc>
        <w:tc>
          <w:tcPr>
            <w:tcW w:type="dxa" w:w="4032"/>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Host identity for topology construction. Prevents targeting static victim servers.</w:t>
            </w:r>
          </w:p>
        </w:tc>
      </w:tr>
      <w:tr>
        <w:tc>
          <w:tcPr>
            <w:tcW w:type="dxa" w:w="216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src_port</w:t>
            </w:r>
          </w:p>
        </w:tc>
        <w:tc>
          <w:tcPr>
            <w:tcW w:type="dxa" w:w="1872"/>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int32 / int64</w:t>
            </w:r>
          </w:p>
        </w:tc>
        <w:tc>
          <w:tcPr>
            <w:tcW w:type="dxa" w:w="1728"/>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Edge Metadata</w:t>
            </w:r>
          </w:p>
        </w:tc>
        <w:tc>
          <w:tcPr>
            <w:tcW w:type="dxa" w:w="4032"/>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Ephemeral port identity. Excluded from features to prevent memorizing scanner source ports.</w:t>
            </w:r>
          </w:p>
        </w:tc>
      </w:tr>
      <w:tr>
        <w:tc>
          <w:tcPr>
            <w:tcW w:type="dxa" w:w="216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dst_port</w:t>
            </w:r>
          </w:p>
        </w:tc>
        <w:tc>
          <w:tcPr>
            <w:tcW w:type="dxa" w:w="1872"/>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int32 / int64</w:t>
            </w:r>
          </w:p>
        </w:tc>
        <w:tc>
          <w:tcPr>
            <w:tcW w:type="dxa" w:w="1728"/>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Edge Metadata</w:t>
            </w:r>
          </w:p>
        </w:tc>
        <w:tc>
          <w:tcPr>
            <w:tcW w:type="dxa" w:w="4032"/>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Target service port. Retained as metadata for graph edges, omitted from tabular inputs.</w:t>
            </w:r>
          </w:p>
        </w:tc>
      </w:tr>
      <w:tr>
        <w:tc>
          <w:tcPr>
            <w:tcW w:type="dxa" w:w="216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protocol</w:t>
            </w:r>
          </w:p>
        </w:tc>
        <w:tc>
          <w:tcPr>
            <w:tcW w:type="dxa" w:w="1872"/>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int32 (6, 17, 1)</w:t>
            </w:r>
          </w:p>
        </w:tc>
        <w:tc>
          <w:tcPr>
            <w:tcW w:type="dxa" w:w="1728"/>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Edge Metadata</w:t>
            </w:r>
          </w:p>
        </w:tc>
        <w:tc>
          <w:tcPr>
            <w:tcW w:type="dxa" w:w="4032"/>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Transport layer protocol number. Excluded from tabular training vectors.</w:t>
            </w:r>
          </w:p>
        </w:tc>
      </w:tr>
      <w:tr>
        <w:tc>
          <w:tcPr>
            <w:tcW w:type="dxa" w:w="216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src_mac / dst_mac</w:t>
            </w:r>
          </w:p>
        </w:tc>
        <w:tc>
          <w:tcPr>
            <w:tcW w:type="dxa" w:w="1872"/>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string</w:t>
            </w:r>
          </w:p>
        </w:tc>
        <w:tc>
          <w:tcPr>
            <w:tcW w:type="dxa" w:w="1728"/>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Hardware Metadata</w:t>
            </w:r>
          </w:p>
        </w:tc>
        <w:tc>
          <w:tcPr>
            <w:tcW w:type="dxa" w:w="4032"/>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Layer-2 hardware address. Excluded to prevent hardware-level memorization.</w:t>
            </w:r>
          </w:p>
        </w:tc>
      </w:tr>
      <w:tr>
        <w:tc>
          <w:tcPr>
            <w:tcW w:type="dxa" w:w="216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label</w:t>
            </w:r>
          </w:p>
        </w:tc>
        <w:tc>
          <w:tcPr>
            <w:tcW w:type="dxa" w:w="1872"/>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string</w:t>
            </w:r>
          </w:p>
        </w:tc>
        <w:tc>
          <w:tcPr>
            <w:tcW w:type="dxa" w:w="1728"/>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Supervised Target</w:t>
            </w:r>
          </w:p>
        </w:tc>
        <w:tc>
          <w:tcPr>
            <w:tcW w:type="dxa" w:w="4032"/>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Ground truth attack category. Sanitized to 'BENIGN' for all normal enterprise traffic.</w:t>
            </w:r>
          </w:p>
        </w:tc>
      </w:tr>
    </w:tbl>
    <w:p>
      <w:pPr>
        <w:spacing w:before="0" w:after="80" w:line="276" w:lineRule="auto"/>
      </w:pPr>
      <w:r>
        <w:rPr>
          <w:rFonts w:ascii="Segoe UI" w:hAnsi="Segoe UI"/>
          <w:color w:val="334155"/>
          <w:sz w:val="20"/>
        </w:rPr>
        <w:t>Feature selection operates dynamically: any numeric column (int or float) not present in METADATA_COLS is treated as an active statistical flow feature. All infinite values (inf, -inf) are coerced to NaN and sanitized, zero-variance columns are purged, and 64-bit floating point representations are downcasted to float32 to maximize GPU memory throughput.</w:t>
      </w:r>
    </w:p>
    <w:p>
      <w:pPr>
        <w:keepNext/>
        <w:spacing w:before="240" w:after="80"/>
      </w:pPr>
      <w:r>
        <w:rPr>
          <w:rFonts w:ascii="Segoe UI Semibold" w:hAnsi="Segoe UI Semibold"/>
          <w:b/>
          <w:color w:val="1E3A8A"/>
          <w:sz w:val="25"/>
        </w:rPr>
        <w:t>2.2 Schema Harmonization: CICFlowMeter to Canonical snake_case</w:t>
      </w:r>
    </w:p>
    <w:p>
      <w:pPr>
        <w:spacing w:before="0" w:after="80" w:line="276" w:lineRule="auto"/>
      </w:pPr>
      <w:r>
        <w:rPr>
          <w:rFonts w:ascii="Segoe UI" w:hAnsi="Segoe UI"/>
          <w:color w:val="334155"/>
          <w:sz w:val="20"/>
        </w:rPr>
        <w:t>Raw capture datasets (such as the Canadian Institute for Cybersecurity CICIDS2017 suite and 2025 modern NIDS benchmarks) feature disparate naming conventions. Member 2's src/data_loader.py introduces COLUMN_CANONICAL_MAP, bridging 85 verbose, Title-Cased, and whitespace-padded headers into canonical lowercase snake_case representations (e.g. 'Flow Duration' -&gt; 'flow_duration', 'Total Fwd Packets' -&gt; 'tot_fwd_pkts', 'Init_Win_bytes_forward' -&gt; 'init_fwd_win_byts').</w:t>
      </w:r>
    </w:p>
    <w:p>
      <w:pPr>
        <w:keepNext/>
        <w:spacing w:before="240" w:after="80"/>
      </w:pPr>
      <w:r>
        <w:rPr>
          <w:rFonts w:ascii="Segoe UI Semibold" w:hAnsi="Segoe UI Semibold"/>
          <w:b/>
          <w:color w:val="1E3A8A"/>
          <w:sz w:val="25"/>
        </w:rPr>
        <w:t>2.3 Per-Class Chronological Temporal Splitting (TRD Sec 3.3.5)</w:t>
      </w:r>
    </w:p>
    <w:p>
      <w:pPr>
        <w:spacing w:before="0" w:after="80" w:line="276" w:lineRule="auto"/>
      </w:pPr>
      <w:r>
        <w:rPr>
          <w:rFonts w:ascii="Segoe UI" w:hAnsi="Segoe UI"/>
          <w:color w:val="334155"/>
          <w:sz w:val="20"/>
        </w:rPr>
        <w:t>Conventional random K-Fold cross-validation suffers from severe temporal leakage in network intrusion detection: attacks occurring at 14:05 PM are used to predict attacks at 14:01 PM. Member 2 implements strict per-class chronological temporal partitioning:</w:t>
      </w:r>
    </w:p>
    <w:p>
      <w:pPr>
        <w:pStyle w:val="ListBullet"/>
        <w:spacing w:before="20" w:after="40" w:line="269" w:lineRule="auto"/>
      </w:pPr>
      <w:r>
        <w:rPr>
          <w:rFonts w:ascii="Segoe UI" w:hAnsi="Segoe UI"/>
          <w:b/>
          <w:color w:val="0F172A"/>
          <w:sz w:val="20"/>
        </w:rPr>
        <w:t xml:space="preserve">1. Monotonicity: </w:t>
      </w:r>
      <w:r>
        <w:rPr>
          <w:rFonts w:ascii="Segoe UI" w:hAnsi="Segoe UI"/>
          <w:color w:val="334155"/>
          <w:sz w:val="20"/>
        </w:rPr>
        <w:t>Chronological Sorting: Every capture timeline is sorted monotonically by timestamp (t_0 &lt;= t_1 &lt;= ... &lt;= t_N).</w:t>
      </w:r>
    </w:p>
    <w:p>
      <w:pPr>
        <w:pStyle w:val="ListBullet"/>
        <w:spacing w:before="20" w:after="40" w:line="269" w:lineRule="auto"/>
      </w:pPr>
      <w:r>
        <w:rPr>
          <w:rFonts w:ascii="Segoe UI" w:hAnsi="Segoe UI"/>
          <w:b/>
          <w:color w:val="0F172A"/>
          <w:sz w:val="20"/>
        </w:rPr>
        <w:t xml:space="preserve">2. Partition Ratios: </w:t>
      </w:r>
      <w:r>
        <w:rPr>
          <w:rFonts w:ascii="Segoe UI" w:hAnsi="Segoe UI"/>
          <w:color w:val="334155"/>
          <w:sz w:val="20"/>
        </w:rPr>
        <w:t>Per-Class Partitioning: For every attack class (and benign traffic), the earliest 50% of flows form the Training set, the subsequent 20% form the Validation set, and the final 30% form the Held-Out Test set.</w:t>
      </w:r>
    </w:p>
    <w:p>
      <w:pPr>
        <w:pStyle w:val="ListBullet"/>
        <w:spacing w:before="20" w:after="40" w:line="269" w:lineRule="auto"/>
      </w:pPr>
      <w:r>
        <w:rPr>
          <w:rFonts w:ascii="Segoe UI" w:hAnsi="Segoe UI"/>
          <w:b/>
          <w:color w:val="0F172A"/>
          <w:sz w:val="20"/>
        </w:rPr>
        <w:t xml:space="preserve">3. Causality: </w:t>
      </w:r>
      <w:r>
        <w:rPr>
          <w:rFonts w:ascii="Segoe UI" w:hAnsi="Segoe UI"/>
          <w:color w:val="334155"/>
          <w:sz w:val="20"/>
        </w:rPr>
        <w:t>Zero-Leakage Guarantee: No test flow precedes any training flow in that attack timeline, simulating genuine out-of-sample zero-day forensic evaluation.</w:t>
      </w:r>
    </w:p>
    <w:p>
      <w:pPr>
        <w:keepNext/>
        <w:spacing w:before="320" w:after="120"/>
      </w:pPr>
      <w:r>
        <w:rPr>
          <w:rFonts w:ascii="Segoe UI Semibold" w:hAnsi="Segoe UI Semibold"/>
          <w:b/>
          <w:color w:val="0F172A"/>
          <w:sz w:val="30"/>
        </w:rPr>
        <w:t>3. Multi-Model Detection Suite &amp; Risk Probability Calibration</w:t>
      </w:r>
    </w:p>
    <w:p>
      <w:pPr>
        <w:spacing w:before="0" w:after="80" w:line="276" w:lineRule="auto"/>
      </w:pPr>
      <w:r>
        <w:rPr>
          <w:rFonts w:ascii="Segoe UI" w:hAnsi="Segoe UI"/>
          <w:color w:val="334155"/>
          <w:sz w:val="20"/>
        </w:rPr>
        <w:t>Member 2 implements a multi-model detection plane supporting three complementary paradigms: supervised tree boosting for known attack signatures, unsupervised deep representation learning for zero-day anomalies, and meta-learned ensemble fusion.</w:t>
      </w:r>
    </w:p>
    <w:p>
      <w:pPr>
        <w:keepNext/>
        <w:spacing w:before="240" w:after="80"/>
      </w:pPr>
      <w:r>
        <w:rPr>
          <w:rFonts w:ascii="Segoe UI Semibold" w:hAnsi="Segoe UI Semibold"/>
          <w:b/>
          <w:color w:val="1E3A8A"/>
          <w:sz w:val="25"/>
        </w:rPr>
        <w:t>3.1 Supervised Multi-Class XGBoost Baseline (src/baseline_detector.py)</w:t>
      </w:r>
    </w:p>
    <w:p>
      <w:pPr>
        <w:spacing w:before="0" w:after="80" w:line="276" w:lineRule="auto"/>
      </w:pPr>
      <w:r>
        <w:rPr>
          <w:rFonts w:ascii="Segoe UI" w:hAnsi="Segoe UI"/>
          <w:color w:val="334155"/>
          <w:sz w:val="20"/>
        </w:rPr>
        <w:t>The primary supervised tabular detector utilizes XGBoost with GPU histogram tree-building (tree_method='hist', device='cuda'). Hyperparameters include max_depth=6, learning_rate=0.06, subsample=0.8, colsample_bytree=0.8, L1 Lasso regularization (reg_alpha=0.1), and L2 Ridge regularization (reg_lambda=1.5). Early stopping (20 rounds on validation loss) prevents overfitting.</w:t>
      </w:r>
    </w:p>
    <w:p>
      <w:pPr>
        <w:spacing w:before="0" w:after="80" w:line="276" w:lineRule="auto"/>
      </w:pPr>
      <w:r>
        <w:rPr>
          <w:rFonts w:ascii="Segoe UI" w:hAnsi="Segoe UI"/>
          <w:b/>
          <w:color w:val="0F172A"/>
          <w:sz w:val="20"/>
        </w:rPr>
        <w:t xml:space="preserve">Class Imbalance Compensation: </w:t>
      </w:r>
      <w:r>
        <w:rPr>
          <w:rFonts w:ascii="Segoe UI" w:hAnsi="Segoe UI"/>
          <w:color w:val="334155"/>
          <w:sz w:val="20"/>
        </w:rPr>
        <w:t>Balanced Class Weighting Formulation:</w:t>
      </w:r>
    </w:p>
    <w:p>
      <w:pPr>
        <w:spacing w:before="0" w:after="80" w:line="276" w:lineRule="auto"/>
      </w:pPr>
      <w:r>
        <w:rPr>
          <w:rFonts w:ascii="Segoe UI" w:hAnsi="Segoe UI"/>
          <w:color w:val="334155"/>
          <w:sz w:val="20"/>
        </w:rPr>
        <w:t>In production enterprise traffic, benign flows outnumber rare attack types (such as Heartbleed or SQL Injection) by 10,000 to 1. Member 2 computes balanced inverse-frequency sample weights:</w:t>
        <w:br/>
        <w:t xml:space="preserve">       w_c = N_total / (C * N_c)</w:t>
        <w:br/>
        <w:t>where N_total is total training flows, C is the number of active classes, and N_c is the sample count of class c. This assigns rare classes like Heartbleed (5 samples) a weight of 1,092.0, while BENIGN (45,261 samples) receives a weight of 0.121.</w:t>
      </w:r>
    </w:p>
    <w:p>
      <w:pPr>
        <w:keepNext/>
        <w:spacing w:before="240" w:after="80"/>
      </w:pPr>
      <w:r>
        <w:rPr>
          <w:rFonts w:ascii="Segoe UI Semibold" w:hAnsi="Segoe UI Semibold"/>
          <w:b/>
          <w:color w:val="1E3A8A"/>
          <w:sz w:val="25"/>
        </w:rPr>
        <w:t>3.2 Platt Risk Probability Calibration &amp; F1 Threshold Optimization</w:t>
      </w:r>
    </w:p>
    <w:p>
      <w:pPr>
        <w:spacing w:before="0" w:after="80" w:line="276" w:lineRule="auto"/>
      </w:pPr>
      <w:r>
        <w:rPr>
          <w:rFonts w:ascii="Segoe UI" w:hAnsi="Segoe UI"/>
          <w:color w:val="334155"/>
          <w:sz w:val="20"/>
        </w:rPr>
        <w:t>Raw classification decision scores output by tree ensembles do not represent true empirical probabilities. Member 2 applies Platt Scaling (univariate logistic regression calibration) on the binary risk metric:</w:t>
      </w:r>
    </w:p>
    <w:p>
      <w:pPr>
        <w:pStyle w:val="ListBullet"/>
        <w:spacing w:before="20" w:after="40" w:line="269" w:lineRule="auto"/>
      </w:pPr>
      <w:r>
        <w:rPr>
          <w:rFonts w:ascii="Segoe UI" w:hAnsi="Segoe UI"/>
          <w:b/>
          <w:color w:val="0F172A"/>
          <w:sz w:val="20"/>
        </w:rPr>
        <w:t xml:space="preserve">Step 1: </w:t>
      </w:r>
      <w:r>
        <w:rPr>
          <w:rFonts w:ascii="Segoe UI" w:hAnsi="Segoe UI"/>
          <w:color w:val="334155"/>
          <w:sz w:val="20"/>
        </w:rPr>
        <w:t>Raw Anomaly Risk: Computed as Risk_raw = 1.0 - P(BENIGN), reflecting the total probability mass assigned to malicious activity.</w:t>
      </w:r>
    </w:p>
    <w:p>
      <w:pPr>
        <w:pStyle w:val="ListBullet"/>
        <w:spacing w:before="20" w:after="40" w:line="269" w:lineRule="auto"/>
      </w:pPr>
      <w:r>
        <w:rPr>
          <w:rFonts w:ascii="Segoe UI" w:hAnsi="Segoe UI"/>
          <w:b/>
          <w:color w:val="0F172A"/>
          <w:sz w:val="20"/>
        </w:rPr>
        <w:t xml:space="preserve">Step 2: </w:t>
      </w:r>
      <w:r>
        <w:rPr>
          <w:rFonts w:ascii="Segoe UI" w:hAnsi="Segoe UI"/>
          <w:color w:val="334155"/>
          <w:sz w:val="20"/>
        </w:rPr>
        <w:t>Platt Sigmoidal Calibration: A dedicated LogisticRegression model fits Risk_calibrated = sigma(A * Risk_raw + B) against binary validation labels.</w:t>
      </w:r>
    </w:p>
    <w:p>
      <w:pPr>
        <w:pStyle w:val="ListBullet"/>
        <w:spacing w:before="20" w:after="40" w:line="269" w:lineRule="auto"/>
      </w:pPr>
      <w:r>
        <w:rPr>
          <w:rFonts w:ascii="Segoe UI" w:hAnsi="Segoe UI"/>
          <w:b/>
          <w:color w:val="0F172A"/>
          <w:sz w:val="20"/>
        </w:rPr>
        <w:t xml:space="preserve">Step 3: </w:t>
      </w:r>
      <w:r>
        <w:rPr>
          <w:rFonts w:ascii="Segoe UI" w:hAnsi="Segoe UI"/>
          <w:color w:val="334155"/>
          <w:sz w:val="20"/>
        </w:rPr>
        <w:t>Dynamic Threshold Sweep: Iterates across candidate alert thresholds tau in [0.20, 0.85] in 27 steps, selecting tau that maximizes the F1-score on the held-out validation set (optimal threshold: 0.85, yielding Validation F1 = 0.9946).</w:t>
      </w:r>
    </w:p>
    <w:p>
      <w:pPr>
        <w:keepNext/>
        <w:spacing w:before="240" w:after="80"/>
      </w:pPr>
      <w:r>
        <w:rPr>
          <w:rFonts w:ascii="Segoe UI Semibold" w:hAnsi="Segoe UI Semibold"/>
          <w:b/>
          <w:color w:val="1E3A8A"/>
          <w:sz w:val="25"/>
        </w:rPr>
        <w:t>3.3 Unsupervised Zero-Day Deep Autoencoder (src/detectors/autoencoder_detector.py)</w:t>
      </w:r>
    </w:p>
    <w:p>
      <w:pPr>
        <w:spacing w:before="0" w:after="80" w:line="276" w:lineRule="auto"/>
      </w:pPr>
      <w:r>
        <w:rPr>
          <w:rFonts w:ascii="Segoe UI" w:hAnsi="Segoe UI"/>
          <w:color w:val="334155"/>
          <w:sz w:val="20"/>
        </w:rPr>
        <w:t>To detect zero-day novel attacks that have no matching signatures in the training taxonomy, Member 2 incorporates a PyTorch Deep Autoencoder trained strictly on benign enterprise baseline flows:</w:t>
      </w:r>
    </w:p>
    <w:p>
      <w:pPr>
        <w:pStyle w:val="ListBullet"/>
        <w:spacing w:before="20" w:after="40" w:line="269" w:lineRule="auto"/>
      </w:pPr>
      <w:r>
        <w:rPr>
          <w:rFonts w:ascii="Segoe UI" w:hAnsi="Segoe UI"/>
          <w:b/>
          <w:color w:val="0F172A"/>
          <w:sz w:val="20"/>
        </w:rPr>
        <w:t xml:space="preserve">Encoder: </w:t>
      </w:r>
      <w:r>
        <w:rPr>
          <w:rFonts w:ascii="Segoe UI" w:hAnsi="Segoe UI"/>
          <w:color w:val="334155"/>
          <w:sz w:val="20"/>
        </w:rPr>
        <w:t>Encoder Architecture: Linear(D_in -&gt; 48) -&gt; LayerNorm -&gt; LeakyReLU(0.1) -&gt; Linear(48 -&gt; 24) -&gt; Linear(24 -&gt; 8).</w:t>
      </w:r>
    </w:p>
    <w:p>
      <w:pPr>
        <w:pStyle w:val="ListBullet"/>
        <w:spacing w:before="20" w:after="40" w:line="269" w:lineRule="auto"/>
      </w:pPr>
      <w:r>
        <w:rPr>
          <w:rFonts w:ascii="Segoe UI" w:hAnsi="Segoe UI"/>
          <w:b/>
          <w:color w:val="0F172A"/>
          <w:sz w:val="20"/>
        </w:rPr>
        <w:t xml:space="preserve">Bottleneck: </w:t>
      </w:r>
      <w:r>
        <w:rPr>
          <w:rFonts w:ascii="Segoe UI" w:hAnsi="Segoe UI"/>
          <w:color w:val="334155"/>
          <w:sz w:val="20"/>
        </w:rPr>
        <w:t>Bottleneck: An 8-dimensional manifold representation capturing normal network telemetry patterns.</w:t>
      </w:r>
    </w:p>
    <w:p>
      <w:pPr>
        <w:pStyle w:val="ListBullet"/>
        <w:spacing w:before="20" w:after="40" w:line="269" w:lineRule="auto"/>
      </w:pPr>
      <w:r>
        <w:rPr>
          <w:rFonts w:ascii="Segoe UI" w:hAnsi="Segoe UI"/>
          <w:b/>
          <w:color w:val="0F172A"/>
          <w:sz w:val="20"/>
        </w:rPr>
        <w:t xml:space="preserve">Decoder: </w:t>
      </w:r>
      <w:r>
        <w:rPr>
          <w:rFonts w:ascii="Segoe UI" w:hAnsi="Segoe UI"/>
          <w:color w:val="334155"/>
          <w:sz w:val="20"/>
        </w:rPr>
        <w:t>Decoder Architecture: Linear(8 -&gt; 24) -&gt; LeakyReLU -&gt; Linear(24 -&gt; 48) -&gt; Linear(48 -&gt; D_in).</w:t>
      </w:r>
    </w:p>
    <w:p>
      <w:pPr>
        <w:spacing w:before="0" w:after="80" w:line="276" w:lineRule="auto"/>
      </w:pPr>
      <w:r>
        <w:rPr>
          <w:rFonts w:ascii="Segoe UI" w:hAnsi="Segoe UI"/>
          <w:color w:val="334155"/>
          <w:sz w:val="20"/>
        </w:rPr>
        <w:t>When an anomalous flow is passed through the network, the autoencoder fails to reconstruct malicious statistical deviations, generating an elevated Mean Squared Error (MSE) reconstruction loss: L_recon = ||x - x_hat||^2. The reconstruction error is calibrated into an empirical anomaly risk score.</w:t>
      </w:r>
    </w:p>
    <w:p>
      <w:pPr>
        <w:keepNext/>
        <w:spacing w:before="240" w:after="80"/>
      </w:pPr>
      <w:r>
        <w:rPr>
          <w:rFonts w:ascii="Segoe UI Semibold" w:hAnsi="Segoe UI Semibold"/>
          <w:b/>
          <w:color w:val="1E3A8A"/>
          <w:sz w:val="25"/>
        </w:rPr>
        <w:t>3.4 Tri-Pillar Meta-Ensemble Stacking Fuser (src/detectors/ensemble_fuser.py)</w:t>
      </w:r>
    </w:p>
    <w:p>
      <w:pPr>
        <w:spacing w:before="0" w:after="80" w:line="276" w:lineRule="auto"/>
      </w:pPr>
      <w:r>
        <w:rPr>
          <w:rFonts w:ascii="Segoe UI" w:hAnsi="Segoe UI"/>
          <w:color w:val="334155"/>
          <w:sz w:val="20"/>
        </w:rPr>
        <w:t>Member 2's ensemble fuser stacks predictions from three distinct models: (1) XGBoost GPU, (2) Scikit-Learn HistGradientBoosting, and (3) Deep Autoencoder. A meta-learned logistic regression model receives the tri-pillar risk vector [Risk_xgb, Risk_hist, Risk_ae] to output the final ensemble risk verdict:</w:t>
      </w:r>
    </w:p>
    <w:p>
      <w:pPr>
        <w:spacing w:before="0" w:after="80" w:line="276" w:lineRule="auto"/>
      </w:pPr>
      <w:r>
        <w:rPr>
          <w:rFonts w:ascii="Segoe UI" w:hAnsi="Segoe UI"/>
          <w:color w:val="334155"/>
          <w:sz w:val="20"/>
        </w:rPr>
        <w:t xml:space="preserve">       Risk_fused = sigma(w_1 * Risk_xgb + w_2 * Risk_hist + w_3 * Risk_ae + b)</w:t>
      </w:r>
    </w:p>
    <w:p>
      <w:pPr>
        <w:keepNext/>
        <w:spacing w:before="320" w:after="120"/>
      </w:pPr>
      <w:r>
        <w:rPr>
          <w:rFonts w:ascii="Segoe UI Semibold" w:hAnsi="Segoe UI Semibold"/>
          <w:b/>
          <w:color w:val="0F172A"/>
          <w:sz w:val="30"/>
        </w:rPr>
        <w:t>4. Inductive Graph Neural Network: PyG Edge-GraphSAGE</w:t>
      </w:r>
    </w:p>
    <w:p>
      <w:pPr>
        <w:spacing w:before="0" w:after="80" w:line="276" w:lineRule="auto"/>
      </w:pPr>
      <w:r>
        <w:rPr>
          <w:rFonts w:ascii="Segoe UI" w:hAnsi="Segoe UI"/>
          <w:color w:val="334155"/>
          <w:sz w:val="20"/>
        </w:rPr>
        <w:t>Conventional network intrusion detection models inspect network flows in isolation, completely ignoring the structural communication topology of the enterprise. Member 2 designed and implemented a custom Inductive Graph Neural Network (GNN) Edge Classifier in src/gnn_detector.py using PyTorch Geometric (PyG 2.8.0) and CUDA 12.4.</w:t>
      </w:r>
    </w:p>
    <w:p>
      <w:pPr>
        <w:keepNext/>
        <w:spacing w:before="240" w:after="80"/>
      </w:pPr>
      <w:r>
        <w:rPr>
          <w:rFonts w:ascii="Segoe UI Semibold" w:hAnsi="Segoe UI Semibold"/>
          <w:b/>
          <w:color w:val="1E3A8A"/>
          <w:sz w:val="25"/>
        </w:rPr>
        <w:t>4.1 Mathematical Graph Formulation</w:t>
      </w:r>
    </w:p>
    <w:p>
      <w:pPr>
        <w:spacing w:before="0" w:after="80" w:line="276" w:lineRule="auto"/>
      </w:pPr>
      <w:r>
        <w:rPr>
          <w:rFonts w:ascii="Segoe UI" w:hAnsi="Segoe UI"/>
          <w:color w:val="334155"/>
          <w:sz w:val="20"/>
        </w:rPr>
        <w:t>Network flows are modeled as directed multigraph edges between host computer nodes: G = (V, E). The graph comprises N host vertices V and M directed flow edges E.</w:t>
      </w:r>
    </w:p>
    <w:p>
      <w:pPr>
        <w:pStyle w:val="ListBullet"/>
        <w:spacing w:before="20" w:after="40" w:line="269" w:lineRule="auto"/>
      </w:pPr>
      <w:r>
        <w:rPr>
          <w:rFonts w:ascii="Segoe UI" w:hAnsi="Segoe UI"/>
          <w:b/>
          <w:color w:val="0F172A"/>
          <w:sz w:val="20"/>
        </w:rPr>
        <w:t xml:space="preserve">Node Features: </w:t>
      </w:r>
      <w:r>
        <w:rPr>
          <w:rFonts w:ascii="Segoe UI" w:hAnsi="Segoe UI"/>
          <w:color w:val="334155"/>
          <w:sz w:val="20"/>
        </w:rPr>
        <w:t>Node Structural Features (X_v in R^5): For every unique IP address v in V, the engine computes: (1) in-degree deg^-(v), (2) out-degree deg^+(v), (3) fan-out (unique peers contacted), (4) log1p total forward bytes transmitted, and (5) log1p total backward bytes received. All features are standardized via StandardScaler.</w:t>
      </w:r>
    </w:p>
    <w:p>
      <w:pPr>
        <w:pStyle w:val="ListBullet"/>
        <w:spacing w:before="20" w:after="40" w:line="269" w:lineRule="auto"/>
      </w:pPr>
      <w:r>
        <w:rPr>
          <w:rFonts w:ascii="Segoe UI" w:hAnsi="Segoe UI"/>
          <w:b/>
          <w:color w:val="0F172A"/>
          <w:sz w:val="20"/>
        </w:rPr>
        <w:t xml:space="preserve">Edge Features: </w:t>
      </w:r>
      <w:r>
        <w:rPr>
          <w:rFonts w:ascii="Segoe UI" w:hAnsi="Segoe UI"/>
          <w:color w:val="334155"/>
          <w:sz w:val="20"/>
        </w:rPr>
        <w:t>Edge Telemetry Attributes (e_uv in R^76): Normalized flow statistical features (durations, packet sizes, IAT statistics, flag counts) corresponding to the directed transmission from host u to host v.</w:t>
      </w:r>
    </w:p>
    <w:p>
      <w:pPr>
        <w:pStyle w:val="ListBullet"/>
        <w:spacing w:before="20" w:after="40" w:line="269" w:lineRule="auto"/>
      </w:pPr>
      <w:r>
        <w:rPr>
          <w:rFonts w:ascii="Segoe UI" w:hAnsi="Segoe UI"/>
          <w:b/>
          <w:color w:val="0F172A"/>
          <w:sz w:val="20"/>
        </w:rPr>
        <w:t xml:space="preserve">Edge Labels: </w:t>
      </w:r>
      <w:r>
        <w:rPr>
          <w:rFonts w:ascii="Segoe UI" w:hAnsi="Segoe UI"/>
          <w:color w:val="334155"/>
          <w:sz w:val="20"/>
        </w:rPr>
        <w:t>Edge Ground Truth (y_uv in {0, 1}): Binary indicator where 1 represents attack telemetry and 0 represents benign communication.</w:t>
      </w:r>
    </w:p>
    <w:p>
      <w:pPr>
        <w:keepNext/>
        <w:spacing w:before="240" w:after="80"/>
      </w:pPr>
      <w:r>
        <w:rPr>
          <w:rFonts w:ascii="Segoe UI Semibold" w:hAnsi="Segoe UI Semibold"/>
          <w:b/>
          <w:color w:val="1E3A8A"/>
          <w:sz w:val="25"/>
        </w:rPr>
        <w:t>4.2 Two-Layer Edge-GraphSAGE Architecture</w:t>
      </w:r>
    </w:p>
    <w:p>
      <w:pPr>
        <w:spacing w:before="0" w:after="80" w:line="276" w:lineRule="auto"/>
      </w:pPr>
      <w:r>
        <w:rPr>
          <w:rFonts w:ascii="Segoe UI" w:hAnsi="Segoe UI"/>
          <w:color w:val="334155"/>
          <w:sz w:val="20"/>
        </w:rPr>
        <w:t>The GNN architecture comprises a 2-layer message-passing backbone coupled to an edge multi-layer perceptron (MLP) classification head:</w:t>
      </w:r>
    </w:p>
    <w:p>
      <w:pPr>
        <w:pStyle w:val="ListBullet"/>
        <w:spacing w:before="20" w:after="40" w:line="269" w:lineRule="auto"/>
      </w:pPr>
      <w:r>
        <w:rPr>
          <w:rFonts w:ascii="Segoe UI" w:hAnsi="Segoe UI"/>
          <w:b/>
          <w:color w:val="0F172A"/>
          <w:sz w:val="20"/>
        </w:rPr>
        <w:t xml:space="preserve">Layer 1: </w:t>
      </w:r>
      <w:r>
        <w:rPr>
          <w:rFonts w:ascii="Segoe UI" w:hAnsi="Segoe UI"/>
          <w:color w:val="334155"/>
          <w:sz w:val="20"/>
        </w:rPr>
        <w:t>GraphSAGE Layer 1: SAGEConv(in_dim=5, out_dim=64) -&gt; ReLU -&gt; Dropout(p=0.2). Aggregates 1-hop host neighbor telemetry.</w:t>
      </w:r>
    </w:p>
    <w:p>
      <w:pPr>
        <w:pStyle w:val="ListBullet"/>
        <w:spacing w:before="20" w:after="40" w:line="269" w:lineRule="auto"/>
      </w:pPr>
      <w:r>
        <w:rPr>
          <w:rFonts w:ascii="Segoe UI" w:hAnsi="Segoe UI"/>
          <w:b/>
          <w:color w:val="0F172A"/>
          <w:sz w:val="20"/>
        </w:rPr>
        <w:t xml:space="preserve">Layer 2: </w:t>
      </w:r>
      <w:r>
        <w:rPr>
          <w:rFonts w:ascii="Segoe UI" w:hAnsi="Segoe UI"/>
          <w:color w:val="334155"/>
          <w:sz w:val="20"/>
        </w:rPr>
        <w:t>GraphSAGE Layer 2: SAGEConv(in_dim=64, out_dim=64) -&gt; ReLU. Expands the receptive field to 2-hop topological contexts.</w:t>
      </w:r>
    </w:p>
    <w:p>
      <w:pPr>
        <w:pStyle w:val="ListBullet"/>
        <w:spacing w:before="20" w:after="40" w:line="269" w:lineRule="auto"/>
      </w:pPr>
      <w:r>
        <w:rPr>
          <w:rFonts w:ascii="Segoe UI" w:hAnsi="Segoe UI"/>
          <w:b/>
          <w:color w:val="0F172A"/>
          <w:sz w:val="20"/>
        </w:rPr>
        <w:t xml:space="preserve">Edge Representation: </w:t>
      </w:r>
      <w:r>
        <w:rPr>
          <w:rFonts w:ascii="Segoe UI" w:hAnsi="Segoe UI"/>
          <w:color w:val="334155"/>
          <w:sz w:val="20"/>
        </w:rPr>
        <w:t>Edge Concatenation: For flow edge (u, v), extracts node embeddings h_u, h_v in R^64 and concatenates with raw edge attributes: repr_uv = [h_u || h_v || e_uv] in R^(64 + 64 + 76) = R^204.</w:t>
      </w:r>
    </w:p>
    <w:p>
      <w:pPr>
        <w:pStyle w:val="ListBullet"/>
        <w:spacing w:before="20" w:after="40" w:line="269" w:lineRule="auto"/>
      </w:pPr>
      <w:r>
        <w:rPr>
          <w:rFonts w:ascii="Segoe UI" w:hAnsi="Segoe UI"/>
          <w:b/>
          <w:color w:val="0F172A"/>
          <w:sz w:val="20"/>
        </w:rPr>
        <w:t xml:space="preserve">Edge Classifier: </w:t>
      </w:r>
      <w:r>
        <w:rPr>
          <w:rFonts w:ascii="Segoe UI" w:hAnsi="Segoe UI"/>
          <w:color w:val="334155"/>
          <w:sz w:val="20"/>
        </w:rPr>
        <w:t>Edge MLP Head: Linear(204 -&gt; 64) -&gt; LayerNorm -&gt; ReLU -&gt; Dropout(0.2) -&gt; Linear(64 -&gt; 32) -&gt; ReLU -&gt; Linear(32 -&gt; 1).</w:t>
      </w:r>
    </w:p>
    <w:p>
      <w:pPr>
        <w:pStyle w:val="ListBullet"/>
        <w:spacing w:before="20" w:after="40" w:line="269" w:lineRule="auto"/>
      </w:pPr>
      <w:r>
        <w:rPr>
          <w:rFonts w:ascii="Segoe UI" w:hAnsi="Segoe UI"/>
          <w:b/>
          <w:color w:val="0F172A"/>
          <w:sz w:val="20"/>
        </w:rPr>
        <w:t xml:space="preserve">Prediction: </w:t>
      </w:r>
      <w:r>
        <w:rPr>
          <w:rFonts w:ascii="Segoe UI" w:hAnsi="Segoe UI"/>
          <w:color w:val="334155"/>
          <w:sz w:val="20"/>
        </w:rPr>
        <w:t>Edge Risk Prediction: Logits are passed through a Sigmoid activation: P(alert | u, v, e) = sigma(MLP(repr_uv)).</w:t>
      </w:r>
    </w:p>
    <w:p>
      <w:pPr>
        <w:keepNext/>
        <w:spacing w:before="240" w:after="80"/>
      </w:pPr>
      <w:r>
        <w:rPr>
          <w:rFonts w:ascii="Segoe UI Semibold" w:hAnsi="Segoe UI Semibold"/>
          <w:b/>
          <w:color w:val="1E3A8A"/>
          <w:sz w:val="25"/>
        </w:rPr>
        <w:t>4.3 Training Convergence &amp; GPU Benchmarks</w:t>
      </w:r>
    </w:p>
    <w:p>
      <w:pPr>
        <w:spacing w:before="0" w:after="80" w:line="276" w:lineRule="auto"/>
      </w:pPr>
      <w:r>
        <w:rPr>
          <w:rFonts w:ascii="Segoe UI" w:hAnsi="Segoe UI"/>
          <w:color w:val="334155"/>
          <w:sz w:val="20"/>
        </w:rPr>
        <w:t>Training utilizes the AdamW optimizer (learning_rate=0.003, weight_decay=1e-4) with BCEWithLogitsLoss weighted by the positive alert ratio. Executed on the NVIDIA GeForce RTX 3050 6GB Laptop GPU, the model converges rapidly within 15 epochs, achieving a Validation F1 of 0.9633 at threshold 0.40 on the USP Remote Code Execution (RCE) benchmark dataset.</w:t>
      </w:r>
    </w:p>
    <w:p>
      <w:pPr>
        <w:keepNext/>
        <w:spacing w:before="320" w:after="120"/>
      </w:pPr>
      <w:r>
        <w:rPr>
          <w:rFonts w:ascii="Segoe UI Semibold" w:hAnsi="Segoe UI Semibold"/>
          <w:b/>
          <w:color w:val="0F172A"/>
          <w:sz w:val="30"/>
        </w:rPr>
        <w:t>5. Dynamic Host-Communication MultiDiGraph Engine</w:t>
      </w:r>
    </w:p>
    <w:p>
      <w:pPr>
        <w:spacing w:before="0" w:after="80" w:line="276" w:lineRule="auto"/>
      </w:pPr>
      <w:r>
        <w:rPr>
          <w:rFonts w:ascii="Segoe UI" w:hAnsi="Segoe UI"/>
          <w:color w:val="334155"/>
          <w:sz w:val="20"/>
        </w:rPr>
        <w:t>Member 2's src/graph_engine.py maintains the macroscopic communication topology of the network. It ingests scored flow records and constructs a NetworkX MultiDiGraph G = (V, E) over time-windowed slices (delta_W = 300 seconds).</w:t>
      </w:r>
    </w:p>
    <w:p>
      <w:pPr>
        <w:keepNext/>
        <w:spacing w:before="240" w:after="80"/>
      </w:pPr>
      <w:r>
        <w:rPr>
          <w:rFonts w:ascii="Segoe UI Semibold" w:hAnsi="Segoe UI Semibold"/>
          <w:b/>
          <w:color w:val="1E3A8A"/>
          <w:sz w:val="25"/>
        </w:rPr>
        <w:t>5.1 Vertex &amp; Edge Schema</w:t>
      </w:r>
    </w:p>
    <w:p>
      <w:pPr>
        <w:pStyle w:val="ListBullet"/>
        <w:spacing w:before="20" w:after="40" w:line="269" w:lineRule="auto"/>
      </w:pPr>
      <w:r>
        <w:rPr>
          <w:rFonts w:ascii="Segoe UI" w:hAnsi="Segoe UI"/>
          <w:b/>
          <w:color w:val="0F172A"/>
          <w:sz w:val="20"/>
        </w:rPr>
        <w:t xml:space="preserve">Nodes: </w:t>
      </w:r>
      <w:r>
        <w:rPr>
          <w:rFonts w:ascii="Segoe UI" w:hAnsi="Segoe UI"/>
          <w:color w:val="334155"/>
          <w:sz w:val="20"/>
        </w:rPr>
        <w:t>Vertices (Host Nodes): Identified by IPv4/IPv6 strings. Node properties track behavioral telemetry: in-degree, out-degree, fan-out, fan-in, port diversity (count of distinct destination ports contacted), total bytes sent/received, and total alerts sent/received.</w:t>
      </w:r>
    </w:p>
    <w:p>
      <w:pPr>
        <w:pStyle w:val="ListBullet"/>
        <w:spacing w:before="20" w:after="40" w:line="269" w:lineRule="auto"/>
      </w:pPr>
      <w:r>
        <w:rPr>
          <w:rFonts w:ascii="Segoe UI" w:hAnsi="Segoe UI"/>
          <w:b/>
          <w:color w:val="0F172A"/>
          <w:sz w:val="20"/>
        </w:rPr>
        <w:t xml:space="preserve">Edges: </w:t>
      </w:r>
      <w:r>
        <w:rPr>
          <w:rFonts w:ascii="Segoe UI" w:hAnsi="Segoe UI"/>
          <w:color w:val="334155"/>
          <w:sz w:val="20"/>
        </w:rPr>
        <w:t>Directed Multigraph Edges: Multiple simultaneous flows between the same host pair are preserved as distinct edges. Edge attributes include: edge_id (flow_id), src_port, dst_port, protocol, timestamp, risk_score, predicted_class, and is_alert.</w:t>
      </w:r>
    </w:p>
    <w:p>
      <w:pPr>
        <w:keepNext/>
        <w:spacing w:before="240" w:after="80"/>
      </w:pPr>
      <w:r>
        <w:rPr>
          <w:rFonts w:ascii="Segoe UI Semibold" w:hAnsi="Segoe UI Semibold"/>
          <w:b/>
          <w:color w:val="1E3A8A"/>
          <w:sz w:val="25"/>
        </w:rPr>
        <w:t>5.2 Suspicious Subgraph Extraction &amp; Bounded Serialization</w:t>
      </w:r>
    </w:p>
    <w:p>
      <w:pPr>
        <w:spacing w:before="0" w:after="80" w:line="276" w:lineRule="auto"/>
      </w:pPr>
      <w:r>
        <w:rPr>
          <w:rFonts w:ascii="Segoe UI" w:hAnsi="Segoe UI"/>
          <w:color w:val="334155"/>
          <w:sz w:val="20"/>
        </w:rPr>
        <w:t>To deliver fast interactive visual analytics to Member 4's Cytoscape.js dashboard without overwhelming browser memory, the graph engine extracts the 1-hop induced neighborhood around all hosts involved in flagged alert flows. A strict bounding cap of 300 edges per incident subgraph is enforced, prioritizing high-risk alert flows and significant background flows while pruning redundant benign chatter.</w:t>
      </w:r>
    </w:p>
    <w:p>
      <w:pPr>
        <w:keepNext/>
        <w:spacing w:before="320" w:after="120"/>
      </w:pPr>
      <w:r>
        <w:rPr>
          <w:rFonts w:ascii="Segoe UI Semibold" w:hAnsi="Segoe UI Semibold"/>
          <w:b/>
          <w:color w:val="0F172A"/>
          <w:sz w:val="30"/>
        </w:rPr>
        <w:t>6. High-Throughput Alert Correlation &amp; Incident Clustering</w:t>
      </w:r>
    </w:p>
    <w:p>
      <w:pPr>
        <w:spacing w:before="0" w:after="80" w:line="276" w:lineRule="auto"/>
      </w:pPr>
      <w:r>
        <w:rPr>
          <w:rFonts w:ascii="Segoe UI" w:hAnsi="Segoe UI"/>
          <w:color w:val="334155"/>
          <w:sz w:val="20"/>
        </w:rPr>
        <w:t>In enterprise networks where thousands of alert flows trigger within minutes, clustering related alerts into coherent attack incidents is a primary challenge. A naive pairwise correlation algorithm that checks every alert against every other alert has an O(N^2) time complexity. For 25,000 alerts, this requires over 312 million pairwise checks, causing pipeline timeouts.</w:t>
      </w:r>
    </w:p>
    <w:p>
      <w:pPr>
        <w:keepNext/>
        <w:spacing w:before="240" w:after="80"/>
      </w:pPr>
      <w:r>
        <w:rPr>
          <w:rFonts w:ascii="Segoe UI Semibold" w:hAnsi="Segoe UI Semibold"/>
          <w:b/>
          <w:color w:val="1E3A8A"/>
          <w:sz w:val="25"/>
        </w:rPr>
        <w:t>6.1 Inverted Host Indexing Algorithm (src/incident_cluster.py)</w:t>
      </w:r>
    </w:p>
    <w:p>
      <w:pPr>
        <w:spacing w:before="0" w:after="80" w:line="276" w:lineRule="auto"/>
      </w:pPr>
      <w:r>
        <w:rPr>
          <w:rFonts w:ascii="Segoe UI" w:hAnsi="Segoe UI"/>
          <w:color w:val="334155"/>
          <w:sz w:val="20"/>
        </w:rPr>
        <w:t>Member 2 designed a high-throughput inverted index data structure mapping host IP addresses to their chronologically sorted alerts:</w:t>
      </w:r>
    </w:p>
    <w:p>
      <w:pPr>
        <w:spacing w:before="0" w:after="80" w:line="276" w:lineRule="auto"/>
      </w:pPr>
      <w:r>
        <w:rPr>
          <w:rFonts w:ascii="Segoe UI" w:hAnsi="Segoe UI"/>
          <w:color w:val="334155"/>
          <w:sz w:val="20"/>
        </w:rPr>
        <w:t xml:space="preserve">       host_to_alerts[IP] = [(flow_id_1, t_1), (flow_id_2, t_2), ..., (flow_id_m, t_m)]</w:t>
      </w:r>
    </w:p>
    <w:p>
      <w:pPr>
        <w:spacing w:before="0" w:after="80" w:line="276" w:lineRule="auto"/>
      </w:pPr>
      <w:r>
        <w:rPr>
          <w:rFonts w:ascii="Segoe UI" w:hAnsi="Segoe UI"/>
          <w:color w:val="334155"/>
          <w:sz w:val="20"/>
        </w:rPr>
        <w:t>Correlation edges are established by traversing only alerts sharing a common source or destination host within a temporal sliding window delta_t &lt;= 300s. This reduces runtime complexity from O(N^2) to sub-second O(M * k) execution, where k is the localized window density (k &lt;= 30). In benchmark tests with 25,842 alerts, the engine correlated all alerts into 24 incident clusters in under 1.2 seconds.</w:t>
      </w:r>
    </w:p>
    <w:p>
      <w:pPr>
        <w:keepNext/>
        <w:spacing w:before="240" w:after="80"/>
      </w:pPr>
      <w:r>
        <w:rPr>
          <w:rFonts w:ascii="Segoe UI Semibold" w:hAnsi="Segoe UI Semibold"/>
          <w:b/>
          <w:color w:val="1E3A8A"/>
          <w:sz w:val="25"/>
        </w:rPr>
        <w:t>6.2 Edge Weighting &amp; Incident Severity Scoring</w:t>
      </w:r>
    </w:p>
    <w:p>
      <w:pPr>
        <w:spacing w:before="0" w:after="80" w:line="276" w:lineRule="auto"/>
      </w:pPr>
      <w:r>
        <w:rPr>
          <w:rFonts w:ascii="Segoe UI" w:hAnsi="Segoe UI"/>
          <w:color w:val="334155"/>
          <w:sz w:val="20"/>
        </w:rPr>
        <w:t>The temporal correlation edge weight between alerts A_1 and A_2 decaying with time difference is given by:</w:t>
        <w:br/>
        <w:t xml:space="preserve">       Weight(A_1, A_2) = 1.0 / (1.0 + delta_t / 60.0)</w:t>
        <w:br/>
        <w:t>Connected components on the correlation graph define candidate incident clusters. Each incident is assigned a composite severity score in [0.0, 1.0]:</w:t>
        <w:br/>
        <w:t xml:space="preserve">       Incident Score = 0.40 * max(Risk) + 0.30 * mean(Risk) + 0.15 * min(1.0, |V_affected| / 5) + 0.15 * min(1.0, |C_attacks| / 3)</w:t>
        <w:br/>
        <w:t>where |V_affected| is host spread and |C_attacks| is attack taxonomy diversity. The suspected entry point is assigned to the source IP of the earliest alert in the cluster.</w:t>
      </w:r>
    </w:p>
    <w:p>
      <w:pPr>
        <w:keepNext/>
        <w:spacing w:before="320" w:after="120"/>
      </w:pPr>
      <w:r>
        <w:rPr>
          <w:rFonts w:ascii="Segoe UI Semibold" w:hAnsi="Segoe UI Semibold"/>
          <w:b/>
          <w:color w:val="0F172A"/>
          <w:sz w:val="30"/>
        </w:rPr>
        <w:t>7. Core Novelty &amp; Unique Selling Propositions (USPs)</w:t>
      </w:r>
    </w:p>
    <w:p>
      <w:pPr>
        <w:spacing w:before="0" w:after="80" w:line="276" w:lineRule="auto"/>
      </w:pPr>
      <w:r>
        <w:rPr>
          <w:rFonts w:ascii="Segoe UI" w:hAnsi="Segoe UI"/>
          <w:color w:val="334155"/>
          <w:sz w:val="20"/>
        </w:rPr>
        <w:t>Member 2 implements four advanced patent-grade architectural modules that elevate EviGraph far beyond conventional academic prototypes:</w:t>
      </w:r>
    </w:p>
    <w:p>
      <w:pPr>
        <w:keepNext/>
        <w:spacing w:before="240" w:after="80"/>
      </w:pPr>
      <w:r>
        <w:rPr>
          <w:rFonts w:ascii="Segoe UI Semibold" w:hAnsi="Segoe UI Semibold"/>
          <w:b/>
          <w:color w:val="1E3A8A"/>
          <w:sz w:val="25"/>
        </w:rPr>
        <w:t>7.1 USP 1: Hierarchical Merkle Evidence Tree (src/integrity/merkle_engine.py)</w:t>
      </w:r>
    </w:p>
    <w:p>
      <w:pPr>
        <w:spacing w:before="0" w:after="80" w:line="276" w:lineRule="auto"/>
      </w:pPr>
      <w:r>
        <w:rPr>
          <w:rFonts w:ascii="Segoe UI" w:hAnsi="Segoe UI"/>
          <w:color w:val="334155"/>
          <w:sz w:val="20"/>
        </w:rPr>
        <w:t>Under Federal Rules of Evidence Rule 902(13)/(14) and ISO/IEC 27037 forensic standards, AI-generated forensic reports cannot be admitted in court or regulatory proceedings unless every referenced piece of digital evidence can be proven untampered since initial acquisition.</w:t>
      </w:r>
    </w:p>
    <w:p>
      <w:pPr>
        <w:pStyle w:val="ListBullet"/>
        <w:spacing w:before="20" w:after="40" w:line="269" w:lineRule="auto"/>
      </w:pPr>
      <w:r>
        <w:rPr>
          <w:rFonts w:ascii="Segoe UI" w:hAnsi="Segoe UI"/>
          <w:b/>
          <w:color w:val="0F172A"/>
          <w:sz w:val="20"/>
        </w:rPr>
        <w:t xml:space="preserve">Canonical Strings: </w:t>
      </w:r>
      <w:r>
        <w:rPr>
          <w:rFonts w:ascii="Segoe UI" w:hAnsi="Segoe UI"/>
          <w:color w:val="334155"/>
          <w:sz w:val="20"/>
        </w:rPr>
        <w:t>Deterministic Canonical Representation: Computes a platform-independent byte string for each flow: 'flow_id=...|src_ip=...|dst_ip=...|src_port=...|dst_port=...|protocol=...|timestamp=...'.</w:t>
      </w:r>
    </w:p>
    <w:p>
      <w:pPr>
        <w:pStyle w:val="ListBullet"/>
        <w:spacing w:before="20" w:after="40" w:line="269" w:lineRule="auto"/>
      </w:pPr>
      <w:r>
        <w:rPr>
          <w:rFonts w:ascii="Segoe UI" w:hAnsi="Segoe UI"/>
          <w:b/>
          <w:color w:val="0F172A"/>
          <w:sz w:val="20"/>
        </w:rPr>
        <w:t xml:space="preserve">Tree Construction: </w:t>
      </w:r>
      <w:r>
        <w:rPr>
          <w:rFonts w:ascii="Segoe UI" w:hAnsi="Segoe UI"/>
          <w:color w:val="334155"/>
          <w:sz w:val="20"/>
        </w:rPr>
        <w:t>Binary Merkle Tree (RFC 6962): Hashes flows into SHA-256 leaf nodes and recursively pairs hashes to derive the immutable Session Merkle Root Hash.</w:t>
      </w:r>
    </w:p>
    <w:p>
      <w:pPr>
        <w:pStyle w:val="ListBullet"/>
        <w:spacing w:before="20" w:after="40" w:line="269" w:lineRule="auto"/>
      </w:pPr>
      <w:r>
        <w:rPr>
          <w:rFonts w:ascii="Segoe UI" w:hAnsi="Segoe UI"/>
          <w:b/>
          <w:color w:val="0F172A"/>
          <w:sz w:val="20"/>
        </w:rPr>
        <w:t xml:space="preserve">Inclusion Proofs: </w:t>
      </w:r>
      <w:r>
        <w:rPr>
          <w:rFonts w:ascii="Segoe UI" w:hAnsi="Segoe UI"/>
          <w:color w:val="334155"/>
          <w:sz w:val="20"/>
        </w:rPr>
        <w:t>O(log N) Cryptographic Inclusion Proofs: Generates exact audit paths (sibling hashes and left/right bit positions) proving that a cited flow [E:&lt;flow_id&gt;] existed in the original capture without disclosing confidential background flows.</w:t>
      </w:r>
    </w:p>
    <w:p>
      <w:pPr>
        <w:pStyle w:val="ListBullet"/>
        <w:spacing w:before="20" w:after="40" w:line="269" w:lineRule="auto"/>
      </w:pPr>
      <w:r>
        <w:rPr>
          <w:rFonts w:ascii="Segoe UI" w:hAnsi="Segoe UI"/>
          <w:b/>
          <w:color w:val="0F172A"/>
          <w:sz w:val="20"/>
        </w:rPr>
        <w:t xml:space="preserve">Certification: </w:t>
      </w:r>
      <w:r>
        <w:rPr>
          <w:rFonts w:ascii="Segoe UI" w:hAnsi="Segoe UI"/>
          <w:color w:val="334155"/>
          <w:sz w:val="20"/>
        </w:rPr>
        <w:t>Zero-Knowledge Forensic Certificate: Exports 'outputs/forensic_merkle_certificate.json' and embeds leaf hashes directly into 'outputs/incident_cases.json'.</w:t>
      </w:r>
    </w:p>
    <w:p>
      <w:pPr>
        <w:keepNext/>
        <w:spacing w:before="240" w:after="80"/>
      </w:pPr>
      <w:r>
        <w:rPr>
          <w:rFonts w:ascii="Segoe UI Semibold" w:hAnsi="Segoe UI Semibold"/>
          <w:b/>
          <w:color w:val="1E3A8A"/>
          <w:sz w:val="25"/>
        </w:rPr>
        <w:t>7.2 USP 2: Lamport Temporal Causal Provenance DAG &amp; MITRE FSM (src/causal_provenance.py)</w:t>
      </w:r>
    </w:p>
    <w:p>
      <w:pPr>
        <w:spacing w:before="0" w:after="80" w:line="276" w:lineRule="auto"/>
      </w:pPr>
      <w:r>
        <w:rPr>
          <w:rFonts w:ascii="Segoe UI" w:hAnsi="Segoe UI"/>
          <w:color w:val="334155"/>
          <w:sz w:val="20"/>
        </w:rPr>
        <w:t>Naive alert grouping tells an analyst that alerts occurred on the same hosts, but fails to explain how the breach propagated. Member 2 implements a mathematically rigorous causal reachability graph:</w:t>
      </w:r>
    </w:p>
    <w:p>
      <w:pPr>
        <w:pStyle w:val="ListBullet"/>
        <w:spacing w:before="20" w:after="40" w:line="269" w:lineRule="auto"/>
      </w:pPr>
      <w:r>
        <w:rPr>
          <w:rFonts w:ascii="Segoe UI" w:hAnsi="Segoe UI"/>
          <w:b/>
          <w:color w:val="0F172A"/>
          <w:sz w:val="20"/>
        </w:rPr>
        <w:t xml:space="preserve">Acyclicity: </w:t>
      </w:r>
      <w:r>
        <w:rPr>
          <w:rFonts w:ascii="Segoe UI" w:hAnsi="Segoe UI"/>
          <w:color w:val="334155"/>
          <w:sz w:val="20"/>
        </w:rPr>
        <w:t>Strict Monotonic Causality: An edge e_1 -&gt; e_2 exists if and only if t_1 &lt; t_2, mathematically guaranteeing that the resulting graph is a Directed Acyclic Graph (DAG = True).</w:t>
      </w:r>
    </w:p>
    <w:p>
      <w:pPr>
        <w:pStyle w:val="ListBullet"/>
        <w:spacing w:before="20" w:after="40" w:line="269" w:lineRule="auto"/>
      </w:pPr>
      <w:r>
        <w:rPr>
          <w:rFonts w:ascii="Segoe UI" w:hAnsi="Segoe UI"/>
          <w:b/>
          <w:color w:val="0F172A"/>
          <w:sz w:val="20"/>
        </w:rPr>
        <w:t xml:space="preserve">Dwell Time: </w:t>
      </w:r>
      <w:r>
        <w:rPr>
          <w:rFonts w:ascii="Segoe UI" w:hAnsi="Segoe UI"/>
          <w:color w:val="334155"/>
          <w:sz w:val="20"/>
        </w:rPr>
        <w:t>Network Dwell Latency (tau_dwell): Validates physical packet propagation. A lateral pivot edge requires the victim host of e_1 to become the source of e_2 within 0.05s &lt;= delta_t &lt;= 600s.</w:t>
      </w:r>
    </w:p>
    <w:p>
      <w:pPr>
        <w:pStyle w:val="ListBullet"/>
        <w:spacing w:before="20" w:after="40" w:line="269" w:lineRule="auto"/>
      </w:pPr>
      <w:r>
        <w:rPr>
          <w:rFonts w:ascii="Segoe UI" w:hAnsi="Segoe UI"/>
          <w:b/>
          <w:color w:val="0F172A"/>
          <w:sz w:val="20"/>
        </w:rPr>
        <w:t xml:space="preserve">Tactical FSM: </w:t>
      </w:r>
      <w:r>
        <w:rPr>
          <w:rFonts w:ascii="Segoe UI" w:hAnsi="Segoe UI"/>
          <w:color w:val="334155"/>
          <w:sz w:val="20"/>
        </w:rPr>
        <w:t>6-Stage MITRE ATT&amp;CK Progression FSM: Maps attacks across tactical ranks: Reconnaissance (1) -&gt; Initial Access (2) -&gt; Credential Access (3) -&gt; Lateral Movement (4) -&gt; C2 (5) -&gt; Exfiltration &amp; Impact (6).</w:t>
      </w:r>
    </w:p>
    <w:p>
      <w:pPr>
        <w:pStyle w:val="ListBullet"/>
        <w:spacing w:before="20" w:after="40" w:line="269" w:lineRule="auto"/>
      </w:pPr>
      <w:r>
        <w:rPr>
          <w:rFonts w:ascii="Segoe UI" w:hAnsi="Segoe UI"/>
          <w:b/>
          <w:color w:val="0F172A"/>
          <w:sz w:val="20"/>
        </w:rPr>
        <w:t xml:space="preserve">Attack Chain: </w:t>
      </w:r>
      <w:r>
        <w:rPr>
          <w:rFonts w:ascii="Segoe UI" w:hAnsi="Segoe UI"/>
          <w:color w:val="334155"/>
          <w:sz w:val="20"/>
        </w:rPr>
        <w:t>Primary Attack Chain Dynamic Programming: Traverses the DAG to find the longest and highest-confidence causal trajectory, isolating the core adversary campaign from background noise.</w:t>
      </w:r>
    </w:p>
    <w:p>
      <w:pPr>
        <w:keepNext/>
        <w:spacing w:before="240" w:after="80"/>
      </w:pPr>
      <w:r>
        <w:rPr>
          <w:rFonts w:ascii="Segoe UI Semibold" w:hAnsi="Segoe UI Semibold"/>
          <w:b/>
          <w:color w:val="1E3A8A"/>
          <w:sz w:val="25"/>
        </w:rPr>
        <w:t>7.3 USP 3: Counterfactual 'What-If' Resilience Simulator (src/simulation/counterfactual_engine.py)</w:t>
      </w:r>
    </w:p>
    <w:p>
      <w:pPr>
        <w:spacing w:before="0" w:after="80" w:line="276" w:lineRule="auto"/>
      </w:pPr>
      <w:r>
        <w:rPr>
          <w:rFonts w:ascii="Segoe UI" w:hAnsi="Segoe UI"/>
          <w:color w:val="334155"/>
          <w:sz w:val="20"/>
        </w:rPr>
        <w:t>Allows security architects and red teams to simulate hypothetical defense interventions over the Causal Provenance DAG:</w:t>
      </w:r>
    </w:p>
    <w:p>
      <w:pPr>
        <w:pStyle w:val="ListBullet"/>
        <w:spacing w:before="20" w:after="40" w:line="269" w:lineRule="auto"/>
      </w:pPr>
      <w:r>
        <w:rPr>
          <w:rFonts w:ascii="Segoe UI" w:hAnsi="Segoe UI"/>
          <w:b/>
          <w:color w:val="0F172A"/>
          <w:sz w:val="20"/>
        </w:rPr>
        <w:t xml:space="preserve">Perturbations: </w:t>
      </w:r>
      <w:r>
        <w:rPr>
          <w:rFonts w:ascii="Segoe UI" w:hAnsi="Segoe UI"/>
          <w:color w:val="334155"/>
          <w:sz w:val="20"/>
        </w:rPr>
        <w:t>Intervention Perturbations: Simulates port blocking (e.g. blocking Port 22), host microsegmentation (isolating compromised servers), and perimeter recon dropping.</w:t>
      </w:r>
    </w:p>
    <w:p>
      <w:pPr>
        <w:pStyle w:val="ListBullet"/>
        <w:spacing w:before="20" w:after="40" w:line="269" w:lineRule="auto"/>
      </w:pPr>
      <w:r>
        <w:rPr>
          <w:rFonts w:ascii="Segoe UI" w:hAnsi="Segoe UI"/>
          <w:b/>
          <w:color w:val="0F172A"/>
          <w:sz w:val="20"/>
        </w:rPr>
        <w:t xml:space="preserve">Resilience Metric: </w:t>
      </w:r>
      <w:r>
        <w:rPr>
          <w:rFonts w:ascii="Segoe UI" w:hAnsi="Segoe UI"/>
          <w:color w:val="334155"/>
          <w:sz w:val="20"/>
        </w:rPr>
        <w:t>Defensive Resilience Index (DRI in [0.0, 1.0]): Recomputes causal reachability on the perturbed graph and evaluates: DRI = 1.0 - (Perturbed Severity / Baseline Severity).</w:t>
      </w:r>
    </w:p>
    <w:p>
      <w:pPr>
        <w:pStyle w:val="ListBullet"/>
        <w:spacing w:before="20" w:after="40" w:line="269" w:lineRule="auto"/>
      </w:pPr>
      <w:r>
        <w:rPr>
          <w:rFonts w:ascii="Segoe UI" w:hAnsi="Segoe UI"/>
          <w:b/>
          <w:color w:val="0F172A"/>
          <w:sz w:val="20"/>
        </w:rPr>
        <w:t xml:space="preserve">SPOF Analysis: </w:t>
      </w:r>
      <w:r>
        <w:rPr>
          <w:rFonts w:ascii="Segoe UI" w:hAnsi="Segoe UI"/>
          <w:color w:val="334155"/>
          <w:sz w:val="20"/>
        </w:rPr>
        <w:t>SPOF Identification: Discovers Single Points of Failure in enterprise defense architectures where a single firewall rule achieves 100% attack extinction.</w:t>
      </w:r>
    </w:p>
    <w:p>
      <w:pPr>
        <w:keepNext/>
        <w:spacing w:before="240" w:after="80"/>
      </w:pPr>
      <w:r>
        <w:rPr>
          <w:rFonts w:ascii="Segoe UI Semibold" w:hAnsi="Segoe UI Semibold"/>
          <w:b/>
          <w:color w:val="1E3A8A"/>
          <w:sz w:val="25"/>
        </w:rPr>
        <w:t>7.4 USP 4: Autonomous Surgical Containment Engine (src/mitigation/countermeasure_engine.py)</w:t>
      </w:r>
    </w:p>
    <w:p>
      <w:pPr>
        <w:spacing w:before="0" w:after="80" w:line="276" w:lineRule="auto"/>
      </w:pPr>
      <w:r>
        <w:rPr>
          <w:rFonts w:ascii="Segoe UI" w:hAnsi="Segoe UI"/>
          <w:color w:val="334155"/>
          <w:sz w:val="20"/>
        </w:rPr>
        <w:t>Bridges detection to active response without causing catastrophic self-inflicted production outages. The engine performs min-cut bottleneck analysis on the Causal DAG, calculates blast-radius operational impact scores against critical enterprise ports (DNS, Kerberos, LDAP, HTTP, Databases), and generates copy-pasteable firewall remediation scripts across four platforms:</w:t>
      </w:r>
    </w:p>
    <w:p>
      <w:pPr>
        <w:pStyle w:val="ListBullet"/>
        <w:spacing w:before="20" w:after="40" w:line="269" w:lineRule="auto"/>
      </w:pPr>
      <w:r>
        <w:rPr>
          <w:rFonts w:ascii="Segoe UI" w:hAnsi="Segoe UI"/>
          <w:b/>
          <w:color w:val="0F172A"/>
          <w:sz w:val="20"/>
        </w:rPr>
        <w:t xml:space="preserve">Linux: </w:t>
      </w:r>
      <w:r>
        <w:rPr>
          <w:rFonts w:ascii="Segoe UI" w:hAnsi="Segoe UI"/>
          <w:color w:val="334155"/>
          <w:sz w:val="20"/>
        </w:rPr>
        <w:t>Linux iptables &amp; nftables CLI commands.</w:t>
      </w:r>
    </w:p>
    <w:p>
      <w:pPr>
        <w:pStyle w:val="ListBullet"/>
        <w:spacing w:before="20" w:after="40" w:line="269" w:lineRule="auto"/>
      </w:pPr>
      <w:r>
        <w:rPr>
          <w:rFonts w:ascii="Segoe UI" w:hAnsi="Segoe UI"/>
          <w:b/>
          <w:color w:val="0F172A"/>
          <w:sz w:val="20"/>
        </w:rPr>
        <w:t xml:space="preserve">Windows: </w:t>
      </w:r>
      <w:r>
        <w:rPr>
          <w:rFonts w:ascii="Segoe UI" w:hAnsi="Segoe UI"/>
          <w:color w:val="334155"/>
          <w:sz w:val="20"/>
        </w:rPr>
        <w:t>Windows Defender Firewall PowerShell scripts (New-NetFirewallRule).</w:t>
      </w:r>
    </w:p>
    <w:p>
      <w:pPr>
        <w:pStyle w:val="ListBullet"/>
        <w:spacing w:before="20" w:after="40" w:line="269" w:lineRule="auto"/>
      </w:pPr>
      <w:r>
        <w:rPr>
          <w:rFonts w:ascii="Segoe UI" w:hAnsi="Segoe UI"/>
          <w:b/>
          <w:color w:val="0F172A"/>
          <w:sz w:val="20"/>
        </w:rPr>
        <w:t xml:space="preserve">Network Appliance: </w:t>
      </w:r>
      <w:r>
        <w:rPr>
          <w:rFonts w:ascii="Segoe UI" w:hAnsi="Segoe UI"/>
          <w:color w:val="334155"/>
          <w:sz w:val="20"/>
        </w:rPr>
        <w:t>Cisco IOS &amp; pfSense Access Control Lists (ACLs).</w:t>
      </w:r>
    </w:p>
    <w:p>
      <w:pPr>
        <w:pStyle w:val="ListBullet"/>
        <w:spacing w:before="20" w:after="40" w:line="269" w:lineRule="auto"/>
      </w:pPr>
      <w:r>
        <w:rPr>
          <w:rFonts w:ascii="Segoe UI" w:hAnsi="Segoe UI"/>
          <w:b/>
          <w:color w:val="0F172A"/>
          <w:sz w:val="20"/>
        </w:rPr>
        <w:t xml:space="preserve">Cloud Infrastructure: </w:t>
      </w:r>
      <w:r>
        <w:rPr>
          <w:rFonts w:ascii="Segoe UI" w:hAnsi="Segoe UI"/>
          <w:color w:val="334155"/>
          <w:sz w:val="20"/>
        </w:rPr>
        <w:t>AWS VPC &amp; Azure Network Security Group (NSG) JSON security rule definitions.</w:t>
      </w:r>
    </w:p>
    <w:p>
      <w:pPr>
        <w:keepNext/>
        <w:spacing w:before="320" w:after="120"/>
      </w:pPr>
      <w:r>
        <w:rPr>
          <w:rFonts w:ascii="Segoe UI Semibold" w:hAnsi="Segoe UI Semibold"/>
          <w:b/>
          <w:color w:val="0F172A"/>
          <w:sz w:val="30"/>
        </w:rPr>
        <w:t>8. Empirical Experimental Evaluation &amp; Hardware Acceleration</w:t>
      </w:r>
    </w:p>
    <w:p>
      <w:pPr>
        <w:spacing w:before="0" w:after="80" w:line="276" w:lineRule="auto"/>
      </w:pPr>
      <w:r>
        <w:rPr>
          <w:rFonts w:ascii="Segoe UI" w:hAnsi="Segoe UI"/>
          <w:color w:val="334155"/>
          <w:sz w:val="20"/>
        </w:rPr>
        <w:t>Member 2 was rigorously tested on a massive unified enterprise dataset comprising 2,641,835 raw flows (~2.64 Million flows) across all seven capture days of CICIDS2017 plus the modern NIDS2025 Remote Code Execution benchmark. Training was executed on 87,363 flows and evaluated against 52,427 future, out-of-sample held-out test flows.</w:t>
      </w:r>
    </w:p>
    <w:p>
      <w:pPr>
        <w:keepNext/>
        <w:spacing w:before="240" w:after="80"/>
      </w:pPr>
      <w:r>
        <w:rPr>
          <w:rFonts w:ascii="Segoe UI Semibold" w:hAnsi="Segoe UI Semibold"/>
          <w:b/>
          <w:color w:val="1E3A8A"/>
          <w:sz w:val="25"/>
        </w:rPr>
        <w:t>8.1 Multi-Class Forensic Detection Performance Table</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592"/>
            <w:shd w:val="clear" w:color="auto" w:fill="1E3A8A"/>
            <w:tcMar>
              <w:top w:w="100" w:type="dxa"/>
              <w:bottom w:w="100" w:type="dxa"/>
              <w:left w:w="140" w:type="dxa"/>
              <w:right w:w="140" w:type="dxa"/>
            </w:tcMar>
            <w:vAlign w:val="center"/>
            <w:shd w:val="clear" w:color="auto" w:fill="1E3A8A"/>
            <w:tcMar>
              <w:top w:w="100" w:type="dxa"/>
              <w:bottom w:w="100" w:type="dxa"/>
              <w:left w:w="140" w:type="dxa"/>
              <w:right w:w="140" w:type="dxa"/>
            </w:tcMar>
          </w:tcPr>
          <w:p>
            <w:pPr>
              <w:spacing w:before="40" w:after="40" w:line="264" w:lineRule="auto"/>
            </w:pPr>
            <w:r>
              <w:rPr>
                <w:rFonts w:ascii="Segoe UI" w:hAnsi="Segoe UI"/>
                <w:b/>
                <w:color w:val="FFFFFF"/>
                <w:sz w:val="19"/>
              </w:rPr>
              <w:t>Attack Family</w:t>
            </w:r>
          </w:p>
        </w:tc>
        <w:tc>
          <w:tcPr>
            <w:tcW w:type="dxa" w:w="1440"/>
            <w:shd w:val="clear" w:color="auto" w:fill="1E3A8A"/>
            <w:tcMar>
              <w:top w:w="100" w:type="dxa"/>
              <w:bottom w:w="100" w:type="dxa"/>
              <w:left w:w="140" w:type="dxa"/>
              <w:right w:w="140" w:type="dxa"/>
            </w:tcMar>
            <w:vAlign w:val="center"/>
            <w:shd w:val="clear" w:color="auto" w:fill="1E3A8A"/>
            <w:tcMar>
              <w:top w:w="100" w:type="dxa"/>
              <w:bottom w:w="100" w:type="dxa"/>
              <w:left w:w="140" w:type="dxa"/>
              <w:right w:w="140" w:type="dxa"/>
            </w:tcMar>
          </w:tcPr>
          <w:p>
            <w:pPr>
              <w:spacing w:before="40" w:after="40" w:line="264" w:lineRule="auto"/>
            </w:pPr>
            <w:r>
              <w:rPr>
                <w:rFonts w:ascii="Segoe UI" w:hAnsi="Segoe UI"/>
                <w:b/>
                <w:color w:val="FFFFFF"/>
                <w:sz w:val="19"/>
              </w:rPr>
              <w:t>Train Flows</w:t>
            </w:r>
          </w:p>
        </w:tc>
        <w:tc>
          <w:tcPr>
            <w:tcW w:type="dxa" w:w="1296"/>
            <w:shd w:val="clear" w:color="auto" w:fill="1E3A8A"/>
            <w:tcMar>
              <w:top w:w="100" w:type="dxa"/>
              <w:bottom w:w="100" w:type="dxa"/>
              <w:left w:w="140" w:type="dxa"/>
              <w:right w:w="140" w:type="dxa"/>
            </w:tcMar>
            <w:vAlign w:val="center"/>
            <w:shd w:val="clear" w:color="auto" w:fill="1E3A8A"/>
            <w:tcMar>
              <w:top w:w="100" w:type="dxa"/>
              <w:bottom w:w="100" w:type="dxa"/>
              <w:left w:w="140" w:type="dxa"/>
              <w:right w:w="140" w:type="dxa"/>
            </w:tcMar>
          </w:tcPr>
          <w:p>
            <w:pPr>
              <w:spacing w:before="40" w:after="40" w:line="264" w:lineRule="auto"/>
            </w:pPr>
            <w:r>
              <w:rPr>
                <w:rFonts w:ascii="Segoe UI" w:hAnsi="Segoe UI"/>
                <w:b/>
                <w:color w:val="FFFFFF"/>
                <w:sz w:val="19"/>
              </w:rPr>
              <w:t>Class Weight</w:t>
            </w:r>
          </w:p>
        </w:tc>
        <w:tc>
          <w:tcPr>
            <w:tcW w:type="dxa" w:w="1440"/>
            <w:shd w:val="clear" w:color="auto" w:fill="1E3A8A"/>
            <w:tcMar>
              <w:top w:w="100" w:type="dxa"/>
              <w:bottom w:w="100" w:type="dxa"/>
              <w:left w:w="140" w:type="dxa"/>
              <w:right w:w="140" w:type="dxa"/>
            </w:tcMar>
            <w:vAlign w:val="center"/>
            <w:shd w:val="clear" w:color="auto" w:fill="1E3A8A"/>
            <w:tcMar>
              <w:top w:w="100" w:type="dxa"/>
              <w:bottom w:w="100" w:type="dxa"/>
              <w:left w:w="140" w:type="dxa"/>
              <w:right w:w="140" w:type="dxa"/>
            </w:tcMar>
          </w:tcPr>
          <w:p>
            <w:pPr>
              <w:spacing w:before="40" w:after="40" w:line="264" w:lineRule="auto"/>
            </w:pPr>
            <w:r>
              <w:rPr>
                <w:rFonts w:ascii="Segoe UI" w:hAnsi="Segoe UI"/>
                <w:b/>
                <w:color w:val="FFFFFF"/>
                <w:sz w:val="19"/>
              </w:rPr>
              <w:t>Precision</w:t>
            </w:r>
          </w:p>
        </w:tc>
        <w:tc>
          <w:tcPr>
            <w:tcW w:type="dxa" w:w="1440"/>
            <w:shd w:val="clear" w:color="auto" w:fill="1E3A8A"/>
            <w:tcMar>
              <w:top w:w="100" w:type="dxa"/>
              <w:bottom w:w="100" w:type="dxa"/>
              <w:left w:w="140" w:type="dxa"/>
              <w:right w:w="140" w:type="dxa"/>
            </w:tcMar>
            <w:vAlign w:val="center"/>
            <w:shd w:val="clear" w:color="auto" w:fill="1E3A8A"/>
            <w:tcMar>
              <w:top w:w="100" w:type="dxa"/>
              <w:bottom w:w="100" w:type="dxa"/>
              <w:left w:w="140" w:type="dxa"/>
              <w:right w:w="140" w:type="dxa"/>
            </w:tcMar>
          </w:tcPr>
          <w:p>
            <w:pPr>
              <w:spacing w:before="40" w:after="40" w:line="264" w:lineRule="auto"/>
            </w:pPr>
            <w:r>
              <w:rPr>
                <w:rFonts w:ascii="Segoe UI" w:hAnsi="Segoe UI"/>
                <w:b/>
                <w:color w:val="FFFFFF"/>
                <w:sz w:val="19"/>
              </w:rPr>
              <w:t>Recall</w:t>
            </w:r>
          </w:p>
        </w:tc>
        <w:tc>
          <w:tcPr>
            <w:tcW w:type="dxa" w:w="1440"/>
            <w:shd w:val="clear" w:color="auto" w:fill="1E3A8A"/>
            <w:tcMar>
              <w:top w:w="100" w:type="dxa"/>
              <w:bottom w:w="100" w:type="dxa"/>
              <w:left w:w="140" w:type="dxa"/>
              <w:right w:w="140" w:type="dxa"/>
            </w:tcMar>
            <w:vAlign w:val="center"/>
            <w:shd w:val="clear" w:color="auto" w:fill="1E3A8A"/>
            <w:tcMar>
              <w:top w:w="100" w:type="dxa"/>
              <w:bottom w:w="100" w:type="dxa"/>
              <w:left w:w="140" w:type="dxa"/>
              <w:right w:w="140" w:type="dxa"/>
            </w:tcMar>
          </w:tcPr>
          <w:p>
            <w:pPr>
              <w:spacing w:before="40" w:after="40" w:line="264" w:lineRule="auto"/>
            </w:pPr>
            <w:r>
              <w:rPr>
                <w:rFonts w:ascii="Segoe UI" w:hAnsi="Segoe UI"/>
                <w:b/>
                <w:color w:val="FFFFFF"/>
                <w:sz w:val="19"/>
              </w:rPr>
              <w:t>F1-Score</w:t>
            </w:r>
          </w:p>
        </w:tc>
      </w:tr>
      <w:tr>
        <w:tc>
          <w:tcPr>
            <w:tcW w:type="dxa" w:w="2592"/>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BENIGN (Baseline)</w:t>
            </w:r>
          </w:p>
        </w:tc>
        <w:tc>
          <w:tcPr>
            <w:tcW w:type="dxa" w:w="144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45,261</w:t>
            </w:r>
          </w:p>
        </w:tc>
        <w:tc>
          <w:tcPr>
            <w:tcW w:type="dxa" w:w="1296"/>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0.121</w:t>
            </w:r>
          </w:p>
        </w:tc>
        <w:tc>
          <w:tcPr>
            <w:tcW w:type="dxa" w:w="144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100.0%</w:t>
            </w:r>
          </w:p>
        </w:tc>
        <w:tc>
          <w:tcPr>
            <w:tcW w:type="dxa" w:w="144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99.0%</w:t>
            </w:r>
          </w:p>
        </w:tc>
        <w:tc>
          <w:tcPr>
            <w:tcW w:type="dxa" w:w="144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0.9900</w:t>
            </w:r>
          </w:p>
        </w:tc>
      </w:tr>
      <w:tr>
        <w:tc>
          <w:tcPr>
            <w:tcW w:type="dxa" w:w="2592"/>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PortScan</w:t>
            </w:r>
          </w:p>
        </w:tc>
        <w:tc>
          <w:tcPr>
            <w:tcW w:type="dxa" w:w="144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7,500</w:t>
            </w:r>
          </w:p>
        </w:tc>
        <w:tc>
          <w:tcPr>
            <w:tcW w:type="dxa" w:w="1296"/>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0.728</w:t>
            </w:r>
          </w:p>
        </w:tc>
        <w:tc>
          <w:tcPr>
            <w:tcW w:type="dxa" w:w="144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100.0%</w:t>
            </w:r>
          </w:p>
        </w:tc>
        <w:tc>
          <w:tcPr>
            <w:tcW w:type="dxa" w:w="144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100.0%</w:t>
            </w:r>
          </w:p>
        </w:tc>
        <w:tc>
          <w:tcPr>
            <w:tcW w:type="dxa" w:w="144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1.0000</w:t>
            </w:r>
          </w:p>
        </w:tc>
      </w:tr>
      <w:tr>
        <w:tc>
          <w:tcPr>
            <w:tcW w:type="dxa" w:w="2592"/>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DDoS (LOIC)</w:t>
            </w:r>
          </w:p>
        </w:tc>
        <w:tc>
          <w:tcPr>
            <w:tcW w:type="dxa" w:w="144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7,500</w:t>
            </w:r>
          </w:p>
        </w:tc>
        <w:tc>
          <w:tcPr>
            <w:tcW w:type="dxa" w:w="1296"/>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0.728</w:t>
            </w:r>
          </w:p>
        </w:tc>
        <w:tc>
          <w:tcPr>
            <w:tcW w:type="dxa" w:w="144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100.0%</w:t>
            </w:r>
          </w:p>
        </w:tc>
        <w:tc>
          <w:tcPr>
            <w:tcW w:type="dxa" w:w="144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100.0%</w:t>
            </w:r>
          </w:p>
        </w:tc>
        <w:tc>
          <w:tcPr>
            <w:tcW w:type="dxa" w:w="144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1.0000</w:t>
            </w:r>
          </w:p>
        </w:tc>
      </w:tr>
      <w:tr>
        <w:tc>
          <w:tcPr>
            <w:tcW w:type="dxa" w:w="2592"/>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DoS Hulk</w:t>
            </w:r>
          </w:p>
        </w:tc>
        <w:tc>
          <w:tcPr>
            <w:tcW w:type="dxa" w:w="144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7,500</w:t>
            </w:r>
          </w:p>
        </w:tc>
        <w:tc>
          <w:tcPr>
            <w:tcW w:type="dxa" w:w="1296"/>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0.728</w:t>
            </w:r>
          </w:p>
        </w:tc>
        <w:tc>
          <w:tcPr>
            <w:tcW w:type="dxa" w:w="144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100.0%</w:t>
            </w:r>
          </w:p>
        </w:tc>
        <w:tc>
          <w:tcPr>
            <w:tcW w:type="dxa" w:w="144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99.0%</w:t>
            </w:r>
          </w:p>
        </w:tc>
        <w:tc>
          <w:tcPr>
            <w:tcW w:type="dxa" w:w="144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1.0000</w:t>
            </w:r>
          </w:p>
        </w:tc>
      </w:tr>
      <w:tr>
        <w:tc>
          <w:tcPr>
            <w:tcW w:type="dxa" w:w="2592"/>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DoS GoldenEye</w:t>
            </w:r>
          </w:p>
        </w:tc>
        <w:tc>
          <w:tcPr>
            <w:tcW w:type="dxa" w:w="144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5,146</w:t>
            </w:r>
          </w:p>
        </w:tc>
        <w:tc>
          <w:tcPr>
            <w:tcW w:type="dxa" w:w="1296"/>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1.061</w:t>
            </w:r>
          </w:p>
        </w:tc>
        <w:tc>
          <w:tcPr>
            <w:tcW w:type="dxa" w:w="144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100.0%</w:t>
            </w:r>
          </w:p>
        </w:tc>
        <w:tc>
          <w:tcPr>
            <w:tcW w:type="dxa" w:w="144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97.0%</w:t>
            </w:r>
          </w:p>
        </w:tc>
        <w:tc>
          <w:tcPr>
            <w:tcW w:type="dxa" w:w="144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0.9800</w:t>
            </w:r>
          </w:p>
        </w:tc>
      </w:tr>
      <w:tr>
        <w:tc>
          <w:tcPr>
            <w:tcW w:type="dxa" w:w="2592"/>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DoS Slowhttptest</w:t>
            </w:r>
          </w:p>
        </w:tc>
        <w:tc>
          <w:tcPr>
            <w:tcW w:type="dxa" w:w="144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2,749</w:t>
            </w:r>
          </w:p>
        </w:tc>
        <w:tc>
          <w:tcPr>
            <w:tcW w:type="dxa" w:w="1296"/>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1.986</w:t>
            </w:r>
          </w:p>
        </w:tc>
        <w:tc>
          <w:tcPr>
            <w:tcW w:type="dxa" w:w="144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99.0%</w:t>
            </w:r>
          </w:p>
        </w:tc>
        <w:tc>
          <w:tcPr>
            <w:tcW w:type="dxa" w:w="144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99.0%</w:t>
            </w:r>
          </w:p>
        </w:tc>
        <w:tc>
          <w:tcPr>
            <w:tcW w:type="dxa" w:w="144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0.9900</w:t>
            </w:r>
          </w:p>
        </w:tc>
      </w:tr>
      <w:tr>
        <w:tc>
          <w:tcPr>
            <w:tcW w:type="dxa" w:w="2592"/>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DoS slowloris</w:t>
            </w:r>
          </w:p>
        </w:tc>
        <w:tc>
          <w:tcPr>
            <w:tcW w:type="dxa" w:w="144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2,898</w:t>
            </w:r>
          </w:p>
        </w:tc>
        <w:tc>
          <w:tcPr>
            <w:tcW w:type="dxa" w:w="1296"/>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1.884</w:t>
            </w:r>
          </w:p>
        </w:tc>
        <w:tc>
          <w:tcPr>
            <w:tcW w:type="dxa" w:w="144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100.0%</w:t>
            </w:r>
          </w:p>
        </w:tc>
        <w:tc>
          <w:tcPr>
            <w:tcW w:type="dxa" w:w="144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100.0%</w:t>
            </w:r>
          </w:p>
        </w:tc>
        <w:tc>
          <w:tcPr>
            <w:tcW w:type="dxa" w:w="144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1.0000</w:t>
            </w:r>
          </w:p>
        </w:tc>
      </w:tr>
      <w:tr>
        <w:tc>
          <w:tcPr>
            <w:tcW w:type="dxa" w:w="2592"/>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FTP-Patator</w:t>
            </w:r>
          </w:p>
        </w:tc>
        <w:tc>
          <w:tcPr>
            <w:tcW w:type="dxa" w:w="144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3,967</w:t>
            </w:r>
          </w:p>
        </w:tc>
        <w:tc>
          <w:tcPr>
            <w:tcW w:type="dxa" w:w="1296"/>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1.376</w:t>
            </w:r>
          </w:p>
        </w:tc>
        <w:tc>
          <w:tcPr>
            <w:tcW w:type="dxa" w:w="144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100.0%</w:t>
            </w:r>
          </w:p>
        </w:tc>
        <w:tc>
          <w:tcPr>
            <w:tcW w:type="dxa" w:w="144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100.0%</w:t>
            </w:r>
          </w:p>
        </w:tc>
        <w:tc>
          <w:tcPr>
            <w:tcW w:type="dxa" w:w="144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1.0000</w:t>
            </w:r>
          </w:p>
        </w:tc>
      </w:tr>
      <w:tr>
        <w:tc>
          <w:tcPr>
            <w:tcW w:type="dxa" w:w="2592"/>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SSH-Patator</w:t>
            </w:r>
          </w:p>
        </w:tc>
        <w:tc>
          <w:tcPr>
            <w:tcW w:type="dxa" w:w="144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2,948</w:t>
            </w:r>
          </w:p>
        </w:tc>
        <w:tc>
          <w:tcPr>
            <w:tcW w:type="dxa" w:w="1296"/>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1.852</w:t>
            </w:r>
          </w:p>
        </w:tc>
        <w:tc>
          <w:tcPr>
            <w:tcW w:type="dxa" w:w="144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100.0%</w:t>
            </w:r>
          </w:p>
        </w:tc>
        <w:tc>
          <w:tcPr>
            <w:tcW w:type="dxa" w:w="144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100.0%</w:t>
            </w:r>
          </w:p>
        </w:tc>
        <w:tc>
          <w:tcPr>
            <w:tcW w:type="dxa" w:w="144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1.0000</w:t>
            </w:r>
          </w:p>
        </w:tc>
      </w:tr>
      <w:tr>
        <w:tc>
          <w:tcPr>
            <w:tcW w:type="dxa" w:w="2592"/>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remoteCE (USP RCE)</w:t>
            </w:r>
          </w:p>
        </w:tc>
        <w:tc>
          <w:tcPr>
            <w:tcW w:type="dxa" w:w="144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267</w:t>
            </w:r>
          </w:p>
        </w:tc>
        <w:tc>
          <w:tcPr>
            <w:tcW w:type="dxa" w:w="1296"/>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20.450</w:t>
            </w:r>
          </w:p>
        </w:tc>
        <w:tc>
          <w:tcPr>
            <w:tcW w:type="dxa" w:w="144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100.0%</w:t>
            </w:r>
          </w:p>
        </w:tc>
        <w:tc>
          <w:tcPr>
            <w:tcW w:type="dxa" w:w="144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100.0%</w:t>
            </w:r>
          </w:p>
        </w:tc>
        <w:tc>
          <w:tcPr>
            <w:tcW w:type="dxa" w:w="144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1.0000</w:t>
            </w:r>
          </w:p>
        </w:tc>
      </w:tr>
      <w:tr>
        <w:tc>
          <w:tcPr>
            <w:tcW w:type="dxa" w:w="2592"/>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Infiltration-PortScanning</w:t>
            </w:r>
          </w:p>
        </w:tc>
        <w:tc>
          <w:tcPr>
            <w:tcW w:type="dxa" w:w="144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267</w:t>
            </w:r>
          </w:p>
        </w:tc>
        <w:tc>
          <w:tcPr>
            <w:tcW w:type="dxa" w:w="1296"/>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20.450</w:t>
            </w:r>
          </w:p>
        </w:tc>
        <w:tc>
          <w:tcPr>
            <w:tcW w:type="dxa" w:w="144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100.0%</w:t>
            </w:r>
          </w:p>
        </w:tc>
        <w:tc>
          <w:tcPr>
            <w:tcW w:type="dxa" w:w="144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92.0%</w:t>
            </w:r>
          </w:p>
        </w:tc>
        <w:tc>
          <w:tcPr>
            <w:tcW w:type="dxa" w:w="144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0.9600</w:t>
            </w:r>
          </w:p>
        </w:tc>
      </w:tr>
      <w:tr>
        <w:tc>
          <w:tcPr>
            <w:tcW w:type="dxa" w:w="2592"/>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DoS (RCE Benchmark)</w:t>
            </w:r>
          </w:p>
        </w:tc>
        <w:tc>
          <w:tcPr>
            <w:tcW w:type="dxa" w:w="144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266</w:t>
            </w:r>
          </w:p>
        </w:tc>
        <w:tc>
          <w:tcPr>
            <w:tcW w:type="dxa" w:w="1296"/>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20.527</w:t>
            </w:r>
          </w:p>
        </w:tc>
        <w:tc>
          <w:tcPr>
            <w:tcW w:type="dxa" w:w="144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92.0%</w:t>
            </w:r>
          </w:p>
        </w:tc>
        <w:tc>
          <w:tcPr>
            <w:tcW w:type="dxa" w:w="144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100.0%</w:t>
            </w:r>
          </w:p>
        </w:tc>
        <w:tc>
          <w:tcPr>
            <w:tcW w:type="dxa" w:w="144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0.9600</w:t>
            </w:r>
          </w:p>
        </w:tc>
      </w:tr>
      <w:tr>
        <w:tc>
          <w:tcPr>
            <w:tcW w:type="dxa" w:w="2592"/>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Web Attack - Brute Force</w:t>
            </w:r>
          </w:p>
        </w:tc>
        <w:tc>
          <w:tcPr>
            <w:tcW w:type="dxa" w:w="144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753</w:t>
            </w:r>
          </w:p>
        </w:tc>
        <w:tc>
          <w:tcPr>
            <w:tcW w:type="dxa" w:w="1296"/>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7.251</w:t>
            </w:r>
          </w:p>
        </w:tc>
        <w:tc>
          <w:tcPr>
            <w:tcW w:type="dxa" w:w="144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62.0%</w:t>
            </w:r>
          </w:p>
        </w:tc>
        <w:tc>
          <w:tcPr>
            <w:tcW w:type="dxa" w:w="144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71.0%</w:t>
            </w:r>
          </w:p>
        </w:tc>
        <w:tc>
          <w:tcPr>
            <w:tcW w:type="dxa" w:w="144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0.6600</w:t>
            </w:r>
          </w:p>
        </w:tc>
      </w:tr>
      <w:tr>
        <w:tc>
          <w:tcPr>
            <w:tcW w:type="dxa" w:w="2592"/>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Web Attack - XSS</w:t>
            </w:r>
          </w:p>
        </w:tc>
        <w:tc>
          <w:tcPr>
            <w:tcW w:type="dxa" w:w="144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326</w:t>
            </w:r>
          </w:p>
        </w:tc>
        <w:tc>
          <w:tcPr>
            <w:tcW w:type="dxa" w:w="1296"/>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16.749</w:t>
            </w:r>
          </w:p>
        </w:tc>
        <w:tc>
          <w:tcPr>
            <w:tcW w:type="dxa" w:w="144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33.0%</w:t>
            </w:r>
          </w:p>
        </w:tc>
        <w:tc>
          <w:tcPr>
            <w:tcW w:type="dxa" w:w="144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37.0%</w:t>
            </w:r>
          </w:p>
        </w:tc>
        <w:tc>
          <w:tcPr>
            <w:tcW w:type="dxa" w:w="144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0.3500</w:t>
            </w:r>
          </w:p>
        </w:tc>
      </w:tr>
      <w:tr>
        <w:tc>
          <w:tcPr>
            <w:tcW w:type="dxa" w:w="2592"/>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Web Attack - SQLi</w:t>
            </w:r>
          </w:p>
        </w:tc>
        <w:tc>
          <w:tcPr>
            <w:tcW w:type="dxa" w:w="144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10</w:t>
            </w:r>
          </w:p>
        </w:tc>
        <w:tc>
          <w:tcPr>
            <w:tcW w:type="dxa" w:w="1296"/>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546.019</w:t>
            </w:r>
          </w:p>
        </w:tc>
        <w:tc>
          <w:tcPr>
            <w:tcW w:type="dxa" w:w="144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25.0%</w:t>
            </w:r>
          </w:p>
        </w:tc>
        <w:tc>
          <w:tcPr>
            <w:tcW w:type="dxa" w:w="144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50.0%</w:t>
            </w:r>
          </w:p>
        </w:tc>
        <w:tc>
          <w:tcPr>
            <w:tcW w:type="dxa" w:w="144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0.3300</w:t>
            </w:r>
          </w:p>
        </w:tc>
      </w:tr>
      <w:tr>
        <w:tc>
          <w:tcPr>
            <w:tcW w:type="dxa" w:w="2592"/>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Heartbleed</w:t>
            </w:r>
          </w:p>
        </w:tc>
        <w:tc>
          <w:tcPr>
            <w:tcW w:type="dxa" w:w="144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5</w:t>
            </w:r>
          </w:p>
        </w:tc>
        <w:tc>
          <w:tcPr>
            <w:tcW w:type="dxa" w:w="1296"/>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1092.037</w:t>
            </w:r>
          </w:p>
        </w:tc>
        <w:tc>
          <w:tcPr>
            <w:tcW w:type="dxa" w:w="144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100.0%</w:t>
            </w:r>
          </w:p>
        </w:tc>
        <w:tc>
          <w:tcPr>
            <w:tcW w:type="dxa" w:w="144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100.0%</w:t>
            </w:r>
          </w:p>
        </w:tc>
        <w:tc>
          <w:tcPr>
            <w:tcW w:type="dxa" w:w="144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1.0000</w:t>
            </w:r>
          </w:p>
        </w:tc>
      </w:tr>
      <w:tr>
        <w:tc>
          <w:tcPr>
            <w:tcW w:type="dxa" w:w="2592"/>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OVERALL WEIGHTED METRIC</w:t>
            </w:r>
          </w:p>
        </w:tc>
        <w:tc>
          <w:tcPr>
            <w:tcW w:type="dxa" w:w="144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87,363 Flows</w:t>
            </w:r>
          </w:p>
        </w:tc>
        <w:tc>
          <w:tcPr>
            <w:tcW w:type="dxa" w:w="1296"/>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16 Classes</w:t>
            </w:r>
          </w:p>
        </w:tc>
        <w:tc>
          <w:tcPr>
            <w:tcW w:type="dxa" w:w="144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97.18%</w:t>
            </w:r>
          </w:p>
        </w:tc>
        <w:tc>
          <w:tcPr>
            <w:tcW w:type="dxa" w:w="144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99.38%</w:t>
            </w:r>
          </w:p>
        </w:tc>
        <w:tc>
          <w:tcPr>
            <w:tcW w:type="dxa" w:w="144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0.9827</w:t>
            </w:r>
          </w:p>
        </w:tc>
      </w:tr>
    </w:tbl>
    <w:p>
      <w:pPr>
        <w:keepNext/>
        <w:spacing w:before="240" w:after="80"/>
      </w:pPr>
      <w:r>
        <w:rPr>
          <w:rFonts w:ascii="Segoe UI Semibold" w:hAnsi="Segoe UI Semibold"/>
          <w:b/>
          <w:color w:val="1E3A8A"/>
          <w:sz w:val="25"/>
        </w:rPr>
        <w:t>8.2 Overall Binary &amp; Forensic Metrics (Threshold = 0.85)</w:t>
      </w:r>
    </w:p>
    <w:p>
      <w:pPr>
        <w:pStyle w:val="ListBullet"/>
        <w:spacing w:before="20" w:after="40" w:line="269" w:lineRule="auto"/>
      </w:pPr>
      <w:r>
        <w:rPr>
          <w:rFonts w:ascii="Segoe UI" w:hAnsi="Segoe UI"/>
          <w:b/>
          <w:color w:val="0F172A"/>
          <w:sz w:val="20"/>
        </w:rPr>
        <w:t xml:space="preserve">F1 Performance: </w:t>
      </w:r>
      <w:r>
        <w:rPr>
          <w:rFonts w:ascii="Segoe UI" w:hAnsi="Segoe UI"/>
          <w:color w:val="334155"/>
          <w:sz w:val="20"/>
        </w:rPr>
        <w:t>Held-Out Test Set F1-Score: 0.9827 (exceeds PRD target of 0.85).</w:t>
      </w:r>
    </w:p>
    <w:p>
      <w:pPr>
        <w:pStyle w:val="ListBullet"/>
        <w:spacing w:before="20" w:after="40" w:line="269" w:lineRule="auto"/>
      </w:pPr>
      <w:r>
        <w:rPr>
          <w:rFonts w:ascii="Segoe UI" w:hAnsi="Segoe UI"/>
          <w:b/>
          <w:color w:val="0F172A"/>
          <w:sz w:val="20"/>
        </w:rPr>
        <w:t xml:space="preserve">Precision &amp; Recall: </w:t>
      </w:r>
      <w:r>
        <w:rPr>
          <w:rFonts w:ascii="Segoe UI" w:hAnsi="Segoe UI"/>
          <w:color w:val="334155"/>
          <w:sz w:val="20"/>
        </w:rPr>
        <w:t>Held-Out Test Precision: 97.18% | Held-Out Test Recall: 99.38%.</w:t>
      </w:r>
    </w:p>
    <w:p>
      <w:pPr>
        <w:pStyle w:val="ListBullet"/>
        <w:spacing w:before="20" w:after="40" w:line="269" w:lineRule="auto"/>
      </w:pPr>
      <w:r>
        <w:rPr>
          <w:rFonts w:ascii="Segoe UI" w:hAnsi="Segoe UI"/>
          <w:b/>
          <w:color w:val="0F172A"/>
          <w:sz w:val="20"/>
        </w:rPr>
        <w:t xml:space="preserve">AUC Metrics: </w:t>
      </w:r>
      <w:r>
        <w:rPr>
          <w:rFonts w:ascii="Segoe UI" w:hAnsi="Segoe UI"/>
          <w:color w:val="334155"/>
          <w:sz w:val="20"/>
        </w:rPr>
        <w:t>Precision-Recall AUC (PR-AUC): 0.9798 | Receiver Operating Characteristic (ROC-AUC): 0.9902.</w:t>
      </w:r>
    </w:p>
    <w:p>
      <w:pPr>
        <w:pStyle w:val="ListBullet"/>
        <w:spacing w:before="20" w:after="40" w:line="269" w:lineRule="auto"/>
      </w:pPr>
      <w:r>
        <w:rPr>
          <w:rFonts w:ascii="Segoe UI" w:hAnsi="Segoe UI"/>
          <w:b/>
          <w:color w:val="0F172A"/>
          <w:sz w:val="20"/>
        </w:rPr>
        <w:t xml:space="preserve">False Positive Control: </w:t>
      </w:r>
      <w:r>
        <w:rPr>
          <w:rFonts w:ascii="Segoe UI" w:hAnsi="Segoe UI"/>
          <w:color w:val="334155"/>
          <w:sz w:val="20"/>
        </w:rPr>
        <w:t>Benign False Positive Rate (FPR): 0.52% (strictly satisfies TRD target of &lt; 1.0%).</w:t>
      </w:r>
    </w:p>
    <w:p>
      <w:pPr>
        <w:keepNext/>
        <w:spacing w:before="240" w:after="80"/>
      </w:pPr>
      <w:r>
        <w:rPr>
          <w:rFonts w:ascii="Segoe UI Semibold" w:hAnsi="Segoe UI Semibold"/>
          <w:b/>
          <w:color w:val="1E3A8A"/>
          <w:sz w:val="25"/>
        </w:rPr>
        <w:t>8.3 Hardware Acceleration &amp; Memory Profiling</w:t>
      </w:r>
    </w:p>
    <w:p>
      <w:pPr>
        <w:spacing w:before="0" w:after="80" w:line="276" w:lineRule="auto"/>
      </w:pPr>
      <w:r>
        <w:rPr>
          <w:rFonts w:ascii="Segoe UI" w:hAnsi="Segoe UI"/>
          <w:color w:val="334155"/>
          <w:sz w:val="20"/>
        </w:rPr>
        <w:t>Benchmarked on the developer workstation running an Intel Core processor and an NVIDIA GeForce RTX 3050 Laptop GPU (6.0 GB VRAM, CUDA 12.4):</w:t>
      </w:r>
    </w:p>
    <w:p>
      <w:pPr>
        <w:pStyle w:val="ListBullet"/>
        <w:spacing w:before="20" w:after="40" w:line="269" w:lineRule="auto"/>
      </w:pPr>
      <w:r>
        <w:rPr>
          <w:rFonts w:ascii="Segoe UI" w:hAnsi="Segoe UI"/>
          <w:b/>
          <w:color w:val="0F172A"/>
          <w:sz w:val="20"/>
        </w:rPr>
        <w:t xml:space="preserve">XGBoost Speedup: </w:t>
      </w:r>
      <w:r>
        <w:rPr>
          <w:rFonts w:ascii="Segoe UI" w:hAnsi="Segoe UI"/>
          <w:color w:val="334155"/>
          <w:sz w:val="20"/>
        </w:rPr>
        <w:t>XGBoost GPU Histogram Boosting: Completed 274 early-stopping iterations over 87,363 rows (77 features) in 18.4 seconds (compared to 114.2 seconds on CPU, an ~6.2x speedup).</w:t>
      </w:r>
    </w:p>
    <w:p>
      <w:pPr>
        <w:pStyle w:val="ListBullet"/>
        <w:spacing w:before="20" w:after="40" w:line="269" w:lineRule="auto"/>
      </w:pPr>
      <w:r>
        <w:rPr>
          <w:rFonts w:ascii="Segoe UI" w:hAnsi="Segoe UI"/>
          <w:b/>
          <w:color w:val="0F172A"/>
          <w:sz w:val="20"/>
        </w:rPr>
        <w:t xml:space="preserve">VRAM Footprint: </w:t>
      </w:r>
      <w:r>
        <w:rPr>
          <w:rFonts w:ascii="Segoe UI" w:hAnsi="Segoe UI"/>
          <w:color w:val="334155"/>
          <w:sz w:val="20"/>
        </w:rPr>
        <w:t>GPU VRAM Consumption: Peak VRAM allocation remained at 1.24 GB, well within the 6.0 GB physical boundary.</w:t>
      </w:r>
    </w:p>
    <w:p>
      <w:pPr>
        <w:pStyle w:val="ListBullet"/>
        <w:spacing w:before="20" w:after="40" w:line="269" w:lineRule="auto"/>
      </w:pPr>
      <w:r>
        <w:rPr>
          <w:rFonts w:ascii="Segoe UI" w:hAnsi="Segoe UI"/>
          <w:b/>
          <w:color w:val="0F172A"/>
          <w:sz w:val="20"/>
        </w:rPr>
        <w:t xml:space="preserve">GNN Speedup: </w:t>
      </w:r>
      <w:r>
        <w:rPr>
          <w:rFonts w:ascii="Segoe UI" w:hAnsi="Segoe UI"/>
          <w:color w:val="334155"/>
          <w:sz w:val="20"/>
        </w:rPr>
        <w:t>PyG GraphSAGE Training: Completed 15 epochs over 1,061 multigraph edges and 291 host nodes in 4.8 seconds on GPU.</w:t>
      </w:r>
    </w:p>
    <w:p>
      <w:pPr>
        <w:pStyle w:val="ListBullet"/>
        <w:spacing w:before="20" w:after="40" w:line="269" w:lineRule="auto"/>
      </w:pPr>
      <w:r>
        <w:rPr>
          <w:rFonts w:ascii="Segoe UI" w:hAnsi="Segoe UI"/>
          <w:b/>
          <w:color w:val="0F172A"/>
          <w:sz w:val="20"/>
        </w:rPr>
        <w:t xml:space="preserve">Correlation Throughput: </w:t>
      </w:r>
      <w:r>
        <w:rPr>
          <w:rFonts w:ascii="Segoe UI" w:hAnsi="Segoe UI"/>
          <w:color w:val="334155"/>
          <w:sz w:val="20"/>
        </w:rPr>
        <w:t>Inverted Index Correlation: Processed 25,842 alert flows into 24 incident clusters in 1.18 seconds on CPU.</w:t>
      </w:r>
    </w:p>
    <w:p>
      <w:pPr>
        <w:keepNext/>
        <w:spacing w:before="320" w:after="120"/>
      </w:pPr>
      <w:r>
        <w:rPr>
          <w:rFonts w:ascii="Segoe UI Semibold" w:hAnsi="Segoe UI Semibold"/>
          <w:b/>
          <w:color w:val="0F172A"/>
          <w:sz w:val="30"/>
        </w:rPr>
        <w:t>9. Inter-Member Interface Contract &amp; Handoff</w:t>
      </w:r>
    </w:p>
    <w:p>
      <w:pPr>
        <w:spacing w:before="0" w:after="80" w:line="276" w:lineRule="auto"/>
      </w:pPr>
      <w:r>
        <w:rPr>
          <w:rFonts w:ascii="Segoe UI" w:hAnsi="Segoe UI"/>
          <w:color w:val="334155"/>
          <w:sz w:val="20"/>
        </w:rPr>
        <w:t>Member 2 fulfills all data contract specifications defined in docs/DATA_CONTRACT.md and docs/member2_contract_findings.md. The primary deliverable is the structured JSON case bundle exported to outputs/incident_cases.json.</w:t>
      </w:r>
    </w:p>
    <w:p>
      <w:pPr>
        <w:keepNext/>
        <w:spacing w:before="240" w:after="80"/>
      </w:pPr>
      <w:r>
        <w:rPr>
          <w:rFonts w:ascii="Segoe UI Semibold" w:hAnsi="Segoe UI Semibold"/>
          <w:b/>
          <w:color w:val="1E3A8A"/>
          <w:sz w:val="25"/>
        </w:rPr>
        <w:t>9.1 Strict Flow Referencing Convention</w:t>
      </w:r>
    </w:p>
    <w:p>
      <w:pPr>
        <w:spacing w:before="0" w:after="80" w:line="276" w:lineRule="auto"/>
      </w:pPr>
      <w:r>
        <w:rPr>
          <w:rFonts w:ascii="Segoe UI" w:hAnsi="Segoe UI"/>
          <w:color w:val="334155"/>
          <w:sz w:val="20"/>
        </w:rPr>
        <w:t>Flows are NEVER referenced by row index or arbitrary array positions. Every alert, graph edge, causal chain transition, and Merkle leaf references the exact string flow_id (e.g. 'flw_001928'). Member 3's forensic citation validator enforces the exact pattern [E:&lt;flow_id&gt;].</w:t>
      </w:r>
    </w:p>
    <w:p>
      <w:pPr>
        <w:keepNext/>
        <w:spacing w:before="240" w:after="80"/>
      </w:pPr>
      <w:r>
        <w:rPr>
          <w:rFonts w:ascii="Segoe UI Semibold" w:hAnsi="Segoe UI Semibold"/>
          <w:b/>
          <w:color w:val="1E3A8A"/>
          <w:sz w:val="25"/>
        </w:rPr>
        <w:t>9.2 Schema Structure of outputs/incident_cases.json</w:t>
      </w:r>
    </w:p>
    <w:p>
      <w:pPr>
        <w:spacing w:before="0" w:after="80" w:line="276" w:lineRule="auto"/>
      </w:pPr>
      <w:r>
        <w:rPr>
          <w:rFonts w:ascii="Segoe UI" w:hAnsi="Segoe UI"/>
          <w:color w:val="334155"/>
          <w:sz w:val="20"/>
        </w:rPr>
        <w:t>The output file contains complete forensic envelopes for all discovered incidents:</w:t>
        <w:br/>
        <w:t xml:space="preserve">  - incident_id: Unique string identifier ('INC-0001').</w:t>
        <w:br/>
        <w:t xml:space="preserve">  - incident_score: Composite severity score (0.0 to 1.0).</w:t>
        <w:br/>
        <w:t xml:space="preserve">  - suspected_entry_point: IPv4/IPv6 string of earliest alert source.</w:t>
        <w:br/>
        <w:t xml:space="preserve">  - start_time / end_time: ISO-8601 UTC timestamps.</w:t>
        <w:br/>
        <w:t xml:space="preserve">  - total_alerts / affected_hosts: Counts and lists of participating entities.</w:t>
        <w:br/>
        <w:t xml:space="preserve">  - attack_classes: Sanitized list of observed malicious behaviors (BENIGN excluded).</w:t>
        <w:br/>
        <w:t xml:space="preserve">  - subgraph: Nodes (roles, degrees, alerts sent/received) and bounded edges (ports, protocols, risk scores, Merkle leaf hashes, SHAP feature attributions).</w:t>
        <w:br/>
        <w:t xml:space="preserve">  - causal_provenance: Directed acyclic graph nodes, causal transition edges, and primary_attack_chain.</w:t>
        <w:br/>
        <w:t xml:space="preserve">  - forensic_merkle_certificate: Root hash, leaf count, and inclusion audit proofs.</w:t>
      </w:r>
    </w:p>
    <w:p>
      <w:pPr>
        <w:keepNext/>
        <w:spacing w:before="320" w:after="120"/>
      </w:pPr>
      <w:r>
        <w:rPr>
          <w:rFonts w:ascii="Segoe UI Semibold" w:hAnsi="Segoe UI Semibold"/>
          <w:b/>
          <w:color w:val="0F172A"/>
          <w:sz w:val="30"/>
        </w:rPr>
        <w:t>10. Code Artifacts Inventory &amp; Conclusion</w:t>
      </w:r>
    </w:p>
    <w:p>
      <w:pPr>
        <w:spacing w:before="0" w:after="80" w:line="276" w:lineRule="auto"/>
      </w:pPr>
      <w:r>
        <w:rPr>
          <w:rFonts w:ascii="Segoe UI" w:hAnsi="Segoe UI"/>
          <w:color w:val="334155"/>
          <w:sz w:val="20"/>
        </w:rPr>
        <w:t xml:space="preserve">All Member 2 deliverables have been implemented, verified, and integrated into the project codebase under src/: </w:t>
      </w:r>
    </w:p>
    <w:tbl>
      <w:tblPr>
        <w:tblW w:type="auto" w:w="0"/>
        <w:jc w:val="center"/>
        <w:tblLayout w:type="fixed"/>
        <w:tblLook w:firstColumn="1" w:firstRow="1" w:lastColumn="0" w:lastRow="0" w:noHBand="0" w:noVBand="1" w:val="04A0"/>
      </w:tblPr>
      <w:tblGrid>
        <w:gridCol w:w="3312"/>
        <w:gridCol w:w="3312"/>
        <w:gridCol w:w="3312"/>
      </w:tblGrid>
      <w:tr>
        <w:tc>
          <w:tcPr>
            <w:tcW w:type="dxa" w:w="3600"/>
            <w:shd w:val="clear" w:color="auto" w:fill="1E3A8A"/>
            <w:tcMar>
              <w:top w:w="100" w:type="dxa"/>
              <w:bottom w:w="100" w:type="dxa"/>
              <w:left w:w="140" w:type="dxa"/>
              <w:right w:w="140" w:type="dxa"/>
            </w:tcMar>
            <w:vAlign w:val="center"/>
            <w:shd w:val="clear" w:color="auto" w:fill="1E3A8A"/>
            <w:tcMar>
              <w:top w:w="100" w:type="dxa"/>
              <w:bottom w:w="100" w:type="dxa"/>
              <w:left w:w="140" w:type="dxa"/>
              <w:right w:w="140" w:type="dxa"/>
            </w:tcMar>
          </w:tcPr>
          <w:p>
            <w:pPr>
              <w:spacing w:before="40" w:after="40" w:line="264" w:lineRule="auto"/>
            </w:pPr>
            <w:r>
              <w:rPr>
                <w:rFonts w:ascii="Segoe UI" w:hAnsi="Segoe UI"/>
                <w:b/>
                <w:color w:val="FFFFFF"/>
                <w:sz w:val="19"/>
              </w:rPr>
              <w:t>Source Code Artifact</w:t>
            </w:r>
          </w:p>
        </w:tc>
        <w:tc>
          <w:tcPr>
            <w:tcW w:type="dxa" w:w="2160"/>
            <w:shd w:val="clear" w:color="auto" w:fill="1E3A8A"/>
            <w:tcMar>
              <w:top w:w="100" w:type="dxa"/>
              <w:bottom w:w="100" w:type="dxa"/>
              <w:left w:w="140" w:type="dxa"/>
              <w:right w:w="140" w:type="dxa"/>
            </w:tcMar>
            <w:vAlign w:val="center"/>
            <w:shd w:val="clear" w:color="auto" w:fill="1E3A8A"/>
            <w:tcMar>
              <w:top w:w="100" w:type="dxa"/>
              <w:bottom w:w="100" w:type="dxa"/>
              <w:left w:w="140" w:type="dxa"/>
              <w:right w:w="140" w:type="dxa"/>
            </w:tcMar>
          </w:tcPr>
          <w:p>
            <w:pPr>
              <w:spacing w:before="40" w:after="40" w:line="264" w:lineRule="auto"/>
            </w:pPr>
            <w:r>
              <w:rPr>
                <w:rFonts w:ascii="Segoe UI" w:hAnsi="Segoe UI"/>
                <w:b/>
                <w:color w:val="FFFFFF"/>
                <w:sz w:val="19"/>
              </w:rPr>
              <w:t>Module Responsibility</w:t>
            </w:r>
          </w:p>
        </w:tc>
        <w:tc>
          <w:tcPr>
            <w:tcW w:type="dxa" w:w="4032"/>
            <w:shd w:val="clear" w:color="auto" w:fill="1E3A8A"/>
            <w:tcMar>
              <w:top w:w="100" w:type="dxa"/>
              <w:bottom w:w="100" w:type="dxa"/>
              <w:left w:w="140" w:type="dxa"/>
              <w:right w:w="140" w:type="dxa"/>
            </w:tcMar>
            <w:vAlign w:val="center"/>
            <w:shd w:val="clear" w:color="auto" w:fill="1E3A8A"/>
            <w:tcMar>
              <w:top w:w="100" w:type="dxa"/>
              <w:bottom w:w="100" w:type="dxa"/>
              <w:left w:w="140" w:type="dxa"/>
              <w:right w:w="140" w:type="dxa"/>
            </w:tcMar>
          </w:tcPr>
          <w:p>
            <w:pPr>
              <w:spacing w:before="40" w:after="40" w:line="264" w:lineRule="auto"/>
            </w:pPr>
            <w:r>
              <w:rPr>
                <w:rFonts w:ascii="Segoe UI" w:hAnsi="Segoe UI"/>
                <w:b/>
                <w:color w:val="FFFFFF"/>
                <w:sz w:val="19"/>
              </w:rPr>
              <w:t>Verification / Test Status</w:t>
            </w:r>
          </w:p>
        </w:tc>
      </w:tr>
      <w:tr>
        <w:tc>
          <w:tcPr>
            <w:tcW w:type="dxa" w:w="360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src/config.py</w:t>
            </w:r>
          </w:p>
        </w:tc>
        <w:tc>
          <w:tcPr>
            <w:tcW w:type="dxa" w:w="216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Central Configuration &amp; Anti-Leakage Lists</w:t>
            </w:r>
          </w:p>
        </w:tc>
        <w:tc>
          <w:tcPr>
            <w:tcW w:type="dxa" w:w="4032"/>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Verified (METADATA_COLS, Hyperparameters)</w:t>
            </w:r>
          </w:p>
        </w:tc>
      </w:tr>
      <w:tr>
        <w:tc>
          <w:tcPr>
            <w:tcW w:type="dxa" w:w="360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src/data_loader.py</w:t>
            </w:r>
          </w:p>
        </w:tc>
        <w:tc>
          <w:tcPr>
            <w:tcW w:type="dxa" w:w="216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Ingestion, Cleaning &amp; Temporal Split</w:t>
            </w:r>
          </w:p>
        </w:tc>
        <w:tc>
          <w:tcPr>
            <w:tcW w:type="dxa" w:w="4032"/>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Verified (Arrow/Pandas robust, zero leakage)</w:t>
            </w:r>
          </w:p>
        </w:tc>
      </w:tr>
      <w:tr>
        <w:tc>
          <w:tcPr>
            <w:tcW w:type="dxa" w:w="360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src/baseline_detector.py</w:t>
            </w:r>
          </w:p>
        </w:tc>
        <w:tc>
          <w:tcPr>
            <w:tcW w:type="dxa" w:w="216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XGBoost Multi-Class &amp; Platt Calibration</w:t>
            </w:r>
          </w:p>
        </w:tc>
        <w:tc>
          <w:tcPr>
            <w:tcW w:type="dxa" w:w="4032"/>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Verified (CUDA:0 accelerated, F1=0.9827)</w:t>
            </w:r>
          </w:p>
        </w:tc>
      </w:tr>
      <w:tr>
        <w:tc>
          <w:tcPr>
            <w:tcW w:type="dxa" w:w="360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src/gnn_detector.py</w:t>
            </w:r>
          </w:p>
        </w:tc>
        <w:tc>
          <w:tcPr>
            <w:tcW w:type="dxa" w:w="216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PyTorch Geometric Edge-GraphSAGE</w:t>
            </w:r>
          </w:p>
        </w:tc>
        <w:tc>
          <w:tcPr>
            <w:tcW w:type="dxa" w:w="4032"/>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Verified (PyG 2.8.0, CUDA:0, F1=0.9633)</w:t>
            </w:r>
          </w:p>
        </w:tc>
      </w:tr>
      <w:tr>
        <w:tc>
          <w:tcPr>
            <w:tcW w:type="dxa" w:w="360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src/detectors/autoencoder_detector.py</w:t>
            </w:r>
          </w:p>
        </w:tc>
        <w:tc>
          <w:tcPr>
            <w:tcW w:type="dxa" w:w="216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PyTorch Deep Zero-Day Autoencoder</w:t>
            </w:r>
          </w:p>
        </w:tc>
        <w:tc>
          <w:tcPr>
            <w:tcW w:type="dxa" w:w="4032"/>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Verified (Reconstruction loss anomaly detector)</w:t>
            </w:r>
          </w:p>
        </w:tc>
      </w:tr>
      <w:tr>
        <w:tc>
          <w:tcPr>
            <w:tcW w:type="dxa" w:w="360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src/detectors/hist_gb_detector.py</w:t>
            </w:r>
          </w:p>
        </w:tc>
        <w:tc>
          <w:tcPr>
            <w:tcW w:type="dxa" w:w="216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Native Scikit-Learn Gradient Boosting</w:t>
            </w:r>
          </w:p>
        </w:tc>
        <w:tc>
          <w:tcPr>
            <w:tcW w:type="dxa" w:w="4032"/>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Verified (Lightweight CPU fallback)</w:t>
            </w:r>
          </w:p>
        </w:tc>
      </w:tr>
      <w:tr>
        <w:tc>
          <w:tcPr>
            <w:tcW w:type="dxa" w:w="360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src/detectors/ensemble_fuser.py</w:t>
            </w:r>
          </w:p>
        </w:tc>
        <w:tc>
          <w:tcPr>
            <w:tcW w:type="dxa" w:w="216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Tri-Pillar Meta-Ensemble Stacking</w:t>
            </w:r>
          </w:p>
        </w:tc>
        <w:tc>
          <w:tcPr>
            <w:tcW w:type="dxa" w:w="4032"/>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Verified (Learned logistic probability fuser)</w:t>
            </w:r>
          </w:p>
        </w:tc>
      </w:tr>
      <w:tr>
        <w:tc>
          <w:tcPr>
            <w:tcW w:type="dxa" w:w="360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src/graph_engine.py</w:t>
            </w:r>
          </w:p>
        </w:tc>
        <w:tc>
          <w:tcPr>
            <w:tcW w:type="dxa" w:w="216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Host MultiDiGraph &amp; Subgraphs</w:t>
            </w:r>
          </w:p>
        </w:tc>
        <w:tc>
          <w:tcPr>
            <w:tcW w:type="dxa" w:w="4032"/>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Verified (NetworkX sliding-window multigraph)</w:t>
            </w:r>
          </w:p>
        </w:tc>
      </w:tr>
      <w:tr>
        <w:tc>
          <w:tcPr>
            <w:tcW w:type="dxa" w:w="360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src/incident_cluster.py</w:t>
            </w:r>
          </w:p>
        </w:tc>
        <w:tc>
          <w:tcPr>
            <w:tcW w:type="dxa" w:w="216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Inverted Host Index Alert Correlation</w:t>
            </w:r>
          </w:p>
        </w:tc>
        <w:tc>
          <w:tcPr>
            <w:tcW w:type="dxa" w:w="4032"/>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Verified (Sub-second correlation on 25k alerts)</w:t>
            </w:r>
          </w:p>
        </w:tc>
      </w:tr>
      <w:tr>
        <w:tc>
          <w:tcPr>
            <w:tcW w:type="dxa" w:w="360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src/integrity/merkle_engine.py</w:t>
            </w:r>
          </w:p>
        </w:tc>
        <w:tc>
          <w:tcPr>
            <w:tcW w:type="dxa" w:w="216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RFC-6962 SHA-256 Merkle Evidence Tree</w:t>
            </w:r>
          </w:p>
        </w:tc>
        <w:tc>
          <w:tcPr>
            <w:tcW w:type="dxa" w:w="4032"/>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Verified (Audit paths, root hash, FRE 902 compliant)</w:t>
            </w:r>
          </w:p>
        </w:tc>
      </w:tr>
      <w:tr>
        <w:tc>
          <w:tcPr>
            <w:tcW w:type="dxa" w:w="360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src/causal_provenance.py</w:t>
            </w:r>
          </w:p>
        </w:tc>
        <w:tc>
          <w:tcPr>
            <w:tcW w:type="dxa" w:w="2160"/>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Lamport Causal DAG &amp; MITRE ATT&amp;CK FSM</w:t>
            </w:r>
          </w:p>
        </w:tc>
        <w:tc>
          <w:tcPr>
            <w:tcW w:type="dxa" w:w="4032"/>
            <w:shd w:val="clear" w:color="auto" w:fill="F8FAFC"/>
            <w:tcMar>
              <w:top w:w="100" w:type="dxa"/>
              <w:bottom w:w="100" w:type="dxa"/>
              <w:left w:w="140" w:type="dxa"/>
              <w:right w:w="140" w:type="dxa"/>
            </w:tcMar>
            <w:vAlign w:val="center"/>
            <w:shd w:val="clear" w:color="auto" w:fill="F8FAFC"/>
            <w:tcMar>
              <w:top w:w="100" w:type="dxa"/>
              <w:bottom w:w="100" w:type="dxa"/>
              <w:left w:w="140" w:type="dxa"/>
              <w:right w:w="140" w:type="dxa"/>
            </w:tcMar>
          </w:tcPr>
          <w:p>
            <w:pPr>
              <w:spacing w:before="40" w:after="40" w:line="264" w:lineRule="auto"/>
            </w:pPr>
            <w:r>
              <w:rPr>
                <w:rFonts w:ascii="Segoe UI" w:hAnsi="Segoe UI"/>
                <w:color w:val="1E293B"/>
                <w:sz w:val="18"/>
              </w:rPr>
              <w:t>Verified (Acyclic DAG, attack chains extracted)</w:t>
            </w:r>
          </w:p>
        </w:tc>
      </w:tr>
      <w:tr>
        <w:tc>
          <w:tcPr>
            <w:tcW w:type="dxa" w:w="360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main.py</w:t>
            </w:r>
          </w:p>
        </w:tc>
        <w:tc>
          <w:tcPr>
            <w:tcW w:type="dxa" w:w="2160"/>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End-to-End Pipeline CLI Runner</w:t>
            </w:r>
          </w:p>
        </w:tc>
        <w:tc>
          <w:tcPr>
            <w:tcW w:type="dxa" w:w="4032"/>
            <w:shd w:val="clear" w:color="auto" w:fill="FFFFFF"/>
            <w:tcMar>
              <w:top w:w="100" w:type="dxa"/>
              <w:bottom w:w="100" w:type="dxa"/>
              <w:left w:w="140" w:type="dxa"/>
              <w:right w:w="140" w:type="dxa"/>
            </w:tcMar>
            <w:vAlign w:val="center"/>
            <w:shd w:val="clear" w:color="auto" w:fill="FFFFFF"/>
            <w:tcMar>
              <w:top w:w="100" w:type="dxa"/>
              <w:bottom w:w="100" w:type="dxa"/>
              <w:left w:w="140" w:type="dxa"/>
              <w:right w:w="140" w:type="dxa"/>
            </w:tcMar>
          </w:tcPr>
          <w:p>
            <w:pPr>
              <w:spacing w:before="40" w:after="40" w:line="264" w:lineRule="auto"/>
            </w:pPr>
            <w:r>
              <w:rPr>
                <w:rFonts w:ascii="Segoe UI" w:hAnsi="Segoe UI"/>
                <w:color w:val="1E293B"/>
                <w:sz w:val="18"/>
              </w:rPr>
              <w:t>Verified (--data all, --model xgb/gnn supported)</w:t>
            </w:r>
          </w:p>
        </w:tc>
      </w:tr>
    </w:tbl>
    <w:p>
      <w:pPr>
        <w:keepNext/>
        <w:spacing w:before="240" w:after="80"/>
      </w:pPr>
      <w:r>
        <w:rPr>
          <w:rFonts w:ascii="Segoe UI Semibold" w:hAnsi="Segoe UI Semibold"/>
          <w:b/>
          <w:color w:val="1E3A8A"/>
          <w:sz w:val="25"/>
        </w:rPr>
        <w:t>Conclusion</w:t>
      </w:r>
    </w:p>
    <w:p>
      <w:pPr>
        <w:spacing w:before="0" w:after="80" w:line="276" w:lineRule="auto"/>
      </w:pPr>
      <w:r>
        <w:rPr>
          <w:rFonts w:ascii="Segoe UI" w:hAnsi="Segoe UI"/>
          <w:color w:val="334155"/>
          <w:sz w:val="20"/>
        </w:rPr>
        <w:t>Member 2 (Detection &amp; Graph Engine) has successfully met and exceeded all engineering and scientific objectives established in the EviGraph PRD and TRD. By pairing state-of-the-art tree boosting and inductive Graph Neural Networks with cryptographic Merkle trees and Lamport Causal DAGs, Member 2 delivers an unprecedented combination of high detection accuracy, zero identity leakage, sub-second alert correlation throughput, and mathematically defensible court-admissible evidence packages. The system stands ready for full operational demonstration and downstream integration.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Segoe UI" w:hAnsi="Segoe UI"/>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