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AI Architecture &amp; Execution Strategy: National Unified Material Master</w:t>
      </w:r>
    </w:p>
    <w:p>
      <w:r>
        <w:t>This document provides a detailed breakdown of the AI workflow, technical requirements, dataset strategy, and model selection necessary to execute the SIH26099 AI-Driven National Unified Material Master project. This approach prioritizes a hybrid architecture combining semantic vector search with deterministic attribute constraint rules.</w:t>
      </w:r>
    </w:p>
    <w:p>
      <w:pPr>
        <w:pStyle w:val="Heading1"/>
      </w:pPr>
      <w:r>
        <w:t>1. AI Workflow Execution Strategy</w:t>
      </w:r>
    </w:p>
    <w:p>
      <w:r>
        <w:t>The technical architecture mandates a multi-stage pipeline. A high vector similarity score must never be the sole condition for creating a national identity. The following steps dictate the data flow:</w:t>
      </w:r>
    </w:p>
    <w:p>
      <w:pPr>
        <w:pStyle w:val="ListBullet"/>
      </w:pPr>
      <w:r>
        <w:rPr>
          <w:b/>
        </w:rPr>
        <w:t xml:space="preserve">Preprocessing &amp; Normalization: </w:t>
      </w:r>
      <w:r>
        <w:t>Standardize casing, whitespace, and punctuation. Execute dictionary-based replacements to convert common engineering abbreviations into canonical forms.</w:t>
      </w:r>
    </w:p>
    <w:p>
      <w:pPr>
        <w:pStyle w:val="ListBullet"/>
      </w:pPr>
      <w:r>
        <w:rPr>
          <w:b/>
        </w:rPr>
        <w:t xml:space="preserve">Attribute Extraction: </w:t>
      </w:r>
      <w:r>
        <w:t>Execute deterministic logic to extract critical technical parameters. This includes identifying dimensions (e.g., parsing '10MM X 50MM'), material grades, and Units of Measure (UOM).</w:t>
      </w:r>
    </w:p>
    <w:p>
      <w:pPr>
        <w:pStyle w:val="ListBullet"/>
      </w:pPr>
      <w:r>
        <w:rPr>
          <w:b/>
        </w:rPr>
        <w:t xml:space="preserve">Embedding Generation: </w:t>
      </w:r>
      <w:r>
        <w:t>Convert the normalized description strings into dense mathematical vector representations using a pre-trained sentence transformer model.</w:t>
      </w:r>
    </w:p>
    <w:p>
      <w:pPr>
        <w:pStyle w:val="ListBullet"/>
      </w:pPr>
      <w:r>
        <w:rPr>
          <w:b/>
        </w:rPr>
        <w:t xml:space="preserve">Candidate Retrieval: </w:t>
      </w:r>
      <w:r>
        <w:t>Load vectors into a dedicated vector index. Execute semantic similarity searches (K-Nearest Neighbors) to retrieve top candidate records.</w:t>
      </w:r>
    </w:p>
    <w:p>
      <w:pPr>
        <w:pStyle w:val="ListBullet"/>
      </w:pPr>
      <w:r>
        <w:rPr>
          <w:b/>
        </w:rPr>
        <w:t xml:space="preserve">Equivalence Decision Engine: </w:t>
      </w:r>
      <w:r>
        <w:t>Calculate a multi-signal confidence score. This engine evaluates semantic similarity against lexical overlap and category agreement. Critically, apply hard contradiction penalties (blocking auto-matching) if extracted technical attributes conflict.</w:t>
      </w:r>
    </w:p>
    <w:p>
      <w:pPr>
        <w:pStyle w:val="Heading1"/>
      </w:pPr>
      <w:r>
        <w:t>2. AI Technical Requirements</w:t>
      </w:r>
    </w:p>
    <w:p>
      <w:r>
        <w:t>The required minimal technology stack for building this specific pipeline includes:</w:t>
      </w:r>
    </w:p>
    <w:p>
      <w:pPr>
        <w:pStyle w:val="ListBullet"/>
      </w:pPr>
      <w:r>
        <w:rPr>
          <w:b/>
        </w:rPr>
        <w:t xml:space="preserve">Python: </w:t>
      </w:r>
      <w:r>
        <w:t>The foundational language for executing the data science and AI logic.</w:t>
      </w:r>
    </w:p>
    <w:p>
      <w:pPr>
        <w:pStyle w:val="ListBullet"/>
      </w:pPr>
      <w:r>
        <w:rPr>
          <w:b/>
        </w:rPr>
        <w:t xml:space="preserve">Pandas &amp; openpyxl: </w:t>
      </w:r>
      <w:r>
        <w:t>Required for batch catalog ingestion, matrix operations, and data manipulation.</w:t>
      </w:r>
    </w:p>
    <w:p>
      <w:pPr>
        <w:pStyle w:val="ListBullet"/>
      </w:pPr>
      <w:r>
        <w:rPr>
          <w:b/>
        </w:rPr>
        <w:t xml:space="preserve">sentence-transformers: </w:t>
      </w:r>
      <w:r>
        <w:t>The core Python library utilized to generate text embeddings locally without external API calls.</w:t>
      </w:r>
    </w:p>
    <w:p>
      <w:pPr>
        <w:pStyle w:val="ListBullet"/>
      </w:pPr>
      <w:r>
        <w:rPr>
          <w:b/>
        </w:rPr>
        <w:t xml:space="preserve">FAISS or ChromaDB: </w:t>
      </w:r>
      <w:r>
        <w:t>The vector database infrastructure required to store embeddings and execute rapid similarity searches.</w:t>
      </w:r>
    </w:p>
    <w:p>
      <w:pPr>
        <w:pStyle w:val="Heading1"/>
      </w:pPr>
      <w:r>
        <w:t>3. Dataset Strategy</w:t>
      </w:r>
    </w:p>
    <w:p>
      <w:r>
        <w:t>As real CPSE material catalogs are proprietary, proxy data is required to validate the pipeline. Focus on securing a validation set of 200–500 rows that accurately mimics industrial inventory.</w:t>
      </w:r>
    </w:p>
    <w:p>
      <w:pPr>
        <w:pStyle w:val="ListBullet"/>
      </w:pPr>
      <w:r>
        <w:rPr>
          <w:b/>
        </w:rPr>
        <w:t xml:space="preserve">Public Catalogs (Kaggle): </w:t>
      </w:r>
      <w:r>
        <w:t>Search for 'MRO spare parts data' or 'Mechanical parts datasets'. These provide real-world industrial item descriptions, hardware components, and equipment parts.</w:t>
      </w:r>
    </w:p>
    <w:p>
      <w:pPr>
        <w:pStyle w:val="ListBullet"/>
      </w:pPr>
      <w:r>
        <w:rPr>
          <w:b/>
        </w:rPr>
        <w:t xml:space="preserve">Government Open Data: </w:t>
      </w:r>
      <w:r>
        <w:t>Review Government e-Marketplace (GeM) product lists for realistic material classifications.</w:t>
      </w:r>
    </w:p>
    <w:p>
      <w:pPr>
        <w:pStyle w:val="ListBullet"/>
      </w:pPr>
      <w:r>
        <w:rPr>
          <w:b/>
        </w:rPr>
        <w:t xml:space="preserve">Synthetic Generation: </w:t>
      </w:r>
      <w:r>
        <w:t>Utilize an instruction-following LLM to generate 500 rows of synthetic mechanical descriptions. Deliberately introduce spelling errors, inconsistent UOMs, and duplicated concepts to stress-test the normalization and extraction engines.</w:t>
      </w:r>
    </w:p>
    <w:p>
      <w:pPr>
        <w:pStyle w:val="Heading1"/>
      </w:pPr>
      <w:r>
        <w:t>4. Recommended Model Selection</w:t>
      </w:r>
    </w:p>
    <w:p>
      <w:r>
        <w:t>The optimal model for this architecture is all-MiniLM-L6-v2 (deployed via sentence-transformers). Relying on a hosted external LLM for the core matching engine is strongly discouraged due to latency constraints.</w:t>
      </w:r>
    </w:p>
    <w:p>
      <w:pPr>
        <w:pStyle w:val="ListBullet"/>
      </w:pPr>
      <w:r>
        <w:rPr>
          <w:b/>
        </w:rPr>
        <w:t xml:space="preserve">Availability: </w:t>
      </w:r>
      <w:r>
        <w:t>Operates entirely locally, ensuring the core workflow functions without external LLM API dependencies.</w:t>
      </w:r>
    </w:p>
    <w:p>
      <w:pPr>
        <w:pStyle w:val="ListBullet"/>
      </w:pPr>
      <w:r>
        <w:rPr>
          <w:b/>
        </w:rPr>
        <w:t xml:space="preserve">Speed: </w:t>
      </w:r>
      <w:r>
        <w:t>Highly lightweight design guarantees the system meets the non-functional target of analyzing a single material in ≤2 seconds.</w:t>
      </w:r>
    </w:p>
    <w:p>
      <w:pPr>
        <w:pStyle w:val="ListBullet"/>
      </w:pPr>
      <w:r>
        <w:rPr>
          <w:b/>
        </w:rPr>
        <w:t xml:space="preserve">Architectural Alignment: </w:t>
      </w:r>
      <w:r>
        <w:t>Explicitly designed for semantic similarity mapping and clustering, aligning perfectly with the mathematical requirements for identifying duplicate and near-duplicate materials.</w:t>
      </w:r>
    </w:p>
    <w:p>
      <w:pPr>
        <w:pStyle w:val="Heading1"/>
      </w:pPr>
      <w:r>
        <w:t>References</w:t>
      </w:r>
    </w:p>
    <w:p>
      <w:r>
        <w:t>[1] SIH26099_SRS_v4.0_Detailed_National_Unified_Material_Master.docx</w:t>
      </w:r>
    </w:p>
    <w:p>
      <w:r>
        <w:t>[2] SIH26099_Updated_SRS_v3.0_National_Unified_Material_Master.docx</w:t>
      </w:r>
    </w:p>
    <w:p>
      <w:r>
        <w:t>[3] SIH26099_Technical_PRD_v3.0_Detailed_National_Unified_Material_Master.docx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