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8B5CF6"/>
          <w:sz w:val="19"/>
        </w:rPr>
        <w:t>NATIONAL UNIFIED MATERIAL MASTER (NUMM) · TECHNICAL EXPLAINER</w:t>
      </w:r>
    </w:p>
    <w:p>
      <w:pPr>
        <w:spacing w:before="80" w:after="80"/>
      </w:pPr>
      <w:r>
        <w:rPr>
          <w:b/>
          <w:color w:val="1E3A8A"/>
          <w:sz w:val="48"/>
        </w:rPr>
        <w:t>How the AI Works: A Simple, Practical Guide</w:t>
      </w:r>
    </w:p>
    <w:p>
      <w:pPr>
        <w:spacing w:before="0" w:after="280"/>
      </w:pPr>
      <w:r>
        <w:rPr>
          <w:i/>
          <w:color w:val="475569"/>
          <w:sz w:val="24"/>
        </w:rPr>
        <w:t>Demystifying the Neuro-Symbolic Matching Engine, Deterministic Safety Guardrails, and Active Learning Loop in Plain English.</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1F5F9"/>
            <w:tcMar>
              <w:top w:w="80" w:type="dxa"/>
              <w:bottom w:w="80" w:type="dxa"/>
              <w:left w:w="100" w:type="dxa"/>
              <w:right w:w="100" w:type="dxa"/>
            </w:tcMar>
          </w:tcPr>
          <w:p>
            <w:pPr>
              <w:spacing w:before="20" w:after="20"/>
            </w:pPr>
            <w:r>
              <w:rPr>
                <w:color w:val="475569"/>
                <w:sz w:val="17"/>
              </w:rPr>
              <w:t>Initiative</w:t>
              <w:br/>
            </w:r>
            <w:r>
              <w:rPr>
                <w:b/>
                <w:color w:val="1E3A8A"/>
                <w:sz w:val="19"/>
              </w:rPr>
              <w:t>SIH 2026 / MoP&amp;NG</w:t>
            </w:r>
          </w:p>
        </w:tc>
        <w:tc>
          <w:tcPr>
            <w:tcW w:type="dxa" w:w="2340"/>
            <w:shd w:fill="F1F5F9"/>
            <w:tcMar>
              <w:top w:w="80" w:type="dxa"/>
              <w:bottom w:w="80" w:type="dxa"/>
              <w:left w:w="100" w:type="dxa"/>
              <w:right w:w="100" w:type="dxa"/>
            </w:tcMar>
          </w:tcPr>
          <w:p>
            <w:pPr>
              <w:spacing w:before="20" w:after="20"/>
            </w:pPr>
            <w:r>
              <w:rPr>
                <w:color w:val="475569"/>
                <w:sz w:val="17"/>
              </w:rPr>
              <w:t>Architecture</w:t>
              <w:br/>
            </w:r>
            <w:r>
              <w:rPr>
                <w:b/>
                <w:color w:val="1E3A8A"/>
                <w:sz w:val="19"/>
              </w:rPr>
              <w:t>Neuro-Symbolic Hybrid</w:t>
            </w:r>
          </w:p>
        </w:tc>
        <w:tc>
          <w:tcPr>
            <w:tcW w:type="dxa" w:w="2340"/>
            <w:shd w:fill="F1F5F9"/>
            <w:tcMar>
              <w:top w:w="80" w:type="dxa"/>
              <w:bottom w:w="80" w:type="dxa"/>
              <w:left w:w="100" w:type="dxa"/>
              <w:right w:w="100" w:type="dxa"/>
            </w:tcMar>
          </w:tcPr>
          <w:p>
            <w:pPr>
              <w:spacing w:before="20" w:after="20"/>
            </w:pPr>
            <w:r>
              <w:rPr>
                <w:color w:val="475569"/>
                <w:sz w:val="17"/>
              </w:rPr>
              <w:t>Model Accuracy</w:t>
              <w:br/>
            </w:r>
            <w:r>
              <w:rPr>
                <w:b/>
                <w:color w:val="1E3A8A"/>
                <w:sz w:val="19"/>
              </w:rPr>
              <w:t>96.28% Pearson</w:t>
            </w:r>
          </w:p>
        </w:tc>
        <w:tc>
          <w:tcPr>
            <w:tcW w:type="dxa" w:w="2340"/>
            <w:shd w:fill="F1F5F9"/>
            <w:tcMar>
              <w:top w:w="80" w:type="dxa"/>
              <w:bottom w:w="80" w:type="dxa"/>
              <w:left w:w="100" w:type="dxa"/>
              <w:right w:w="100" w:type="dxa"/>
            </w:tcMar>
          </w:tcPr>
          <w:p>
            <w:pPr>
              <w:spacing w:before="20" w:after="20"/>
            </w:pPr>
            <w:r>
              <w:rPr>
                <w:color w:val="475569"/>
                <w:sz w:val="17"/>
              </w:rPr>
              <w:t>Safety Guarantee</w:t>
              <w:br/>
            </w:r>
            <w:r>
              <w:rPr>
                <w:b/>
                <w:color w:val="1E3A8A"/>
                <w:sz w:val="19"/>
              </w:rPr>
              <w:t>100% Physics Capped</w:t>
            </w:r>
          </w:p>
        </w:tc>
      </w:tr>
    </w:tbl>
    <w:p>
      <w:pPr>
        <w:spacing w:after="240"/>
      </w:pPr>
    </w:p>
    <w:p>
      <w:pPr>
        <w:pStyle w:val="Heading1"/>
      </w:pPr>
      <w:r>
        <w:rPr>
          <w:b/>
          <w:color w:val="1E3A8A"/>
          <w:sz w:val="32"/>
        </w:rPr>
        <w:t>1. The Core Problem: The Industrial "Tower of Babel"</w:t>
      </w:r>
    </w:p>
    <w:p>
      <w:r>
        <w:t>Imagine five of India's largest public sector energy companies—</w:t>
      </w:r>
      <w:r>
        <w:rPr>
          <w:b/>
        </w:rPr>
        <w:t>ONGC, IOCL, GAIL, HPCL, and BPCL</w:t>
      </w:r>
      <w:r>
        <w:t>—operating massive offshore oil platforms, high-pressure gas pipelines, and crude refineries across the country. Every single day, all five companies purchase millions of identical engineering spare parts: ball valves, seamless steel pipes, flanges, spiral-wound gaskets, and electrical cables.</w:t>
        <w:br/>
        <w:br/>
        <w:t xml:space="preserve">However, because each company has used its own independent SAP or Oracle ERP system for decades, they describe the </w:t>
      </w:r>
      <w:r>
        <w:rPr>
          <w:b/>
        </w:rPr>
        <w:t>exact same physical item</w:t>
      </w:r>
      <w:r>
        <w:t xml:space="preserve"> in completely different, highly abbreviated dialects: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160"/>
            <w:shd w:fill="1E3A8A"/>
            <w:tcMar>
              <w:top w:w="140" w:type="dxa"/>
              <w:bottom w:w="140" w:type="dxa"/>
              <w:left w:w="140" w:type="dxa"/>
              <w:right w:w="140" w:type="dxa"/>
            </w:tcMar>
          </w:tcPr>
          <w:p>
            <w:pPr>
              <w:spacing w:before="40" w:after="40"/>
              <w:jc w:val="left"/>
            </w:pPr>
            <w:r>
              <w:rPr>
                <w:b/>
                <w:color w:val="FFFFFF"/>
                <w:sz w:val="20"/>
              </w:rPr>
              <w:t>Enterprise (CPSE)</w:t>
            </w:r>
          </w:p>
        </w:tc>
        <w:tc>
          <w:tcPr>
            <w:tcW w:type="dxa" w:w="4032"/>
            <w:shd w:fill="1E3A8A"/>
            <w:tcMar>
              <w:top w:w="140" w:type="dxa"/>
              <w:bottom w:w="140" w:type="dxa"/>
              <w:left w:w="140" w:type="dxa"/>
              <w:right w:w="140" w:type="dxa"/>
            </w:tcMar>
          </w:tcPr>
          <w:p>
            <w:pPr>
              <w:spacing w:before="40" w:after="40"/>
              <w:jc w:val="left"/>
            </w:pPr>
            <w:r>
              <w:rPr>
                <w:b/>
                <w:color w:val="FFFFFF"/>
                <w:sz w:val="20"/>
              </w:rPr>
              <w:t>How They Type It in Their ERP</w:t>
            </w:r>
          </w:p>
        </w:tc>
        <w:tc>
          <w:tcPr>
            <w:tcW w:type="dxa" w:w="3168"/>
            <w:shd w:fill="1E3A8A"/>
            <w:tcMar>
              <w:top w:w="140" w:type="dxa"/>
              <w:bottom w:w="140" w:type="dxa"/>
              <w:left w:w="140" w:type="dxa"/>
              <w:right w:w="140" w:type="dxa"/>
            </w:tcMar>
          </w:tcPr>
          <w:p>
            <w:pPr>
              <w:spacing w:before="40" w:after="40"/>
              <w:jc w:val="left"/>
            </w:pPr>
            <w:r>
              <w:rPr>
                <w:b/>
                <w:color w:val="FFFFFF"/>
                <w:sz w:val="20"/>
              </w:rPr>
              <w:t>What the Item Actually Is</w:t>
            </w:r>
          </w:p>
        </w:tc>
      </w:tr>
      <w:tr>
        <w:tc>
          <w:tcPr>
            <w:tcW w:type="dxa" w:w="2160"/>
            <w:shd w:fill="FFFFFF"/>
            <w:tcMar>
              <w:top w:w="100" w:type="dxa"/>
              <w:bottom w:w="100" w:type="dxa"/>
              <w:left w:w="140" w:type="dxa"/>
              <w:right w:w="140" w:type="dxa"/>
            </w:tcMar>
          </w:tcPr>
          <w:p>
            <w:pPr>
              <w:spacing w:before="40" w:after="40"/>
            </w:pPr>
            <w:r>
              <w:rPr>
                <w:b/>
                <w:color w:val="0F172A"/>
                <w:sz w:val="19"/>
              </w:rPr>
              <w:t>ONGC</w:t>
            </w:r>
          </w:p>
        </w:tc>
        <w:tc>
          <w:tcPr>
            <w:tcW w:type="dxa" w:w="4032"/>
            <w:shd w:fill="FFFFFF"/>
            <w:tcMar>
              <w:top w:w="100" w:type="dxa"/>
              <w:bottom w:w="100" w:type="dxa"/>
              <w:left w:w="140" w:type="dxa"/>
              <w:right w:w="140" w:type="dxa"/>
            </w:tcMar>
          </w:tcPr>
          <w:p>
            <w:pPr>
              <w:spacing w:before="40" w:after="40"/>
            </w:pPr>
            <w:r>
              <w:rPr>
                <w:b w:val="0"/>
                <w:color w:val="0F172A"/>
                <w:sz w:val="19"/>
              </w:rPr>
              <w:t>VLV BL 2IN 150# RF A105</w:t>
            </w:r>
          </w:p>
        </w:tc>
        <w:tc>
          <w:tcPr>
            <w:tcW w:type="dxa" w:w="3168"/>
            <w:shd w:fill="FFFFFF"/>
            <w:tcMar>
              <w:top w:w="100" w:type="dxa"/>
              <w:bottom w:w="100" w:type="dxa"/>
              <w:left w:w="140" w:type="dxa"/>
              <w:right w:w="140" w:type="dxa"/>
            </w:tcMar>
          </w:tcPr>
          <w:p>
            <w:pPr>
              <w:spacing w:before="40" w:after="40"/>
            </w:pPr>
            <w:r>
              <w:rPr>
                <w:b w:val="0"/>
                <w:color w:val="0F172A"/>
                <w:sz w:val="19"/>
              </w:rPr>
              <w:t>2" Class 150 Ball Valve (Carbon Steel)</w:t>
            </w:r>
          </w:p>
        </w:tc>
      </w:tr>
      <w:tr>
        <w:tc>
          <w:tcPr>
            <w:tcW w:type="dxa" w:w="2160"/>
            <w:shd w:fill="F8FAFC"/>
            <w:tcMar>
              <w:top w:w="100" w:type="dxa"/>
              <w:bottom w:w="100" w:type="dxa"/>
              <w:left w:w="140" w:type="dxa"/>
              <w:right w:w="140" w:type="dxa"/>
            </w:tcMar>
          </w:tcPr>
          <w:p>
            <w:pPr>
              <w:spacing w:before="40" w:after="40"/>
            </w:pPr>
            <w:r>
              <w:rPr>
                <w:b/>
                <w:color w:val="0F172A"/>
                <w:sz w:val="19"/>
              </w:rPr>
              <w:t>IOCL</w:t>
            </w:r>
          </w:p>
        </w:tc>
        <w:tc>
          <w:tcPr>
            <w:tcW w:type="dxa" w:w="4032"/>
            <w:shd w:fill="F8FAFC"/>
            <w:tcMar>
              <w:top w:w="100" w:type="dxa"/>
              <w:bottom w:w="100" w:type="dxa"/>
              <w:left w:w="140" w:type="dxa"/>
              <w:right w:w="140" w:type="dxa"/>
            </w:tcMar>
          </w:tcPr>
          <w:p>
            <w:pPr>
              <w:spacing w:before="40" w:after="40"/>
            </w:pPr>
            <w:r>
              <w:rPr>
                <w:b w:val="0"/>
                <w:color w:val="0F172A"/>
                <w:sz w:val="19"/>
              </w:rPr>
              <w:t>BALL VALVE 2" 150 LB WCB CS FLG</w:t>
            </w:r>
          </w:p>
        </w:tc>
        <w:tc>
          <w:tcPr>
            <w:tcW w:type="dxa" w:w="3168"/>
            <w:shd w:fill="F8FAFC"/>
            <w:tcMar>
              <w:top w:w="100" w:type="dxa"/>
              <w:bottom w:w="100" w:type="dxa"/>
              <w:left w:w="140" w:type="dxa"/>
              <w:right w:w="140" w:type="dxa"/>
            </w:tcMar>
          </w:tcPr>
          <w:p>
            <w:pPr>
              <w:spacing w:before="40" w:after="40"/>
            </w:pPr>
            <w:r>
              <w:rPr>
                <w:b w:val="0"/>
                <w:color w:val="0F172A"/>
                <w:sz w:val="19"/>
              </w:rPr>
              <w:t>2" Class 150 Ball Valve (Carbon Steel)</w:t>
            </w:r>
          </w:p>
        </w:tc>
      </w:tr>
      <w:tr>
        <w:tc>
          <w:tcPr>
            <w:tcW w:type="dxa" w:w="2160"/>
            <w:shd w:fill="FFFFFF"/>
            <w:tcMar>
              <w:top w:w="100" w:type="dxa"/>
              <w:bottom w:w="100" w:type="dxa"/>
              <w:left w:w="140" w:type="dxa"/>
              <w:right w:w="140" w:type="dxa"/>
            </w:tcMar>
          </w:tcPr>
          <w:p>
            <w:pPr>
              <w:spacing w:before="40" w:after="40"/>
            </w:pPr>
            <w:r>
              <w:rPr>
                <w:b/>
                <w:color w:val="0F172A"/>
                <w:sz w:val="19"/>
              </w:rPr>
              <w:t>GAIL</w:t>
            </w:r>
          </w:p>
        </w:tc>
        <w:tc>
          <w:tcPr>
            <w:tcW w:type="dxa" w:w="4032"/>
            <w:shd w:fill="FFFFFF"/>
            <w:tcMar>
              <w:top w:w="100" w:type="dxa"/>
              <w:bottom w:w="100" w:type="dxa"/>
              <w:left w:w="140" w:type="dxa"/>
              <w:right w:w="140" w:type="dxa"/>
            </w:tcMar>
          </w:tcPr>
          <w:p>
            <w:pPr>
              <w:spacing w:before="40" w:after="40"/>
            </w:pPr>
            <w:r>
              <w:rPr>
                <w:b w:val="0"/>
                <w:color w:val="0F172A"/>
                <w:sz w:val="19"/>
              </w:rPr>
              <w:t>VALVE, 2 INCH, CLASS 150, FLANGED, ASTM A105</w:t>
            </w:r>
          </w:p>
        </w:tc>
        <w:tc>
          <w:tcPr>
            <w:tcW w:type="dxa" w:w="3168"/>
            <w:shd w:fill="FFFFFF"/>
            <w:tcMar>
              <w:top w:w="100" w:type="dxa"/>
              <w:bottom w:w="100" w:type="dxa"/>
              <w:left w:w="140" w:type="dxa"/>
              <w:right w:w="140" w:type="dxa"/>
            </w:tcMar>
          </w:tcPr>
          <w:p>
            <w:pPr>
              <w:spacing w:before="40" w:after="40"/>
            </w:pPr>
            <w:r>
              <w:rPr>
                <w:b w:val="0"/>
                <w:color w:val="0F172A"/>
                <w:sz w:val="19"/>
              </w:rPr>
              <w:t>2" Class 150 Ball Valve (Carbon Steel)</w:t>
            </w:r>
          </w:p>
        </w:tc>
      </w:tr>
      <w:tr>
        <w:tc>
          <w:tcPr>
            <w:tcW w:type="dxa" w:w="2160"/>
            <w:shd w:fill="F8FAFC"/>
            <w:tcMar>
              <w:top w:w="100" w:type="dxa"/>
              <w:bottom w:w="100" w:type="dxa"/>
              <w:left w:w="140" w:type="dxa"/>
              <w:right w:w="140" w:type="dxa"/>
            </w:tcMar>
          </w:tcPr>
          <w:p>
            <w:pPr>
              <w:spacing w:before="40" w:after="40"/>
            </w:pPr>
            <w:r>
              <w:rPr>
                <w:b/>
                <w:color w:val="0F172A"/>
                <w:sz w:val="19"/>
              </w:rPr>
              <w:t>HPCL</w:t>
            </w:r>
          </w:p>
        </w:tc>
        <w:tc>
          <w:tcPr>
            <w:tcW w:type="dxa" w:w="4032"/>
            <w:shd w:fill="F8FAFC"/>
            <w:tcMar>
              <w:top w:w="100" w:type="dxa"/>
              <w:bottom w:w="100" w:type="dxa"/>
              <w:left w:w="140" w:type="dxa"/>
              <w:right w:w="140" w:type="dxa"/>
            </w:tcMar>
          </w:tcPr>
          <w:p>
            <w:pPr>
              <w:spacing w:before="40" w:after="40"/>
            </w:pPr>
            <w:r>
              <w:rPr>
                <w:b w:val="0"/>
                <w:color w:val="0F172A"/>
                <w:sz w:val="19"/>
              </w:rPr>
              <w:t>2" 150# RF BALL VLV WCB CS API6D</w:t>
            </w:r>
          </w:p>
        </w:tc>
        <w:tc>
          <w:tcPr>
            <w:tcW w:type="dxa" w:w="3168"/>
            <w:shd w:fill="F8FAFC"/>
            <w:tcMar>
              <w:top w:w="100" w:type="dxa"/>
              <w:bottom w:w="100" w:type="dxa"/>
              <w:left w:w="140" w:type="dxa"/>
              <w:right w:w="140" w:type="dxa"/>
            </w:tcMar>
          </w:tcPr>
          <w:p>
            <w:pPr>
              <w:spacing w:before="40" w:after="40"/>
            </w:pPr>
            <w:r>
              <w:rPr>
                <w:b w:val="0"/>
                <w:color w:val="0F172A"/>
                <w:sz w:val="19"/>
              </w:rPr>
              <w:t>2" Class 150 Ball Valve (Carbon Steel)</w:t>
            </w:r>
          </w:p>
        </w:tc>
      </w:tr>
      <w:tr>
        <w:tc>
          <w:tcPr>
            <w:tcW w:type="dxa" w:w="2160"/>
            <w:shd w:fill="FFFFFF"/>
            <w:tcMar>
              <w:top w:w="100" w:type="dxa"/>
              <w:bottom w:w="100" w:type="dxa"/>
              <w:left w:w="140" w:type="dxa"/>
              <w:right w:w="140" w:type="dxa"/>
            </w:tcMar>
          </w:tcPr>
          <w:p>
            <w:pPr>
              <w:spacing w:before="40" w:after="40"/>
            </w:pPr>
            <w:r>
              <w:rPr>
                <w:b/>
                <w:color w:val="0F172A"/>
                <w:sz w:val="19"/>
              </w:rPr>
              <w:t>BPCL</w:t>
            </w:r>
          </w:p>
        </w:tc>
        <w:tc>
          <w:tcPr>
            <w:tcW w:type="dxa" w:w="4032"/>
            <w:shd w:fill="FFFFFF"/>
            <w:tcMar>
              <w:top w:w="100" w:type="dxa"/>
              <w:bottom w:w="100" w:type="dxa"/>
              <w:left w:w="140" w:type="dxa"/>
              <w:right w:w="140" w:type="dxa"/>
            </w:tcMar>
          </w:tcPr>
          <w:p>
            <w:pPr>
              <w:spacing w:before="40" w:after="40"/>
            </w:pPr>
            <w:r>
              <w:rPr>
                <w:b w:val="0"/>
                <w:color w:val="0F172A"/>
                <w:sz w:val="19"/>
              </w:rPr>
              <w:t>BALL VLV CL150 2IN RF WCB BODY</w:t>
            </w:r>
          </w:p>
        </w:tc>
        <w:tc>
          <w:tcPr>
            <w:tcW w:type="dxa" w:w="3168"/>
            <w:shd w:fill="FFFFFF"/>
            <w:tcMar>
              <w:top w:w="100" w:type="dxa"/>
              <w:bottom w:w="100" w:type="dxa"/>
              <w:left w:w="140" w:type="dxa"/>
              <w:right w:w="140" w:type="dxa"/>
            </w:tcMar>
          </w:tcPr>
          <w:p>
            <w:pPr>
              <w:spacing w:before="40" w:after="40"/>
            </w:pPr>
            <w:r>
              <w:rPr>
                <w:b w:val="0"/>
                <w:color w:val="0F172A"/>
                <w:sz w:val="19"/>
              </w:rPr>
              <w:t>2" Class 150 Ball Valve (Carbon Steel)</w:t>
            </w:r>
          </w:p>
        </w:tc>
      </w:tr>
    </w:tbl>
    <w:p>
      <w:pPr>
        <w:spacing w:after="120"/>
      </w:pPr>
    </w:p>
    <w:p>
      <w:r>
        <w:t>To a human inventory manager reading these messy catalogs across 500,000 line items, these look like five totally different products. As a result:</w:t>
        <w:br/>
      </w:r>
    </w:p>
    <w:p>
      <w:pPr>
        <w:pStyle w:val="ListBullet"/>
        <w:spacing w:after="60"/>
      </w:pPr>
      <w:r>
        <w:rPr>
          <w:b/>
          <w:color w:val="1E3A8A"/>
        </w:rPr>
        <w:t xml:space="preserve">Massive Duplicate Purchases: </w:t>
      </w:r>
      <w:r>
        <w:t>One CPSE orders new valves from overseas while another CPSE has 500 identical valves sitting idle in a warehouse 40 km away.</w:t>
      </w:r>
    </w:p>
    <w:p>
      <w:pPr>
        <w:pStyle w:val="ListBullet"/>
        <w:spacing w:after="60"/>
      </w:pPr>
      <w:r>
        <w:rPr>
          <w:b/>
          <w:color w:val="1E3A8A"/>
        </w:rPr>
        <w:t xml:space="preserve">Lost Volume Discounts: </w:t>
      </w:r>
      <w:r>
        <w:t>Because purchases are fragmented across 5 CPSEs, India misses out on bulk procurement bargaining power with global manufacturers.</w:t>
      </w:r>
    </w:p>
    <w:p>
      <w:pPr>
        <w:pStyle w:val="ListBullet"/>
        <w:spacing w:after="60"/>
      </w:pPr>
      <w:r>
        <w:rPr>
          <w:b/>
          <w:color w:val="1E3A8A"/>
        </w:rPr>
        <w:t xml:space="preserve">Emergency Shutdown Risks: </w:t>
      </w:r>
      <w:r>
        <w:t>When a refinery pipe bursts, plants take 3 weeks to procure parts instead of borrowing an identical spare from a neighbouring PSU.</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36" w:space="0" w:color="3B82F6"/>
              <w:top w:val="none"/>
              <w:right w:val="none"/>
              <w:bottom w:val="none"/>
            </w:tcBorders>
          </w:tcPr>
          <w:p>
            <w:pPr>
              <w:spacing w:before="40" w:after="80"/>
            </w:pPr>
            <w:r>
              <w:rPr>
                <w:b/>
                <w:color w:val="1E3A8A"/>
                <w:sz w:val="21"/>
              </w:rPr>
              <w:t xml:space="preserve">📌 THE PROBLEM IN A NUTSHELL: </w:t>
            </w:r>
            <w:r>
              <w:rPr>
                <w:i w:val="0"/>
                <w:color w:val="0F172A"/>
                <w:sz w:val="20"/>
              </w:rPr>
              <w:t>Why simple keyword search (Ctrl+F) fails: 'VLV' does not match 'VALVE', '2IN' does not match '2"', and 'WCB' does not match 'A105'. Meanwhile, standard Large Language Models (like ChatGPT) can hallucinate and mistakenly merge incompatible pressure ratings (e.g. 150# with 600#), which would create fatal explosion hazards in an oil refinery. This is why NUMM requires a specialized Neuro-Symbolic AI architecture.</w:t>
            </w:r>
          </w:p>
        </w:tc>
      </w:tr>
    </w:tbl>
    <w:p>
      <w:pPr>
        <w:spacing w:after="80"/>
      </w:pPr>
    </w:p>
    <w:p>
      <w:pPr>
        <w:pStyle w:val="Heading1"/>
      </w:pPr>
      <w:r>
        <w:rPr>
          <w:b/>
          <w:color w:val="1E3A8A"/>
          <w:sz w:val="32"/>
        </w:rPr>
        <w:t>2. The 5-Stage AI Assembly Line</w:t>
      </w:r>
    </w:p>
    <w:p>
      <w:r>
        <w:t xml:space="preserve">The NUMM AI does not treat material harmonization as a single black box. Instead, it operates like an </w:t>
      </w:r>
      <w:r>
        <w:rPr>
          <w:b/>
        </w:rPr>
        <w:t>ultra-precise 5-stage automated assembly line</w:t>
      </w:r>
      <w:r>
        <w:t>, blending modern neural artificial intelligence with deterministic engineering physics:</w:t>
      </w:r>
    </w:p>
    <w:p>
      <w:pPr>
        <w:pStyle w:val="Heading2"/>
      </w:pPr>
      <w:r>
        <w:rPr>
          <w:color w:val="4338CA"/>
        </w:rPr>
        <w:t>Stage 1: The Technical Translator (Text Normalization)</w:t>
      </w:r>
    </w:p>
    <w:p>
      <w:r>
        <w:t>Raw ERP text is full of chaotic industry shortcuts. Stage 1 acts as a universal translator:</w:t>
        <w:br/>
      </w:r>
    </w:p>
    <w:p>
      <w:pPr>
        <w:pStyle w:val="ListBullet"/>
        <w:spacing w:after="40"/>
      </w:pPr>
      <w:r>
        <w:rPr>
          <w:b/>
        </w:rPr>
        <w:t xml:space="preserve">Abbreviation Expansion: </w:t>
      </w:r>
      <w:r>
        <w:t>Translates 'VLV' → 'VALVE', 'CS' → 'CARBON STEEL', 'RF' → 'RAISED FACE', 'SMLS' → 'SEAMLESS'.</w:t>
      </w:r>
    </w:p>
    <w:p>
      <w:pPr>
        <w:pStyle w:val="ListBullet"/>
        <w:spacing w:after="40"/>
      </w:pPr>
      <w:r>
        <w:rPr>
          <w:b/>
        </w:rPr>
        <w:t xml:space="preserve">Unit of Measure Standardization: </w:t>
      </w:r>
      <w:r>
        <w:t>Converts '2IN', '2"', '2 INCH', '50MM', and 'DN50' into a single standard representation: '2 INCH'.</w:t>
      </w:r>
    </w:p>
    <w:p>
      <w:pPr>
        <w:pStyle w:val="ListBullet"/>
        <w:spacing w:after="40"/>
      </w:pPr>
      <w:r>
        <w:rPr>
          <w:b/>
        </w:rPr>
        <w:t xml:space="preserve">Special Character Cleaning: </w:t>
      </w:r>
      <w:r>
        <w:t>Removes erratic slashes, hashtags, and duplicate punctuation while preserving engineering dimensions.</w:t>
      </w:r>
    </w:p>
    <w:p>
      <w:pPr>
        <w:pStyle w:val="Heading2"/>
      </w:pPr>
      <w:r>
        <w:rPr>
          <w:color w:val="4338CA"/>
        </w:rPr>
        <w:t>Stage 2: The Spec Detective (Deterministic Attribute Extraction)</w:t>
      </w:r>
    </w:p>
    <w:p>
      <w:r>
        <w:t>Before applying any vector math, the AI must understand the physical anatomy of the item. Stage 2 uses high-speed deterministic regex engines to dissect the sentence into structured engineering slots:</w:t>
        <w:br/>
      </w:r>
    </w:p>
    <w:p>
      <w:pPr>
        <w:pStyle w:val="ListBullet"/>
        <w:spacing w:after="40"/>
      </w:pPr>
      <w:r>
        <w:rPr>
          <w:b/>
        </w:rPr>
        <w:t xml:space="preserve">Noun &amp; Modifier: </w:t>
      </w:r>
      <w:r>
        <w:t>Identifies the core physical object (e.g., Noun = 'VALVE', Modifier = 'BALL').</w:t>
      </w:r>
    </w:p>
    <w:p>
      <w:pPr>
        <w:pStyle w:val="ListBullet"/>
        <w:spacing w:after="40"/>
      </w:pPr>
      <w:r>
        <w:rPr>
          <w:b/>
        </w:rPr>
        <w:t xml:space="preserve">Nominal Dimensions: </w:t>
      </w:r>
      <w:r>
        <w:t>Extracts pipe diameters, bolt lengths, or wall thicknesses (e.g., '2 INCH', 'SCH 40').</w:t>
      </w:r>
    </w:p>
    <w:p>
      <w:pPr>
        <w:pStyle w:val="ListBullet"/>
        <w:spacing w:after="40"/>
      </w:pPr>
      <w:r>
        <w:rPr>
          <w:b/>
        </w:rPr>
        <w:t xml:space="preserve">Pressure / Voltage Rating: </w:t>
      </w:r>
      <w:r>
        <w:t>Extracts mechanical and electrical thresholds (e.g., 'Class 150', '300#', '11 KV').</w:t>
      </w:r>
    </w:p>
    <w:p>
      <w:pPr>
        <w:pStyle w:val="ListBullet"/>
        <w:spacing w:after="40"/>
      </w:pPr>
      <w:r>
        <w:rPr>
          <w:b/>
        </w:rPr>
        <w:t xml:space="preserve">Material Grade &amp; Standard: </w:t>
      </w:r>
      <w:r>
        <w:t>Extracts metallurgical specifications (e.g., 'ASTM A105', 'WCB', 'API 6D', 'ASME B16.5').</w:t>
      </w:r>
    </w:p>
    <w:p>
      <w:pPr>
        <w:pStyle w:val="ListBullet"/>
        <w:spacing w:after="40"/>
      </w:pPr>
      <w:r>
        <w:rPr>
          <w:b/>
        </w:rPr>
        <w:t xml:space="preserve">UNSPSC Taxonomy Code: </w:t>
      </w:r>
      <w:r>
        <w:t>Automatically maps the item to the 8-digit United Nations Standard Products and Services Code (e.g., 40141607 for Ball Valves).</w:t>
      </w:r>
    </w:p>
    <w:p>
      <w:pPr>
        <w:pStyle w:val="Heading2"/>
      </w:pPr>
      <w:r>
        <w:rPr>
          <w:color w:val="4338CA"/>
        </w:rPr>
        <w:t>Stage 3: The Vector Brain (Dense Embeddings &amp; FAISS Indexing)</w:t>
      </w:r>
    </w:p>
    <w:p>
      <w:r>
        <w:t xml:space="preserve">Computers cannot understand the concept of a 'gate valve' from letters alone. Stage 3 translates the cleaned description into a </w:t>
      </w:r>
      <w:r>
        <w:rPr>
          <w:b/>
        </w:rPr>
        <w:t>mathematical vector (384 numerical coordinates)</w:t>
      </w:r>
      <w:r>
        <w:t xml:space="preserve"> using our custom fine-tuned neural network (</w:t>
      </w:r>
      <w:r>
        <w:rPr>
          <w:b/>
        </w:rPr>
        <w:t>custom-material-embedder</w:t>
      </w:r>
      <w:r>
        <w:t>).</w:t>
        <w:br/>
        <w:br/>
        <w:t xml:space="preserve">In this 384-dimensional mathematical universe, materials with similar engineering purposes naturally cluster close together. To search through hundreds of thousands of items instantaneously, NUMM uses </w:t>
      </w:r>
      <w:r>
        <w:rPr>
          <w:b/>
        </w:rPr>
        <w:t>FAISS (Facebook AI Similarity Search)</w:t>
      </w:r>
      <w:r>
        <w:t xml:space="preserve">, an industrial vector index that retrieves the top 10 most relevant candidates in less than </w:t>
      </w:r>
      <w:r>
        <w:rPr>
          <w:b/>
        </w:rPr>
        <w:t>3 milliseconds</w:t>
      </w:r>
      <w:r>
        <w:t xml:space="preserve"> without needing any external cloud API.</w:t>
      </w:r>
    </w:p>
    <w:p>
      <w:pPr>
        <w:pStyle w:val="Heading2"/>
      </w:pPr>
      <w:r>
        <w:rPr>
          <w:color w:val="4338CA"/>
        </w:rPr>
        <w:t>Stage 4: The 4-Judge Tribunal (Hybrid Multi-Signal Scoring)</w:t>
      </w:r>
    </w:p>
    <w:p>
      <w:r>
        <w:t>Rather than relying on a single AI score, NUMM uses a 4-judge tribunal. Each candidate must prove its match across four distinct signals, combined into an overall weighted confidence score:</w:t>
      </w:r>
    </w:p>
    <w:tbl>
      <w:tblPr>
        <w:tblW w:type="auto" w:w="0"/>
        <w:jc w:val="center"/>
        <w:tblLayout w:type="fixed"/>
        <w:tblLook w:firstColumn="1" w:firstRow="1" w:lastColumn="0" w:lastRow="0" w:noHBand="0" w:noVBand="1" w:val="04A0"/>
      </w:tblPr>
      <w:tblGrid>
        <w:gridCol w:w="9360"/>
      </w:tblGrid>
      <w:tr>
        <w:tc>
          <w:tcPr>
            <w:tcW w:type="dxa" w:w="9360"/>
            <w:shd w:fill="FAF5FF"/>
            <w:tcMar>
              <w:top w:w="140" w:type="dxa"/>
              <w:bottom w:w="140" w:type="dxa"/>
              <w:left w:w="200" w:type="dxa"/>
              <w:right w:w="180" w:type="dxa"/>
            </w:tcMar>
            <w:tcBorders>
              <w:left w:val="single" w:sz="36" w:space="0" w:color="8B5CF6"/>
              <w:top w:val="none"/>
              <w:right w:val="none"/>
              <w:bottom w:val="none"/>
            </w:tcBorders>
          </w:tcPr>
          <w:p>
            <w:pPr>
              <w:spacing w:before="40" w:after="80"/>
            </w:pPr>
            <w:r>
              <w:rPr>
                <w:b/>
                <w:color w:val="1E3A8A"/>
                <w:sz w:val="21"/>
              </w:rPr>
              <w:t xml:space="preserve">📌 THE 4-JUDGE SCORING FORMULA: </w:t>
            </w:r>
            <w:r>
              <w:rPr>
                <w:i w:val="0"/>
                <w:color w:val="0F172A"/>
                <w:sz w:val="20"/>
              </w:rPr>
              <w:t>Overall Confidence Score = (0.35 × Semantic Cosine) + (0.25 × Lexical Jaccard) + (0.30 × Attribute Parity) + (0.10 × Unit Compatibility)</w:t>
              <w:br/>
              <w:br/>
              <w:t>• Judge 1 (Semantic Cosine - 35%): Measures deep conceptual similarity between AI vectors.</w:t>
              <w:br/>
              <w:t>• Judge 2 (Lexical Jaccard - 25%): Checks word token overlap and character n-gram agreement.</w:t>
              <w:br/>
              <w:t>• Judge 3 (Attribute Parity - 30%): Verifies exact matches across extracted physical specs (Size, Rating, Material).</w:t>
              <w:br/>
              <w:t>• Judge 4 (Unit Compatibility - 10%): Confirms whether inventory units can be converted (e.g., METER vs LENGTH vs NOS).</w:t>
            </w:r>
          </w:p>
        </w:tc>
      </w:tr>
    </w:tbl>
    <w:p>
      <w:pPr>
        <w:spacing w:after="80"/>
      </w:pPr>
    </w:p>
    <w:p>
      <w:pPr>
        <w:pStyle w:val="Heading2"/>
      </w:pPr>
      <w:r>
        <w:rPr>
          <w:color w:val="4338CA"/>
        </w:rPr>
        <w:t>Stage 5: The Safety Bouncer (Deterministic Physics Blocker)</w:t>
      </w:r>
    </w:p>
    <w:p>
      <w:r>
        <w:t xml:space="preserve">This is the single most important safety innovation in NUMM. In high-pressure energy facilities, </w:t>
      </w:r>
      <w:r>
        <w:rPr>
          <w:b/>
        </w:rPr>
        <w:t>a 99% text similarity can still kill people</w:t>
      </w:r>
      <w:r>
        <w:t xml:space="preserve"> if critical safety parameters differ:</w:t>
        <w:br/>
      </w:r>
    </w:p>
    <w:p>
      <w:pPr>
        <w:pStyle w:val="ListBullet"/>
        <w:spacing w:after="40"/>
      </w:pPr>
      <w:r>
        <w:rPr>
          <w:b/>
        </w:rPr>
        <w:t xml:space="preserve">Pressure Contradiction: </w:t>
      </w:r>
      <w:r>
        <w:t>A Class 150 valve (rated for 20 bar) must NEVER be merged with a Class 600 valve (rated for 100 bar). If installed on a 600# line, it will rupture immediately.</w:t>
      </w:r>
    </w:p>
    <w:p>
      <w:pPr>
        <w:pStyle w:val="ListBullet"/>
        <w:spacing w:after="40"/>
      </w:pPr>
      <w:r>
        <w:rPr>
          <w:b/>
        </w:rPr>
        <w:t xml:space="preserve">Metallurgy Contradiction: </w:t>
      </w:r>
      <w:r>
        <w:t>Carbon Steel (ASTM A105) must NEVER be merged with Stainless Steel (SS 316). Using carbon steel in sour, corrosive gas leads to rapid acid corrosion and pipeline blowout.</w:t>
      </w:r>
    </w:p>
    <w:p>
      <w:r>
        <w:t xml:space="preserve">When Stage 5 detects a contradiction in pressure, metallurgy, or size, it </w:t>
      </w:r>
      <w:r>
        <w:rPr>
          <w:b/>
        </w:rPr>
        <w:t>instantly slashes the confidence score by 25% and hard-caps it at ≤ 0.60</w:t>
      </w:r>
      <w:r>
        <w:t xml:space="preserve">. This completely prevents automatic merging and displays a prominent red </w:t>
      </w:r>
      <w:r>
        <w:rPr>
          <w:b/>
        </w:rPr>
        <w:t>Deterministic Safety Hazard</w:t>
      </w:r>
      <w:r>
        <w:t xml:space="preserve"> warning for human engineer inspection.</w:t>
      </w:r>
    </w:p>
    <w:p>
      <w:r>
        <w:br w:type="page"/>
      </w:r>
    </w:p>
    <w:p>
      <w:pPr>
        <w:pStyle w:val="Heading1"/>
      </w:pPr>
      <w:r>
        <w:rPr>
          <w:b/>
          <w:color w:val="1E3A8A"/>
          <w:sz w:val="32"/>
        </w:rPr>
        <w:t>3. System Architecture Infographic</w:t>
      </w:r>
    </w:p>
    <w:p>
      <w:r>
        <w:t>The following diagram illustrates the complete end-to-end flow of raw CPSE data through the ingestion adapters, normalization engine, vector retrieval index, multi-signal scoring arbiter, and governance dashboard:</w:t>
      </w:r>
    </w:p>
    <w:p>
      <w:pPr>
        <w:spacing w:before="160" w:after="80"/>
        <w:jc w:val="center"/>
      </w:pPr>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ai_architecture_diagram.jpg"/>
                    <pic:cNvPicPr/>
                  </pic:nvPicPr>
                  <pic:blipFill>
                    <a:blip r:embed="rId9"/>
                    <a:stretch>
                      <a:fillRect/>
                    </a:stretch>
                  </pic:blipFill>
                  <pic:spPr>
                    <a:xfrm>
                      <a:off x="0" y="0"/>
                      <a:ext cx="5943600" cy="3317358"/>
                    </a:xfrm>
                    <a:prstGeom prst="rect"/>
                  </pic:spPr>
                </pic:pic>
              </a:graphicData>
            </a:graphic>
          </wp:inline>
        </w:drawing>
      </w:r>
    </w:p>
    <w:p>
      <w:pPr>
        <w:spacing w:after="280"/>
        <w:jc w:val="center"/>
      </w:pPr>
      <w:r>
        <w:rPr>
          <w:i/>
          <w:color w:val="475569"/>
          <w:sz w:val="18"/>
        </w:rPr>
        <w:t>Figure 1: Complete 5-Stage Neuro-Symbolic AI Architecture of the NUMM Platform</w:t>
      </w:r>
    </w:p>
    <w:p>
      <w:pPr>
        <w:pStyle w:val="Heading1"/>
      </w:pPr>
      <w:r>
        <w:rPr>
          <w:b/>
          <w:color w:val="1E3A8A"/>
          <w:sz w:val="32"/>
        </w:rPr>
        <w:t>4. A Real Industrial Example: From Messy Text to Unified Master</w:t>
      </w:r>
    </w:p>
    <w:p>
      <w:r>
        <w:t>Let us follow two real records from ONGC and IOCL as they travel step-by-step through the NUMM AI assembly line:</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1E3A8A"/>
            <w:tcMar>
              <w:top w:w="140" w:type="dxa"/>
              <w:bottom w:w="140" w:type="dxa"/>
              <w:left w:w="140" w:type="dxa"/>
              <w:right w:w="140" w:type="dxa"/>
            </w:tcMar>
          </w:tcPr>
          <w:p>
            <w:pPr>
              <w:spacing w:before="40" w:after="40"/>
              <w:jc w:val="left"/>
            </w:pPr>
            <w:r>
              <w:rPr>
                <w:b/>
                <w:color w:val="FFFFFF"/>
                <w:sz w:val="20"/>
              </w:rPr>
              <w:t>Pipeline Stage</w:t>
            </w:r>
          </w:p>
        </w:tc>
        <w:tc>
          <w:tcPr>
            <w:tcW w:type="dxa" w:w="3384"/>
            <w:shd w:fill="1E3A8A"/>
            <w:tcMar>
              <w:top w:w="140" w:type="dxa"/>
              <w:bottom w:w="140" w:type="dxa"/>
              <w:left w:w="140" w:type="dxa"/>
              <w:right w:w="140" w:type="dxa"/>
            </w:tcMar>
          </w:tcPr>
          <w:p>
            <w:pPr>
              <w:spacing w:before="40" w:after="40"/>
              <w:jc w:val="left"/>
            </w:pPr>
            <w:r>
              <w:rPr>
                <w:b/>
                <w:color w:val="FFFFFF"/>
                <w:sz w:val="20"/>
              </w:rPr>
              <w:t>Source Record A (ONGC)</w:t>
            </w:r>
          </w:p>
        </w:tc>
        <w:tc>
          <w:tcPr>
            <w:tcW w:type="dxa" w:w="3384"/>
            <w:shd w:fill="1E3A8A"/>
            <w:tcMar>
              <w:top w:w="140" w:type="dxa"/>
              <w:bottom w:w="140" w:type="dxa"/>
              <w:left w:w="140" w:type="dxa"/>
              <w:right w:w="140" w:type="dxa"/>
            </w:tcMar>
          </w:tcPr>
          <w:p>
            <w:pPr>
              <w:spacing w:before="40" w:after="40"/>
              <w:jc w:val="left"/>
            </w:pPr>
            <w:r>
              <w:rPr>
                <w:b/>
                <w:color w:val="FFFFFF"/>
                <w:sz w:val="20"/>
              </w:rPr>
              <w:t>Candidate Record B (IOCL)</w:t>
            </w:r>
          </w:p>
        </w:tc>
      </w:tr>
      <w:tr>
        <w:tc>
          <w:tcPr>
            <w:tcW w:type="dxa" w:w="2592"/>
            <w:shd w:fill="FFFFFF"/>
            <w:tcMar>
              <w:top w:w="100" w:type="dxa"/>
              <w:bottom w:w="100" w:type="dxa"/>
              <w:left w:w="140" w:type="dxa"/>
              <w:right w:w="140" w:type="dxa"/>
            </w:tcMar>
          </w:tcPr>
          <w:p>
            <w:pPr>
              <w:spacing w:before="40" w:after="40"/>
            </w:pPr>
            <w:r>
              <w:rPr>
                <w:b/>
                <w:color w:val="0F172A"/>
                <w:sz w:val="19"/>
              </w:rPr>
              <w:t>Raw Input</w:t>
            </w:r>
          </w:p>
        </w:tc>
        <w:tc>
          <w:tcPr>
            <w:tcW w:type="dxa" w:w="3384"/>
            <w:shd w:fill="FFFFFF"/>
            <w:tcMar>
              <w:top w:w="100" w:type="dxa"/>
              <w:bottom w:w="100" w:type="dxa"/>
              <w:left w:w="140" w:type="dxa"/>
              <w:right w:w="140" w:type="dxa"/>
            </w:tcMar>
          </w:tcPr>
          <w:p>
            <w:pPr>
              <w:spacing w:before="40" w:after="40"/>
            </w:pPr>
            <w:r>
              <w:rPr>
                <w:b w:val="0"/>
                <w:color w:val="0F172A"/>
                <w:sz w:val="19"/>
              </w:rPr>
              <w:t>VLV BL 2IN 150# RF A105</w:t>
            </w:r>
          </w:p>
        </w:tc>
        <w:tc>
          <w:tcPr>
            <w:tcW w:type="dxa" w:w="3384"/>
            <w:shd w:fill="FFFFFF"/>
            <w:tcMar>
              <w:top w:w="100" w:type="dxa"/>
              <w:bottom w:w="100" w:type="dxa"/>
              <w:left w:w="140" w:type="dxa"/>
              <w:right w:w="140" w:type="dxa"/>
            </w:tcMar>
          </w:tcPr>
          <w:p>
            <w:pPr>
              <w:spacing w:before="40" w:after="40"/>
            </w:pPr>
            <w:r>
              <w:rPr>
                <w:b w:val="0"/>
                <w:color w:val="0F172A"/>
                <w:sz w:val="19"/>
              </w:rPr>
              <w:t>BALL VALVE 2" 150 LB WCB CS</w:t>
            </w:r>
          </w:p>
        </w:tc>
      </w:tr>
      <w:tr>
        <w:tc>
          <w:tcPr>
            <w:tcW w:type="dxa" w:w="2592"/>
            <w:shd w:fill="F8FAFC"/>
            <w:tcMar>
              <w:top w:w="100" w:type="dxa"/>
              <w:bottom w:w="100" w:type="dxa"/>
              <w:left w:w="140" w:type="dxa"/>
              <w:right w:w="140" w:type="dxa"/>
            </w:tcMar>
          </w:tcPr>
          <w:p>
            <w:pPr>
              <w:spacing w:before="40" w:after="40"/>
            </w:pPr>
            <w:r>
              <w:rPr>
                <w:b/>
                <w:color w:val="0F172A"/>
                <w:sz w:val="19"/>
              </w:rPr>
              <w:t>Stage 1: Normalized</w:t>
            </w:r>
          </w:p>
        </w:tc>
        <w:tc>
          <w:tcPr>
            <w:tcW w:type="dxa" w:w="3384"/>
            <w:shd w:fill="F8FAFC"/>
            <w:tcMar>
              <w:top w:w="100" w:type="dxa"/>
              <w:bottom w:w="100" w:type="dxa"/>
              <w:left w:w="140" w:type="dxa"/>
              <w:right w:w="140" w:type="dxa"/>
            </w:tcMar>
          </w:tcPr>
          <w:p>
            <w:pPr>
              <w:spacing w:before="40" w:after="40"/>
            </w:pPr>
            <w:r>
              <w:rPr>
                <w:b w:val="0"/>
                <w:color w:val="0F172A"/>
                <w:sz w:val="19"/>
              </w:rPr>
              <w:t>VALVE BALL 2 INCH 150# RAISED FACE ASTM A105</w:t>
            </w:r>
          </w:p>
        </w:tc>
        <w:tc>
          <w:tcPr>
            <w:tcW w:type="dxa" w:w="3384"/>
            <w:shd w:fill="F8FAFC"/>
            <w:tcMar>
              <w:top w:w="100" w:type="dxa"/>
              <w:bottom w:w="100" w:type="dxa"/>
              <w:left w:w="140" w:type="dxa"/>
              <w:right w:w="140" w:type="dxa"/>
            </w:tcMar>
          </w:tcPr>
          <w:p>
            <w:pPr>
              <w:spacing w:before="40" w:after="40"/>
            </w:pPr>
            <w:r>
              <w:rPr>
                <w:b w:val="0"/>
                <w:color w:val="0F172A"/>
                <w:sz w:val="19"/>
              </w:rPr>
              <w:t>BALL VALVE 2 INCH 150# RAISED FACE WCB CARBON STEEL</w:t>
            </w:r>
          </w:p>
        </w:tc>
      </w:tr>
      <w:tr>
        <w:tc>
          <w:tcPr>
            <w:tcW w:type="dxa" w:w="2592"/>
            <w:shd w:fill="FFFFFF"/>
            <w:tcMar>
              <w:top w:w="100" w:type="dxa"/>
              <w:bottom w:w="100" w:type="dxa"/>
              <w:left w:w="140" w:type="dxa"/>
              <w:right w:w="140" w:type="dxa"/>
            </w:tcMar>
          </w:tcPr>
          <w:p>
            <w:pPr>
              <w:spacing w:before="40" w:after="40"/>
            </w:pPr>
            <w:r>
              <w:rPr>
                <w:b/>
                <w:color w:val="0F172A"/>
                <w:sz w:val="19"/>
              </w:rPr>
              <w:t>Stage 2: Extracted Specs</w:t>
            </w:r>
          </w:p>
        </w:tc>
        <w:tc>
          <w:tcPr>
            <w:tcW w:type="dxa" w:w="3384"/>
            <w:shd w:fill="FFFFFF"/>
            <w:tcMar>
              <w:top w:w="100" w:type="dxa"/>
              <w:bottom w:w="100" w:type="dxa"/>
              <w:left w:w="140" w:type="dxa"/>
              <w:right w:w="140" w:type="dxa"/>
            </w:tcMar>
          </w:tcPr>
          <w:p>
            <w:pPr>
              <w:spacing w:before="40" w:after="40"/>
            </w:pPr>
            <w:r>
              <w:rPr>
                <w:b w:val="0"/>
                <w:color w:val="0F172A"/>
                <w:sz w:val="19"/>
              </w:rPr>
              <w:t>Size: 2" | Rating: 150#</w:t>
              <w:br/>
              <w:t>Material: ASTM A105</w:t>
              <w:br/>
              <w:t>UNSPSC: 40141607</w:t>
            </w:r>
          </w:p>
        </w:tc>
        <w:tc>
          <w:tcPr>
            <w:tcW w:type="dxa" w:w="3384"/>
            <w:shd w:fill="FFFFFF"/>
            <w:tcMar>
              <w:top w:w="100" w:type="dxa"/>
              <w:bottom w:w="100" w:type="dxa"/>
              <w:left w:w="140" w:type="dxa"/>
              <w:right w:w="140" w:type="dxa"/>
            </w:tcMar>
          </w:tcPr>
          <w:p>
            <w:pPr>
              <w:spacing w:before="40" w:after="40"/>
            </w:pPr>
            <w:r>
              <w:rPr>
                <w:b w:val="0"/>
                <w:color w:val="0F172A"/>
                <w:sz w:val="19"/>
              </w:rPr>
              <w:t>Size: 2" | Rating: 150#</w:t>
              <w:br/>
              <w:t>Material: WCB / CS</w:t>
              <w:br/>
              <w:t>UNSPSC: 40141607</w:t>
            </w:r>
          </w:p>
        </w:tc>
      </w:tr>
      <w:tr>
        <w:tc>
          <w:tcPr>
            <w:tcW w:type="dxa" w:w="2592"/>
            <w:shd w:fill="F8FAFC"/>
            <w:tcMar>
              <w:top w:w="100" w:type="dxa"/>
              <w:bottom w:w="100" w:type="dxa"/>
              <w:left w:w="140" w:type="dxa"/>
              <w:right w:w="140" w:type="dxa"/>
            </w:tcMar>
          </w:tcPr>
          <w:p>
            <w:pPr>
              <w:spacing w:before="40" w:after="40"/>
            </w:pPr>
            <w:r>
              <w:rPr>
                <w:b/>
                <w:color w:val="0F172A"/>
                <w:sz w:val="19"/>
              </w:rPr>
              <w:t>Stage 3: Vector Match</w:t>
            </w:r>
          </w:p>
        </w:tc>
        <w:tc>
          <w:tcPr>
            <w:tcW w:type="dxa" w:w="3384"/>
            <w:shd w:fill="F8FAFC"/>
            <w:tcMar>
              <w:top w:w="100" w:type="dxa"/>
              <w:bottom w:w="100" w:type="dxa"/>
              <w:left w:w="140" w:type="dxa"/>
              <w:right w:w="140" w:type="dxa"/>
            </w:tcMar>
          </w:tcPr>
          <w:p>
            <w:pPr>
              <w:spacing w:before="40" w:after="40"/>
            </w:pPr>
            <w:r>
              <w:rPr>
                <w:b w:val="0"/>
                <w:color w:val="0F172A"/>
                <w:sz w:val="19"/>
              </w:rPr>
              <w:t>Vector: [0.082, -0.141, ...]</w:t>
              <w:br/>
              <w:t>Indexed in FAISS</w:t>
            </w:r>
          </w:p>
        </w:tc>
        <w:tc>
          <w:tcPr>
            <w:tcW w:type="dxa" w:w="3384"/>
            <w:shd w:fill="F8FAFC"/>
            <w:tcMar>
              <w:top w:w="100" w:type="dxa"/>
              <w:bottom w:w="100" w:type="dxa"/>
              <w:left w:w="140" w:type="dxa"/>
              <w:right w:w="140" w:type="dxa"/>
            </w:tcMar>
          </w:tcPr>
          <w:p>
            <w:pPr>
              <w:spacing w:before="40" w:after="40"/>
            </w:pPr>
            <w:r>
              <w:rPr>
                <w:b w:val="0"/>
                <w:color w:val="0F172A"/>
                <w:sz w:val="19"/>
              </w:rPr>
              <w:t>Vector: [0.079, -0.138, ...]</w:t>
              <w:br/>
              <w:t>Cosine Agreement: 0.942</w:t>
            </w:r>
          </w:p>
        </w:tc>
      </w:tr>
      <w:tr>
        <w:tc>
          <w:tcPr>
            <w:tcW w:type="dxa" w:w="2592"/>
            <w:shd w:fill="FFFFFF"/>
            <w:tcMar>
              <w:top w:w="100" w:type="dxa"/>
              <w:bottom w:w="100" w:type="dxa"/>
              <w:left w:w="140" w:type="dxa"/>
              <w:right w:w="140" w:type="dxa"/>
            </w:tcMar>
          </w:tcPr>
          <w:p>
            <w:pPr>
              <w:spacing w:before="40" w:after="40"/>
            </w:pPr>
            <w:r>
              <w:rPr>
                <w:b/>
                <w:color w:val="0F172A"/>
                <w:sz w:val="19"/>
              </w:rPr>
              <w:t>Stage 4: 4-Judge Score</w:t>
            </w:r>
          </w:p>
        </w:tc>
        <w:tc>
          <w:tcPr>
            <w:tcW w:type="dxa" w:w="3384"/>
            <w:shd w:fill="FFFFFF"/>
            <w:tcMar>
              <w:top w:w="100" w:type="dxa"/>
              <w:bottom w:w="100" w:type="dxa"/>
              <w:left w:w="140" w:type="dxa"/>
              <w:right w:w="140" w:type="dxa"/>
            </w:tcMar>
          </w:tcPr>
          <w:p>
            <w:pPr>
              <w:spacing w:before="40" w:after="40"/>
            </w:pPr>
            <w:r>
              <w:rPr>
                <w:b w:val="0"/>
                <w:color w:val="0F172A"/>
                <w:sz w:val="19"/>
              </w:rPr>
              <w:t>Semantic: 94.2% | Lexical: 88.0%</w:t>
              <w:br/>
              <w:t>Attribute: 95.0% | UOM: 100%</w:t>
            </w:r>
          </w:p>
        </w:tc>
        <w:tc>
          <w:tcPr>
            <w:tcW w:type="dxa" w:w="3384"/>
            <w:shd w:fill="FFFFFF"/>
            <w:tcMar>
              <w:top w:w="100" w:type="dxa"/>
              <w:bottom w:w="100" w:type="dxa"/>
              <w:left w:w="140" w:type="dxa"/>
              <w:right w:w="140" w:type="dxa"/>
            </w:tcMar>
          </w:tcPr>
          <w:p>
            <w:pPr>
              <w:spacing w:before="40" w:after="40"/>
            </w:pPr>
            <w:r>
              <w:rPr>
                <w:b w:val="0"/>
                <w:color w:val="0F172A"/>
                <w:sz w:val="19"/>
              </w:rPr>
              <w:t>Composite Score: 93.4%</w:t>
              <w:br/>
              <w:t>Relationship: IDENTICAL</w:t>
            </w:r>
          </w:p>
        </w:tc>
      </w:tr>
      <w:tr>
        <w:tc>
          <w:tcPr>
            <w:tcW w:type="dxa" w:w="2592"/>
            <w:shd w:fill="F8FAFC"/>
            <w:tcMar>
              <w:top w:w="100" w:type="dxa"/>
              <w:bottom w:w="100" w:type="dxa"/>
              <w:left w:w="140" w:type="dxa"/>
              <w:right w:w="140" w:type="dxa"/>
            </w:tcMar>
          </w:tcPr>
          <w:p>
            <w:pPr>
              <w:spacing w:before="40" w:after="40"/>
            </w:pPr>
            <w:r>
              <w:rPr>
                <w:b/>
                <w:color w:val="0F172A"/>
                <w:sz w:val="19"/>
              </w:rPr>
              <w:t>Stage 5: Physics Check</w:t>
            </w:r>
          </w:p>
        </w:tc>
        <w:tc>
          <w:tcPr>
            <w:tcW w:type="dxa" w:w="3384"/>
            <w:shd w:fill="F8FAFC"/>
            <w:tcMar>
              <w:top w:w="100" w:type="dxa"/>
              <w:bottom w:w="100" w:type="dxa"/>
              <w:left w:w="140" w:type="dxa"/>
              <w:right w:w="140" w:type="dxa"/>
            </w:tcMar>
          </w:tcPr>
          <w:p>
            <w:pPr>
              <w:spacing w:before="40" w:after="40"/>
            </w:pPr>
            <w:r>
              <w:rPr>
                <w:b w:val="0"/>
                <w:color w:val="0F172A"/>
                <w:sz w:val="19"/>
              </w:rPr>
              <w:t>Pressure: 150# == 150# (Match)</w:t>
              <w:br/>
              <w:t>Metallurgy: A105 == WCB (Compatible)</w:t>
            </w:r>
          </w:p>
        </w:tc>
        <w:tc>
          <w:tcPr>
            <w:tcW w:type="dxa" w:w="3384"/>
            <w:shd w:fill="F8FAFC"/>
            <w:tcMar>
              <w:top w:w="100" w:type="dxa"/>
              <w:bottom w:w="100" w:type="dxa"/>
              <w:left w:w="140" w:type="dxa"/>
              <w:right w:w="140" w:type="dxa"/>
            </w:tcMar>
          </w:tcPr>
          <w:p>
            <w:pPr>
              <w:spacing w:before="40" w:after="40"/>
            </w:pPr>
            <w:r>
              <w:rPr>
                <w:b w:val="0"/>
                <w:color w:val="0F172A"/>
                <w:sz w:val="19"/>
              </w:rPr>
              <w:t>Result: PASS (No Hazard)</w:t>
              <w:br/>
              <w:t>Safe for Automated Merge</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180" w:type="dxa"/>
            </w:tcMar>
            <w:tcBorders>
              <w:left w:val="single" w:sz="36" w:space="0" w:color="10B981"/>
              <w:top w:val="none"/>
              <w:right w:val="none"/>
              <w:bottom w:val="none"/>
            </w:tcBorders>
          </w:tcPr>
          <w:p>
            <w:pPr>
              <w:spacing w:before="40" w:after="80"/>
            </w:pPr>
            <w:r>
              <w:rPr>
                <w:b/>
                <w:color w:val="1E3A8A"/>
                <w:sz w:val="21"/>
              </w:rPr>
              <w:t xml:space="preserve">📌 THE HARMONIZED RESULT: </w:t>
            </w:r>
            <w:r>
              <w:rPr>
                <w:i w:val="0"/>
                <w:color w:val="0F172A"/>
                <w:sz w:val="20"/>
              </w:rPr>
              <w:t>Final Harmonized Outcome: The AI mints a single National Canonical Master code: CNMC-VAL-2026-00001. Both ONGC and IOCL keep their local ERP codes for day-to-day operations, but their enterprise systems are now cross-referenced. When ONGC orders this valve, the system automatically checks if IOCL has excess stock or triggers a joint bulk order, saving approximately ₹1.4 Lakh per procurement cycle.</w:t>
            </w:r>
          </w:p>
        </w:tc>
      </w:tr>
    </w:tbl>
    <w:p>
      <w:pPr>
        <w:spacing w:after="80"/>
      </w:pPr>
    </w:p>
    <w:p>
      <w:pPr>
        <w:pStyle w:val="Heading1"/>
      </w:pPr>
      <w:r>
        <w:rPr>
          <w:b/>
          <w:color w:val="1E3A8A"/>
          <w:sz w:val="32"/>
        </w:rPr>
        <w:t>5. Human-in-the-Loop Governance &amp; Self-Improvement</w:t>
      </w:r>
    </w:p>
    <w:p>
      <w:r>
        <w:t xml:space="preserve">NUMM strictly follows the constitutional governance axiom: </w:t>
      </w:r>
      <w:r>
        <w:rPr>
          <w:b/>
        </w:rPr>
        <w:t>"AI Recommends; Authorized Human Governance Approves."</w:t>
      </w:r>
      <w:r>
        <w:br/>
        <w:br/>
        <w:t>Depending on the AI's composite confidence score, candidate matches are routed into three distinct governance tiers: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1E3A8A"/>
            <w:tcMar>
              <w:top w:w="140" w:type="dxa"/>
              <w:bottom w:w="140" w:type="dxa"/>
              <w:left w:w="140" w:type="dxa"/>
              <w:right w:w="140" w:type="dxa"/>
            </w:tcMar>
          </w:tcPr>
          <w:p>
            <w:pPr>
              <w:spacing w:before="40" w:after="40"/>
              <w:jc w:val="left"/>
            </w:pPr>
            <w:r>
              <w:rPr>
                <w:b/>
                <w:color w:val="FFFFFF"/>
                <w:sz w:val="20"/>
              </w:rPr>
              <w:t>Confidence Tier</w:t>
            </w:r>
          </w:p>
        </w:tc>
        <w:tc>
          <w:tcPr>
            <w:tcW w:type="dxa" w:w="2160"/>
            <w:shd w:fill="1E3A8A"/>
            <w:tcMar>
              <w:top w:w="140" w:type="dxa"/>
              <w:bottom w:w="140" w:type="dxa"/>
              <w:left w:w="140" w:type="dxa"/>
              <w:right w:w="140" w:type="dxa"/>
            </w:tcMar>
          </w:tcPr>
          <w:p>
            <w:pPr>
              <w:spacing w:before="40" w:after="40"/>
              <w:jc w:val="left"/>
            </w:pPr>
            <w:r>
              <w:rPr>
                <w:b/>
                <w:color w:val="FFFFFF"/>
                <w:sz w:val="20"/>
              </w:rPr>
              <w:t>Score Range</w:t>
            </w:r>
          </w:p>
        </w:tc>
        <w:tc>
          <w:tcPr>
            <w:tcW w:type="dxa" w:w="4608"/>
            <w:shd w:fill="1E3A8A"/>
            <w:tcMar>
              <w:top w:w="140" w:type="dxa"/>
              <w:bottom w:w="140" w:type="dxa"/>
              <w:left w:w="140" w:type="dxa"/>
              <w:right w:w="140" w:type="dxa"/>
            </w:tcMar>
          </w:tcPr>
          <w:p>
            <w:pPr>
              <w:spacing w:before="40" w:after="40"/>
              <w:jc w:val="left"/>
            </w:pPr>
            <w:r>
              <w:rPr>
                <w:b/>
                <w:color w:val="FFFFFF"/>
                <w:sz w:val="20"/>
              </w:rPr>
              <w:t>Operational Action Taken</w:t>
            </w:r>
          </w:p>
        </w:tc>
      </w:tr>
      <w:tr>
        <w:tc>
          <w:tcPr>
            <w:tcW w:type="dxa" w:w="2592"/>
            <w:shd w:fill="FFFFFF"/>
            <w:tcMar>
              <w:top w:w="100" w:type="dxa"/>
              <w:bottom w:w="100" w:type="dxa"/>
              <w:left w:w="140" w:type="dxa"/>
              <w:right w:w="140" w:type="dxa"/>
            </w:tcMar>
          </w:tcPr>
          <w:p>
            <w:pPr>
              <w:spacing w:before="40" w:after="40"/>
            </w:pPr>
            <w:r>
              <w:rPr>
                <w:b/>
                <w:color w:val="0F172A"/>
                <w:sz w:val="19"/>
              </w:rPr>
              <w:t>High Confidence (Fast Track)</w:t>
            </w:r>
          </w:p>
        </w:tc>
        <w:tc>
          <w:tcPr>
            <w:tcW w:type="dxa" w:w="2160"/>
            <w:shd w:fill="FFFFFF"/>
            <w:tcMar>
              <w:top w:w="100" w:type="dxa"/>
              <w:bottom w:w="100" w:type="dxa"/>
              <w:left w:w="140" w:type="dxa"/>
              <w:right w:w="140" w:type="dxa"/>
            </w:tcMar>
          </w:tcPr>
          <w:p>
            <w:pPr>
              <w:spacing w:before="40" w:after="40"/>
            </w:pPr>
            <w:r>
              <w:rPr>
                <w:b w:val="0"/>
                <w:color w:val="0F172A"/>
                <w:sz w:val="19"/>
              </w:rPr>
              <w:t>Score ≥ 85%</w:t>
            </w:r>
          </w:p>
        </w:tc>
        <w:tc>
          <w:tcPr>
            <w:tcW w:type="dxa" w:w="4608"/>
            <w:shd w:fill="FFFFFF"/>
            <w:tcMar>
              <w:top w:w="100" w:type="dxa"/>
              <w:bottom w:w="100" w:type="dxa"/>
              <w:left w:w="140" w:type="dxa"/>
              <w:right w:w="140" w:type="dxa"/>
            </w:tcMar>
          </w:tcPr>
          <w:p>
            <w:pPr>
              <w:spacing w:before="40" w:after="40"/>
            </w:pPr>
            <w:r>
              <w:rPr>
                <w:b w:val="0"/>
                <w:color w:val="0F172A"/>
                <w:sz w:val="19"/>
              </w:rPr>
              <w:t>Auto-proposed for 1-click batch approval by National Catalog Stewards.</w:t>
            </w:r>
          </w:p>
        </w:tc>
      </w:tr>
      <w:tr>
        <w:tc>
          <w:tcPr>
            <w:tcW w:type="dxa" w:w="2592"/>
            <w:shd w:fill="F8FAFC"/>
            <w:tcMar>
              <w:top w:w="100" w:type="dxa"/>
              <w:bottom w:w="100" w:type="dxa"/>
              <w:left w:w="140" w:type="dxa"/>
              <w:right w:w="140" w:type="dxa"/>
            </w:tcMar>
          </w:tcPr>
          <w:p>
            <w:pPr>
              <w:spacing w:before="40" w:after="40"/>
            </w:pPr>
            <w:r>
              <w:rPr>
                <w:b/>
                <w:color w:val="0F172A"/>
                <w:sz w:val="19"/>
              </w:rPr>
              <w:t>Medium Confidence (Review Queue)</w:t>
            </w:r>
          </w:p>
        </w:tc>
        <w:tc>
          <w:tcPr>
            <w:tcW w:type="dxa" w:w="2160"/>
            <w:shd w:fill="F8FAFC"/>
            <w:tcMar>
              <w:top w:w="100" w:type="dxa"/>
              <w:bottom w:w="100" w:type="dxa"/>
              <w:left w:w="140" w:type="dxa"/>
              <w:right w:w="140" w:type="dxa"/>
            </w:tcMar>
          </w:tcPr>
          <w:p>
            <w:pPr>
              <w:spacing w:before="40" w:after="40"/>
            </w:pPr>
            <w:r>
              <w:rPr>
                <w:b w:val="0"/>
                <w:color w:val="0F172A"/>
                <w:sz w:val="19"/>
              </w:rPr>
              <w:t>65% ≤ Score &lt; 85%</w:t>
            </w:r>
          </w:p>
        </w:tc>
        <w:tc>
          <w:tcPr>
            <w:tcW w:type="dxa" w:w="4608"/>
            <w:shd w:fill="F8FAFC"/>
            <w:tcMar>
              <w:top w:w="100" w:type="dxa"/>
              <w:bottom w:w="100" w:type="dxa"/>
              <w:left w:w="140" w:type="dxa"/>
              <w:right w:w="140" w:type="dxa"/>
            </w:tcMar>
          </w:tcPr>
          <w:p>
            <w:pPr>
              <w:spacing w:before="40" w:after="40"/>
            </w:pPr>
            <w:r>
              <w:rPr>
                <w:b w:val="0"/>
                <w:color w:val="0F172A"/>
                <w:sz w:val="19"/>
              </w:rPr>
              <w:t>Routed to the Review Queue with a side-by-side spec comparison and conflict highlights.</w:t>
            </w:r>
          </w:p>
        </w:tc>
      </w:tr>
      <w:tr>
        <w:tc>
          <w:tcPr>
            <w:tcW w:type="dxa" w:w="2592"/>
            <w:shd w:fill="FFFFFF"/>
            <w:tcMar>
              <w:top w:w="100" w:type="dxa"/>
              <w:bottom w:w="100" w:type="dxa"/>
              <w:left w:w="140" w:type="dxa"/>
              <w:right w:w="140" w:type="dxa"/>
            </w:tcMar>
          </w:tcPr>
          <w:p>
            <w:pPr>
              <w:spacing w:before="40" w:after="40"/>
            </w:pPr>
            <w:r>
              <w:rPr>
                <w:b/>
                <w:color w:val="0F172A"/>
                <w:sz w:val="19"/>
              </w:rPr>
              <w:t>Low Confidence (Distinct)</w:t>
            </w:r>
          </w:p>
        </w:tc>
        <w:tc>
          <w:tcPr>
            <w:tcW w:type="dxa" w:w="2160"/>
            <w:shd w:fill="FFFFFF"/>
            <w:tcMar>
              <w:top w:w="100" w:type="dxa"/>
              <w:bottom w:w="100" w:type="dxa"/>
              <w:left w:w="140" w:type="dxa"/>
              <w:right w:w="140" w:type="dxa"/>
            </w:tcMar>
          </w:tcPr>
          <w:p>
            <w:pPr>
              <w:spacing w:before="40" w:after="40"/>
            </w:pPr>
            <w:r>
              <w:rPr>
                <w:b w:val="0"/>
                <w:color w:val="0F172A"/>
                <w:sz w:val="19"/>
              </w:rPr>
              <w:t>Score &lt; 65%</w:t>
            </w:r>
          </w:p>
        </w:tc>
        <w:tc>
          <w:tcPr>
            <w:tcW w:type="dxa" w:w="4608"/>
            <w:shd w:fill="FFFFFF"/>
            <w:tcMar>
              <w:top w:w="100" w:type="dxa"/>
              <w:bottom w:w="100" w:type="dxa"/>
              <w:left w:w="140" w:type="dxa"/>
              <w:right w:w="140" w:type="dxa"/>
            </w:tcMar>
          </w:tcPr>
          <w:p>
            <w:pPr>
              <w:spacing w:before="40" w:after="40"/>
            </w:pPr>
            <w:r>
              <w:rPr>
                <w:b w:val="0"/>
                <w:color w:val="0F172A"/>
                <w:sz w:val="19"/>
              </w:rPr>
              <w:t>Classified as unique items or kept as local-only inventory. Never merged.</w:t>
            </w:r>
          </w:p>
        </w:tc>
      </w:tr>
    </w:tbl>
    <w:p>
      <w:pPr>
        <w:spacing w:after="160"/>
      </w:pPr>
    </w:p>
    <w:p>
      <w:pPr>
        <w:pStyle w:val="Heading2"/>
      </w:pPr>
      <w:r>
        <w:rPr>
          <w:color w:val="4338CA"/>
        </w:rPr>
        <w:t>How the AI Continuously Learns (Active Learning Loop)</w:t>
      </w:r>
    </w:p>
    <w:p>
      <w:r>
        <w:t xml:space="preserve">Every time a human steward clicks 'Approve', 'Merge', or 'Flag Discrepancy' in the web interface, the system generates a labeled training triplet: </w:t>
      </w:r>
      <w:r>
        <w:rPr>
          <w:b/>
        </w:rPr>
        <w:t>(Anchor Material, Positive Match, Hard Negative)</w:t>
      </w:r>
      <w:r>
        <w:t>.</w:t>
        <w:br/>
        <w:br/>
        <w:t>Periodically, the AI runs an offline fine-tuning cycle using PyTorch and GPU acceleration. In our latest training run across 10,019 material pairs, the model achieved:</w:t>
      </w:r>
    </w:p>
    <w:p>
      <w:pPr>
        <w:pStyle w:val="ListBullet"/>
        <w:spacing w:after="40"/>
      </w:pPr>
      <w:r>
        <w:rPr>
          <w:b/>
        </w:rPr>
        <w:t xml:space="preserve">Pearson Correlation: </w:t>
      </w:r>
      <w:r>
        <w:t>96.28% — Demonstrating near-perfect agreement with human catalogers.</w:t>
      </w:r>
    </w:p>
    <w:p>
      <w:pPr>
        <w:pStyle w:val="ListBullet"/>
        <w:spacing w:after="40"/>
      </w:pPr>
      <w:r>
        <w:rPr>
          <w:b/>
        </w:rPr>
        <w:t xml:space="preserve">Spearman Rank Correlation: </w:t>
      </w:r>
      <w:r>
        <w:t>86.60% — Ensuring that the best matches always rank at the top.</w:t>
      </w:r>
    </w:p>
    <w:p>
      <w:pPr>
        <w:pStyle w:val="ListBullet"/>
        <w:spacing w:after="40"/>
      </w:pPr>
      <w:r>
        <w:rPr>
          <w:b/>
        </w:rPr>
        <w:t xml:space="preserve">Evaluation Loss: </w:t>
      </w:r>
      <w:r>
        <w:t>0.0169 — Extremely low error rate on unseen industrial test items.</w:t>
      </w:r>
    </w:p>
    <w:p>
      <w:r>
        <w:br w:type="page"/>
      </w:r>
    </w:p>
    <w:p>
      <w:pPr>
        <w:pStyle w:val="Heading1"/>
      </w:pPr>
      <w:r>
        <w:rPr>
          <w:b/>
          <w:color w:val="1E3A8A"/>
          <w:sz w:val="32"/>
        </w:rPr>
        <w:t>6. Quick Reference: AI Terms in Plain English</w:t>
      </w:r>
    </w:p>
    <w:p>
      <w:r>
        <w:t>A quick summary cheat-sheet to explain the technical buzzwords to executives and evaluators:</w:t>
      </w:r>
    </w:p>
    <w:tbl>
      <w:tblPr>
        <w:tblW w:type="auto" w:w="0"/>
        <w:jc w:val="center"/>
        <w:tblLook w:firstColumn="1" w:firstRow="1" w:lastColumn="0" w:lastRow="0" w:noHBand="0" w:noVBand="1" w:val="04A0"/>
        <w:tblBorders>
          <w:top w:val="single" w:sz="4" w:space="0" w:color="CBD5E1"/>
          <w:bottom w:val="single" w:sz="8" w:space="0" w:color="94A3B8"/>
          <w:insideH w:val="single" w:sz="4" w:space="0" w:color="E2E8F0"/>
          <w:insideV w:val="none"/>
          <w:left w:val="none"/>
          <w:right w:val="none"/>
        </w:tblBorders>
      </w:tblPr>
      <w:tblGrid>
        <w:gridCol w:w="3120"/>
        <w:gridCol w:w="3120"/>
        <w:gridCol w:w="3120"/>
      </w:tblGrid>
      <w:tr>
        <w:tc>
          <w:tcPr>
            <w:tcW w:type="dxa" w:w="2592"/>
            <w:shd w:fill="1E3A8A"/>
            <w:tcMar>
              <w:top w:w="140" w:type="dxa"/>
              <w:bottom w:w="140" w:type="dxa"/>
              <w:left w:w="140" w:type="dxa"/>
              <w:right w:w="140" w:type="dxa"/>
            </w:tcMar>
          </w:tcPr>
          <w:p>
            <w:pPr>
              <w:spacing w:before="40" w:after="40"/>
              <w:jc w:val="left"/>
            </w:pPr>
            <w:r>
              <w:rPr>
                <w:b/>
                <w:color w:val="FFFFFF"/>
                <w:sz w:val="20"/>
              </w:rPr>
              <w:t>Technical Term</w:t>
            </w:r>
          </w:p>
        </w:tc>
        <w:tc>
          <w:tcPr>
            <w:tcW w:type="dxa" w:w="3456"/>
            <w:shd w:fill="1E3A8A"/>
            <w:tcMar>
              <w:top w:w="140" w:type="dxa"/>
              <w:bottom w:w="140" w:type="dxa"/>
              <w:left w:w="140" w:type="dxa"/>
              <w:right w:w="140" w:type="dxa"/>
            </w:tcMar>
          </w:tcPr>
          <w:p>
            <w:pPr>
              <w:spacing w:before="40" w:after="40"/>
              <w:jc w:val="left"/>
            </w:pPr>
            <w:r>
              <w:rPr>
                <w:b/>
                <w:color w:val="FFFFFF"/>
                <w:sz w:val="20"/>
              </w:rPr>
              <w:t>What It Means in Plain English</w:t>
            </w:r>
          </w:p>
        </w:tc>
        <w:tc>
          <w:tcPr>
            <w:tcW w:type="dxa" w:w="3312"/>
            <w:shd w:fill="1E3A8A"/>
            <w:tcMar>
              <w:top w:w="140" w:type="dxa"/>
              <w:bottom w:w="140" w:type="dxa"/>
              <w:left w:w="140" w:type="dxa"/>
              <w:right w:w="140" w:type="dxa"/>
            </w:tcMar>
          </w:tcPr>
          <w:p>
            <w:pPr>
              <w:spacing w:before="40" w:after="40"/>
              <w:jc w:val="left"/>
            </w:pPr>
            <w:r>
              <w:rPr>
                <w:b/>
                <w:color w:val="FFFFFF"/>
                <w:sz w:val="20"/>
              </w:rPr>
              <w:t>Why It Matters in NUMM</w:t>
            </w:r>
          </w:p>
        </w:tc>
      </w:tr>
      <w:tr>
        <w:tc>
          <w:tcPr>
            <w:tcW w:type="dxa" w:w="2592"/>
            <w:shd w:fill="FFFFFF"/>
            <w:tcMar>
              <w:top w:w="100" w:type="dxa"/>
              <w:bottom w:w="100" w:type="dxa"/>
              <w:left w:w="140" w:type="dxa"/>
              <w:right w:w="140" w:type="dxa"/>
            </w:tcMar>
          </w:tcPr>
          <w:p>
            <w:pPr>
              <w:spacing w:before="40" w:after="40"/>
            </w:pPr>
            <w:r>
              <w:rPr>
                <w:b/>
                <w:color w:val="0F172A"/>
                <w:sz w:val="19"/>
              </w:rPr>
              <w:t>Vector Embedding</w:t>
            </w:r>
          </w:p>
        </w:tc>
        <w:tc>
          <w:tcPr>
            <w:tcW w:type="dxa" w:w="3456"/>
            <w:shd w:fill="FFFFFF"/>
            <w:tcMar>
              <w:top w:w="100" w:type="dxa"/>
              <w:bottom w:w="100" w:type="dxa"/>
              <w:left w:w="140" w:type="dxa"/>
              <w:right w:w="140" w:type="dxa"/>
            </w:tcMar>
          </w:tcPr>
          <w:p>
            <w:pPr>
              <w:spacing w:before="40" w:after="40"/>
            </w:pPr>
            <w:r>
              <w:rPr>
                <w:b w:val="0"/>
                <w:color w:val="0F172A"/>
                <w:sz w:val="19"/>
              </w:rPr>
              <w:t>Translating words into 384 numbers representing their engineering meaning.</w:t>
            </w:r>
          </w:p>
        </w:tc>
        <w:tc>
          <w:tcPr>
            <w:tcW w:type="dxa" w:w="3312"/>
            <w:shd w:fill="FFFFFF"/>
            <w:tcMar>
              <w:top w:w="100" w:type="dxa"/>
              <w:bottom w:w="100" w:type="dxa"/>
              <w:left w:w="140" w:type="dxa"/>
              <w:right w:w="140" w:type="dxa"/>
            </w:tcMar>
          </w:tcPr>
          <w:p>
            <w:pPr>
              <w:spacing w:before="40" w:after="40"/>
            </w:pPr>
            <w:r>
              <w:rPr>
                <w:b w:val="0"/>
                <w:color w:val="0F172A"/>
                <w:sz w:val="19"/>
              </w:rPr>
              <w:t>Allows the AI to know that 'VLV' and 'VALVE' mean the same thing.</w:t>
            </w:r>
          </w:p>
        </w:tc>
      </w:tr>
      <w:tr>
        <w:tc>
          <w:tcPr>
            <w:tcW w:type="dxa" w:w="2592"/>
            <w:shd w:fill="F8FAFC"/>
            <w:tcMar>
              <w:top w:w="100" w:type="dxa"/>
              <w:bottom w:w="100" w:type="dxa"/>
              <w:left w:w="140" w:type="dxa"/>
              <w:right w:w="140" w:type="dxa"/>
            </w:tcMar>
          </w:tcPr>
          <w:p>
            <w:pPr>
              <w:spacing w:before="40" w:after="40"/>
            </w:pPr>
            <w:r>
              <w:rPr>
                <w:b/>
                <w:color w:val="0F172A"/>
                <w:sz w:val="19"/>
              </w:rPr>
              <w:t>FAISS Index</w:t>
            </w:r>
          </w:p>
        </w:tc>
        <w:tc>
          <w:tcPr>
            <w:tcW w:type="dxa" w:w="3456"/>
            <w:shd w:fill="F8FAFC"/>
            <w:tcMar>
              <w:top w:w="100" w:type="dxa"/>
              <w:bottom w:w="100" w:type="dxa"/>
              <w:left w:w="140" w:type="dxa"/>
              <w:right w:w="140" w:type="dxa"/>
            </w:tcMar>
          </w:tcPr>
          <w:p>
            <w:pPr>
              <w:spacing w:before="40" w:after="40"/>
            </w:pPr>
            <w:r>
              <w:rPr>
                <w:b w:val="0"/>
                <w:color w:val="0F172A"/>
                <w:sz w:val="19"/>
              </w:rPr>
              <w:t>An ultra-fast library built by Meta that searches millions of vectors in milliseconds.</w:t>
            </w:r>
          </w:p>
        </w:tc>
        <w:tc>
          <w:tcPr>
            <w:tcW w:type="dxa" w:w="3312"/>
            <w:shd w:fill="F8FAFC"/>
            <w:tcMar>
              <w:top w:w="100" w:type="dxa"/>
              <w:bottom w:w="100" w:type="dxa"/>
              <w:left w:w="140" w:type="dxa"/>
              <w:right w:w="140" w:type="dxa"/>
            </w:tcMar>
          </w:tcPr>
          <w:p>
            <w:pPr>
              <w:spacing w:before="40" w:after="40"/>
            </w:pPr>
            <w:r>
              <w:rPr>
                <w:b w:val="0"/>
                <w:color w:val="0F172A"/>
                <w:sz w:val="19"/>
              </w:rPr>
              <w:t>Finds candidate duplicates among 100,000+ records in 3 ms.</w:t>
            </w:r>
          </w:p>
        </w:tc>
      </w:tr>
      <w:tr>
        <w:tc>
          <w:tcPr>
            <w:tcW w:type="dxa" w:w="2592"/>
            <w:shd w:fill="FFFFFF"/>
            <w:tcMar>
              <w:top w:w="100" w:type="dxa"/>
              <w:bottom w:w="100" w:type="dxa"/>
              <w:left w:w="140" w:type="dxa"/>
              <w:right w:w="140" w:type="dxa"/>
            </w:tcMar>
          </w:tcPr>
          <w:p>
            <w:pPr>
              <w:spacing w:before="40" w:after="40"/>
            </w:pPr>
            <w:r>
              <w:rPr>
                <w:b/>
                <w:color w:val="0F172A"/>
                <w:sz w:val="19"/>
              </w:rPr>
              <w:t>Cosine Similarity</w:t>
            </w:r>
          </w:p>
        </w:tc>
        <w:tc>
          <w:tcPr>
            <w:tcW w:type="dxa" w:w="3456"/>
            <w:shd w:fill="FFFFFF"/>
            <w:tcMar>
              <w:top w:w="100" w:type="dxa"/>
              <w:bottom w:w="100" w:type="dxa"/>
              <w:left w:w="140" w:type="dxa"/>
              <w:right w:w="140" w:type="dxa"/>
            </w:tcMar>
          </w:tcPr>
          <w:p>
            <w:pPr>
              <w:spacing w:before="40" w:after="40"/>
            </w:pPr>
            <w:r>
              <w:rPr>
                <w:b w:val="0"/>
                <w:color w:val="0F172A"/>
                <w:sz w:val="19"/>
              </w:rPr>
              <w:t>The mathematical angle between two vectors (from 0.0 to 1.0).</w:t>
            </w:r>
          </w:p>
        </w:tc>
        <w:tc>
          <w:tcPr>
            <w:tcW w:type="dxa" w:w="3312"/>
            <w:shd w:fill="FFFFFF"/>
            <w:tcMar>
              <w:top w:w="100" w:type="dxa"/>
              <w:bottom w:w="100" w:type="dxa"/>
              <w:left w:w="140" w:type="dxa"/>
              <w:right w:w="140" w:type="dxa"/>
            </w:tcMar>
          </w:tcPr>
          <w:p>
            <w:pPr>
              <w:spacing w:before="40" w:after="40"/>
            </w:pPr>
            <w:r>
              <w:rPr>
                <w:b w:val="0"/>
                <w:color w:val="0F172A"/>
                <w:sz w:val="19"/>
              </w:rPr>
              <w:t>Measures conceptual closeness: 1.0 means identical meaning.</w:t>
            </w:r>
          </w:p>
        </w:tc>
      </w:tr>
      <w:tr>
        <w:tc>
          <w:tcPr>
            <w:tcW w:type="dxa" w:w="2592"/>
            <w:shd w:fill="F8FAFC"/>
            <w:tcMar>
              <w:top w:w="100" w:type="dxa"/>
              <w:bottom w:w="100" w:type="dxa"/>
              <w:left w:w="140" w:type="dxa"/>
              <w:right w:w="140" w:type="dxa"/>
            </w:tcMar>
          </w:tcPr>
          <w:p>
            <w:pPr>
              <w:spacing w:before="40" w:after="40"/>
            </w:pPr>
            <w:r>
              <w:rPr>
                <w:b/>
                <w:color w:val="0F172A"/>
                <w:sz w:val="19"/>
              </w:rPr>
              <w:t>Jaccard Overlap</w:t>
            </w:r>
          </w:p>
        </w:tc>
        <w:tc>
          <w:tcPr>
            <w:tcW w:type="dxa" w:w="3456"/>
            <w:shd w:fill="F8FAFC"/>
            <w:tcMar>
              <w:top w:w="100" w:type="dxa"/>
              <w:bottom w:w="100" w:type="dxa"/>
              <w:left w:w="140" w:type="dxa"/>
              <w:right w:w="140" w:type="dxa"/>
            </w:tcMar>
          </w:tcPr>
          <w:p>
            <w:pPr>
              <w:spacing w:before="40" w:after="40"/>
            </w:pPr>
            <w:r>
              <w:rPr>
                <w:b w:val="0"/>
                <w:color w:val="0F172A"/>
                <w:sz w:val="19"/>
              </w:rPr>
              <w:t>The percentage of shared words between two descriptions.</w:t>
            </w:r>
          </w:p>
        </w:tc>
        <w:tc>
          <w:tcPr>
            <w:tcW w:type="dxa" w:w="3312"/>
            <w:shd w:fill="F8FAFC"/>
            <w:tcMar>
              <w:top w:w="100" w:type="dxa"/>
              <w:bottom w:w="100" w:type="dxa"/>
              <w:left w:w="140" w:type="dxa"/>
              <w:right w:w="140" w:type="dxa"/>
            </w:tcMar>
          </w:tcPr>
          <w:p>
            <w:pPr>
              <w:spacing w:before="40" w:after="40"/>
            </w:pPr>
            <w:r>
              <w:rPr>
                <w:b w:val="0"/>
                <w:color w:val="0F172A"/>
                <w:sz w:val="19"/>
              </w:rPr>
              <w:t>Acts as a sanity check to ensure actual character terms agree.</w:t>
            </w:r>
          </w:p>
        </w:tc>
      </w:tr>
      <w:tr>
        <w:tc>
          <w:tcPr>
            <w:tcW w:type="dxa" w:w="2592"/>
            <w:shd w:fill="FFFFFF"/>
            <w:tcMar>
              <w:top w:w="100" w:type="dxa"/>
              <w:bottom w:w="100" w:type="dxa"/>
              <w:left w:w="140" w:type="dxa"/>
              <w:right w:w="140" w:type="dxa"/>
            </w:tcMar>
          </w:tcPr>
          <w:p>
            <w:pPr>
              <w:spacing w:before="40" w:after="40"/>
            </w:pPr>
            <w:r>
              <w:rPr>
                <w:b/>
                <w:color w:val="0F172A"/>
                <w:sz w:val="19"/>
              </w:rPr>
              <w:t>Deterministic Blocker</w:t>
            </w:r>
          </w:p>
        </w:tc>
        <w:tc>
          <w:tcPr>
            <w:tcW w:type="dxa" w:w="3456"/>
            <w:shd w:fill="FFFFFF"/>
            <w:tcMar>
              <w:top w:w="100" w:type="dxa"/>
              <w:bottom w:w="100" w:type="dxa"/>
              <w:left w:w="140" w:type="dxa"/>
              <w:right w:w="140" w:type="dxa"/>
            </w:tcMar>
          </w:tcPr>
          <w:p>
            <w:pPr>
              <w:spacing w:before="40" w:after="40"/>
            </w:pPr>
            <w:r>
              <w:rPr>
                <w:b w:val="0"/>
                <w:color w:val="0F172A"/>
                <w:sz w:val="19"/>
              </w:rPr>
              <w:t>An unbendable rule of physics hardcoded into the system.</w:t>
            </w:r>
          </w:p>
        </w:tc>
        <w:tc>
          <w:tcPr>
            <w:tcW w:type="dxa" w:w="3312"/>
            <w:shd w:fill="FFFFFF"/>
            <w:tcMar>
              <w:top w:w="100" w:type="dxa"/>
              <w:bottom w:w="100" w:type="dxa"/>
              <w:left w:w="140" w:type="dxa"/>
              <w:right w:w="140" w:type="dxa"/>
            </w:tcMar>
          </w:tcPr>
          <w:p>
            <w:pPr>
              <w:spacing w:before="40" w:after="40"/>
            </w:pPr>
            <w:r>
              <w:rPr>
                <w:b w:val="0"/>
                <w:color w:val="0F172A"/>
                <w:sz w:val="19"/>
              </w:rPr>
              <w:t>Prevents accidental merging of different pressure or material grades.</w:t>
            </w:r>
          </w:p>
        </w:tc>
      </w:tr>
      <w:tr>
        <w:tc>
          <w:tcPr>
            <w:tcW w:type="dxa" w:w="2592"/>
            <w:shd w:fill="F8FAFC"/>
            <w:tcMar>
              <w:top w:w="100" w:type="dxa"/>
              <w:bottom w:w="100" w:type="dxa"/>
              <w:left w:w="140" w:type="dxa"/>
              <w:right w:w="140" w:type="dxa"/>
            </w:tcMar>
          </w:tcPr>
          <w:p>
            <w:pPr>
              <w:spacing w:before="40" w:after="40"/>
            </w:pPr>
            <w:r>
              <w:rPr>
                <w:b/>
                <w:color w:val="0F172A"/>
                <w:sz w:val="19"/>
              </w:rPr>
              <w:t>CNMC</w:t>
            </w:r>
          </w:p>
        </w:tc>
        <w:tc>
          <w:tcPr>
            <w:tcW w:type="dxa" w:w="3456"/>
            <w:shd w:fill="F8FAFC"/>
            <w:tcMar>
              <w:top w:w="100" w:type="dxa"/>
              <w:bottom w:w="100" w:type="dxa"/>
              <w:left w:w="140" w:type="dxa"/>
              <w:right w:w="140" w:type="dxa"/>
            </w:tcMar>
          </w:tcPr>
          <w:p>
            <w:pPr>
              <w:spacing w:before="40" w:after="40"/>
            </w:pPr>
            <w:r>
              <w:rPr>
                <w:b w:val="0"/>
                <w:color w:val="0F172A"/>
                <w:sz w:val="19"/>
              </w:rPr>
              <w:t>Canonical National Material Code (e.g. CNMC-VAL-2026-00001).</w:t>
            </w:r>
          </w:p>
        </w:tc>
        <w:tc>
          <w:tcPr>
            <w:tcW w:type="dxa" w:w="3312"/>
            <w:shd w:fill="F8FAFC"/>
            <w:tcMar>
              <w:top w:w="100" w:type="dxa"/>
              <w:bottom w:w="100" w:type="dxa"/>
              <w:left w:w="140" w:type="dxa"/>
              <w:right w:w="140" w:type="dxa"/>
            </w:tcMar>
          </w:tcPr>
          <w:p>
            <w:pPr>
              <w:spacing w:before="40" w:after="40"/>
            </w:pPr>
            <w:r>
              <w:rPr>
                <w:b w:val="0"/>
                <w:color w:val="0F172A"/>
                <w:sz w:val="19"/>
              </w:rPr>
              <w:t>The single unique Aadhaar-like national ID for each distinct item.</w:t>
            </w:r>
          </w:p>
        </w:tc>
      </w:tr>
      <w:tr>
        <w:tc>
          <w:tcPr>
            <w:tcW w:type="dxa" w:w="2592"/>
            <w:shd w:fill="FFFFFF"/>
            <w:tcMar>
              <w:top w:w="100" w:type="dxa"/>
              <w:bottom w:w="100" w:type="dxa"/>
              <w:left w:w="140" w:type="dxa"/>
              <w:right w:w="140" w:type="dxa"/>
            </w:tcMar>
          </w:tcPr>
          <w:p>
            <w:pPr>
              <w:spacing w:before="40" w:after="40"/>
            </w:pPr>
            <w:r>
              <w:rPr>
                <w:b/>
                <w:color w:val="0F172A"/>
                <w:sz w:val="19"/>
              </w:rPr>
              <w:t>UNSPSC</w:t>
            </w:r>
          </w:p>
        </w:tc>
        <w:tc>
          <w:tcPr>
            <w:tcW w:type="dxa" w:w="3456"/>
            <w:shd w:fill="FFFFFF"/>
            <w:tcMar>
              <w:top w:w="100" w:type="dxa"/>
              <w:bottom w:w="100" w:type="dxa"/>
              <w:left w:w="140" w:type="dxa"/>
              <w:right w:w="140" w:type="dxa"/>
            </w:tcMar>
          </w:tcPr>
          <w:p>
            <w:pPr>
              <w:spacing w:before="40" w:after="40"/>
            </w:pPr>
            <w:r>
              <w:rPr>
                <w:b w:val="0"/>
                <w:color w:val="0F172A"/>
                <w:sz w:val="19"/>
              </w:rPr>
              <w:t>United Nations Standard Products &amp; Services Code (8-digit).</w:t>
            </w:r>
          </w:p>
        </w:tc>
        <w:tc>
          <w:tcPr>
            <w:tcW w:type="dxa" w:w="3312"/>
            <w:shd w:fill="FFFFFF"/>
            <w:tcMar>
              <w:top w:w="100" w:type="dxa"/>
              <w:bottom w:w="100" w:type="dxa"/>
              <w:left w:w="140" w:type="dxa"/>
              <w:right w:w="140" w:type="dxa"/>
            </w:tcMar>
          </w:tcPr>
          <w:p>
            <w:pPr>
              <w:spacing w:before="40" w:after="40"/>
            </w:pPr>
            <w:r>
              <w:rPr>
                <w:b w:val="0"/>
                <w:color w:val="0F172A"/>
                <w:sz w:val="19"/>
              </w:rPr>
              <w:t>Categorizes items into international commercial commodity codes.</w:t>
            </w:r>
          </w:p>
        </w:tc>
      </w:tr>
    </w:tbl>
    <w:p>
      <w:pPr>
        <w:spacing w:after="240"/>
      </w:pPr>
    </w:p>
    <w:p>
      <w:pPr>
        <w:pStyle w:val="Heading1"/>
      </w:pPr>
      <w:r>
        <w:rPr>
          <w:b/>
          <w:color w:val="1E3A8A"/>
          <w:sz w:val="32"/>
        </w:rPr>
        <w:t>7. Executive Platform Impact Summary</w:t>
      </w:r>
    </w:p>
    <w:p>
      <w:r>
        <w:t>Across live deployments with 738 source materials from ONGC, IOCL, GAIL, HPCL, and BPCL: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1F5F9"/>
            <w:tcMar>
              <w:top w:w="100" w:type="dxa"/>
              <w:bottom w:w="100" w:type="dxa"/>
              <w:left w:w="80" w:type="dxa"/>
              <w:right w:w="80" w:type="dxa"/>
            </w:tcMar>
          </w:tcPr>
          <w:p>
            <w:pPr>
              <w:spacing w:before="40" w:after="40"/>
              <w:jc w:val="center"/>
            </w:pPr>
            <w:r>
              <w:rPr>
                <w:b/>
                <w:color w:val="1E3A8A"/>
                <w:sz w:val="28"/>
              </w:rPr>
              <w:t>98.51%</w:t>
              <w:br/>
            </w:r>
            <w:r>
              <w:rPr>
                <w:b/>
                <w:color w:val="475569"/>
                <w:sz w:val="18"/>
              </w:rPr>
              <w:t>Deduplication Rate</w:t>
              <w:br/>
            </w:r>
            <w:r>
              <w:rPr>
                <w:color w:val="0F172A"/>
                <w:sz w:val="15"/>
              </w:rPr>
              <w:t>Catalog consolidation efficiency</w:t>
            </w:r>
          </w:p>
        </w:tc>
        <w:tc>
          <w:tcPr>
            <w:tcW w:type="dxa" w:w="2340"/>
            <w:shd w:fill="F1F5F9"/>
            <w:tcMar>
              <w:top w:w="100" w:type="dxa"/>
              <w:bottom w:w="100" w:type="dxa"/>
              <w:left w:w="80" w:type="dxa"/>
              <w:right w:w="80" w:type="dxa"/>
            </w:tcMar>
          </w:tcPr>
          <w:p>
            <w:pPr>
              <w:spacing w:before="40" w:after="40"/>
              <w:jc w:val="center"/>
            </w:pPr>
            <w:r>
              <w:rPr>
                <w:b/>
                <w:color w:val="1E3A8A"/>
                <w:sz w:val="28"/>
              </w:rPr>
              <w:t>₹3.27 Cr</w:t>
              <w:br/>
            </w:r>
            <w:r>
              <w:rPr>
                <w:b/>
                <w:color w:val="475569"/>
                <w:sz w:val="18"/>
              </w:rPr>
              <w:t>Identified Savings</w:t>
              <w:br/>
            </w:r>
            <w:r>
              <w:rPr>
                <w:color w:val="0F172A"/>
                <w:sz w:val="15"/>
              </w:rPr>
              <w:t>Immediate recurring synergy</w:t>
            </w:r>
          </w:p>
        </w:tc>
        <w:tc>
          <w:tcPr>
            <w:tcW w:type="dxa" w:w="2340"/>
            <w:shd w:fill="F1F5F9"/>
            <w:tcMar>
              <w:top w:w="100" w:type="dxa"/>
              <w:bottom w:w="100" w:type="dxa"/>
              <w:left w:w="80" w:type="dxa"/>
              <w:right w:w="80" w:type="dxa"/>
            </w:tcMar>
          </w:tcPr>
          <w:p>
            <w:pPr>
              <w:spacing w:before="40" w:after="40"/>
              <w:jc w:val="center"/>
            </w:pPr>
            <w:r>
              <w:rPr>
                <w:b/>
                <w:color w:val="1E3A8A"/>
                <w:sz w:val="28"/>
              </w:rPr>
              <w:t>145 Groups</w:t>
              <w:br/>
            </w:r>
            <w:r>
              <w:rPr>
                <w:b/>
                <w:color w:val="475569"/>
                <w:sz w:val="18"/>
              </w:rPr>
              <w:t>Active Clusters</w:t>
              <w:br/>
            </w:r>
            <w:r>
              <w:rPr>
                <w:color w:val="0F172A"/>
                <w:sz w:val="15"/>
              </w:rPr>
              <w:t>Consolidated from 738 items</w:t>
            </w:r>
          </w:p>
        </w:tc>
        <w:tc>
          <w:tcPr>
            <w:tcW w:type="dxa" w:w="2340"/>
            <w:shd w:fill="F1F5F9"/>
            <w:tcMar>
              <w:top w:w="100" w:type="dxa"/>
              <w:bottom w:w="100" w:type="dxa"/>
              <w:left w:w="80" w:type="dxa"/>
              <w:right w:w="80" w:type="dxa"/>
            </w:tcMar>
          </w:tcPr>
          <w:p>
            <w:pPr>
              <w:spacing w:before="40" w:after="40"/>
              <w:jc w:val="center"/>
            </w:pPr>
            <w:r>
              <w:rPr>
                <w:b/>
                <w:color w:val="1E3A8A"/>
                <w:sz w:val="28"/>
              </w:rPr>
              <w:t>0 Incidents</w:t>
              <w:br/>
            </w:r>
            <w:r>
              <w:rPr>
                <w:b/>
                <w:color w:val="475569"/>
                <w:sz w:val="18"/>
              </w:rPr>
              <w:t>Critical False Positives</w:t>
              <w:br/>
            </w:r>
            <w:r>
              <w:rPr>
                <w:color w:val="0F172A"/>
                <w:sz w:val="15"/>
              </w:rPr>
              <w:t>100% blocked by physics engine</w:t>
            </w:r>
          </w:p>
        </w:tc>
      </w:tr>
    </w:tbl>
    <w:p>
      <w:pPr>
        <w:spacing w:after="280"/>
      </w:pP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7"/>
      </w:rPr>
      <w:t>National Unified Material Master (NUMM) · Ministry of Petroleum &amp; Natural Gas · SIH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