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CF6"/>
          <w:sz w:val="17"/>
        </w:rPr>
        <w:t>NATIONAL UNIFIED MATERIAL MASTER (NUMM) · AI/ML ARCHITECTURE SPECIFICATION</w:t>
      </w:r>
    </w:p>
    <w:p>
      <w:pPr>
        <w:spacing w:after="60"/>
      </w:pPr>
      <w:r>
        <w:rPr>
          <w:b/>
          <w:color w:val="1E3A8A"/>
          <w:sz w:val="44"/>
        </w:rPr>
        <w:t>AI / ML Enhancement Requirements Specification</w:t>
      </w:r>
    </w:p>
    <w:p>
      <w:pPr>
        <w:spacing w:after="200"/>
      </w:pPr>
      <w:r>
        <w:rPr>
          <w:i/>
          <w:color w:val="475569"/>
          <w:sz w:val="21"/>
        </w:rPr>
        <w:t>Exhaustive Technical Gap Audit, Architectural Blueprint, and SOTA Enhancement Requirements for Industrial Catalog Harmonization across Indian Public Sector Energy Enterprises (MoP&amp;NG · SIH 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475569"/>
                <w:sz w:val="15"/>
              </w:rPr>
              <w:t>Spec Version</w:t>
              <w:br/>
            </w:r>
            <w:r>
              <w:rPr>
                <w:b/>
                <w:color w:val="1E3A8A"/>
                <w:sz w:val="17"/>
              </w:rPr>
              <w:t>v3.0-AI-SPEC</w:t>
            </w:r>
          </w:p>
        </w:tc>
        <w:tc>
          <w:tcPr>
            <w:tcW w:type="dxa" w:w="23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475569"/>
                <w:sz w:val="15"/>
              </w:rPr>
              <w:t>Architecture</w:t>
              <w:br/>
            </w:r>
            <w:r>
              <w:rPr>
                <w:b/>
                <w:color w:val="1E3A8A"/>
                <w:sz w:val="17"/>
              </w:rPr>
              <w:t>Neuro-Symbolic SOTA</w:t>
            </w:r>
          </w:p>
        </w:tc>
        <w:tc>
          <w:tcPr>
            <w:tcW w:type="dxa" w:w="23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475569"/>
                <w:sz w:val="15"/>
              </w:rPr>
              <w:t>Retrieval</w:t>
              <w:br/>
            </w:r>
            <w:r>
              <w:rPr>
                <w:b/>
                <w:color w:val="1E3A8A"/>
                <w:sz w:val="17"/>
              </w:rPr>
              <w:t>Dense HNSW + BM25 RRF</w:t>
            </w:r>
          </w:p>
        </w:tc>
        <w:tc>
          <w:tcPr>
            <w:tcW w:type="dxa" w:w="23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475569"/>
                <w:sz w:val="15"/>
              </w:rPr>
              <w:t>Safety Engine</w:t>
              <w:br/>
            </w:r>
            <w:r>
              <w:rPr>
                <w:b/>
                <w:color w:val="1E3A8A"/>
                <w:sz w:val="17"/>
              </w:rPr>
              <w:t>8-Dim Physics Blocker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color w:val="1E3A8A"/>
          <w:sz w:val="28"/>
        </w:rPr>
        <w:t>1. Executive Summary &amp; Baseline vs. Target Comparison</w:t>
      </w:r>
    </w:p>
    <w:p>
      <w:r>
        <w:t>A deep architectural audit of the current NUMM platform identified substantial opportunities to elevate the existing prototype into an enterprise-grade AI intelligence system. The table below contrasts the current implementation with the proposed SOTA architecture across all 10 core dimensions: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Technical Dimension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Current Baseline Prototype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Proposed Target SOTA Engine (v3.0)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1. Candidate Retrieval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Dense-only Bi-Encoder (MiniLM)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Two-Stage Hybrid: Dense + BM25Okapi with RRF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2. Vector Scalability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In-memory FAISS IndexFlatIP (O(N))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Persistent FAISS IndexHNSWFlat / IVF-PQ (O(log N))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3. Precision Reranking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None (Single-pass dot product)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Cross-Encoder Full Self-Attention Reranker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4. Attribute Extraction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Static Regex (6 parameters)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Deep Multi-Category Parser (14 parameters)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5. Contradiction Engine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3 basic fields (Pressure/Grade/Dim)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8-Dimension Industrial Physics Safety Matrix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6. Match Arbiter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Static heuristic weights (0.35/...)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Supervised Stacking GBDT with Platt Calibration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7. Group Clustering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Greedy order-dependent single pass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Leiden Community Graph Detection with Medoid Anchors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8. Taxonomy Engine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7-entry static dictionary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4-Level Hierarchical UNSPSC (50,000+ codes)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9. Active Learning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Manual CLI batch scripts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Automated Epistemic Uncertainty Sampling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10. Explainability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Static canned text strings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Token Feature Attribution + Local Quantized SLM XAI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color w:val="1E3A8A"/>
          <w:sz w:val="28"/>
        </w:rPr>
        <w:t>2. The 8 Strategic AI/ML Enhancement Pillars</w:t>
      </w:r>
    </w:p>
    <w:p>
      <w:pPr>
        <w:pStyle w:val="Heading2"/>
      </w:pPr>
      <w:r>
        <w:rPr>
          <w:color w:val="4338CA"/>
          <w:sz w:val="22"/>
        </w:rPr>
        <w:t>Pillar 1: Two-Stage Hybrid Neural Retrieval (Dense Vector + Sparse BM25 with RRF)</w:t>
      </w:r>
    </w:p>
    <w:p>
      <w:pPr>
        <w:spacing w:after="60"/>
      </w:pPr>
      <w:r>
        <w:t>Combines dense semantic vectors (SentenceTransformers) with sparse keyword search (BM25Okapi) using Reciprocal Rank Fusion (RRF). Dense vectors capture synonymy (VLV == VALVE), while BM25 guarantees 100% precision on alphanumeric part numbers, OEM codes, and imperial fractions. Replaces IndexFlatIP with persistent FAISS IndexHNSWFlat for sub-millisecond retrieval across 5,000,000+ national records.</w:t>
      </w:r>
    </w:p>
    <w:p>
      <w:pPr>
        <w:pStyle w:val="Heading2"/>
      </w:pPr>
      <w:r>
        <w:rPr>
          <w:color w:val="4338CA"/>
          <w:sz w:val="22"/>
        </w:rPr>
        <w:t>Pillar 2: Precision Cross-Encoder Reranker for Boundary Candidates</w:t>
      </w:r>
    </w:p>
    <w:p>
      <w:pPr>
        <w:spacing w:after="60"/>
      </w:pPr>
      <w:r>
        <w:t>Bi-encoders compress descriptions into isolated vectors, losing token-to-token interactions. A fine-tuned Cross-Encoder evaluates the top-10 candidates from Stage 1 retrieval whose bi-encoder confidence falls in the boundary ambiguity zone (0.60 to 0.88), processing the pair simultaneously through full transformer self-attention for ultra-high ranking precision.</w:t>
      </w:r>
    </w:p>
    <w:p>
      <w:pPr>
        <w:pStyle w:val="Heading2"/>
      </w:pPr>
      <w:r>
        <w:rPr>
          <w:color w:val="4338CA"/>
          <w:sz w:val="22"/>
        </w:rPr>
        <w:t>Pillar 3: 8-Dimension Industrial Physics Contradiction Matrix</w:t>
      </w:r>
    </w:p>
    <w:p>
      <w:pPr>
        <w:spacing w:after="60"/>
      </w:pPr>
      <w:r>
        <w:t>Expands physical safety checks from 3 fields to all 8 critical oil &amp; gas dimensions: (1) Pressure Rating/PN Class, (2) Base Metallurgy &amp; NACE MR0175 Sour Gas compliance, (3) Nominal Bore/OD with numerical tolerance, (4) Wall Thickness/Schedule, (5) Flange Facing (RF vs FF vs RTJ), (6) Fire-Safe Certification (API 607/6FA), (7) Hazardous Area Classification (Ex-d/Ex-ia), and (8) Valve Trim Metallurgy. Any hard conflict slashes confidence by 25% and caps it at ≤ 0.60, strictly preventing hazardous refinery accidents.</w:t>
      </w:r>
    </w:p>
    <w:p>
      <w:pPr>
        <w:pStyle w:val="Heading2"/>
      </w:pPr>
      <w:r>
        <w:rPr>
          <w:color w:val="4338CA"/>
          <w:sz w:val="22"/>
        </w:rPr>
        <w:t>Pillar 4: Graph-Theoretic Leiden Community Detection for Global Clustering</w:t>
      </w:r>
    </w:p>
    <w:p>
      <w:pPr>
        <w:spacing w:after="60"/>
      </w:pPr>
      <w:r>
        <w:t>Replaces the flawed greedy order-dependent clustering loop with global graph optimization. Constructs an undirected graph where nodes are materials and edges represent validated compatibility scores. Applies Leiden community partitioning to guarantee consistent, order-independent equivalence clusters, automatically selecting the medoid centrality node as the National Canonical Master Anchor.</w:t>
      </w:r>
    </w:p>
    <w:p>
      <w:pPr>
        <w:pStyle w:val="Heading2"/>
      </w:pPr>
      <w:r>
        <w:rPr>
          <w:color w:val="4338CA"/>
          <w:sz w:val="22"/>
        </w:rPr>
        <w:t>Pillar 5: 4-Level Hierarchical UNSPSC Commodity Classifier</w:t>
      </w:r>
    </w:p>
    <w:p>
      <w:pPr>
        <w:spacing w:after="60"/>
      </w:pPr>
      <w:r>
        <w:t>Replaces the 7-keyword dictionary with an AI classifier spanning all 50,000 official 8-digit UNSPSC commodity codes (Segment → Family → Class → Commodity) using zero-shot semantic k-NN over pre-computed taxonomy embeddings. Activates category-conditioned dynamic attribute extraction (e.g. Trim and Cv for Valves; Flow and Head for Pumps).</w:t>
      </w:r>
    </w:p>
    <w:p>
      <w:pPr>
        <w:pStyle w:val="Heading2"/>
      </w:pPr>
      <w:r>
        <w:rPr>
          <w:color w:val="4338CA"/>
          <w:sz w:val="22"/>
        </w:rPr>
        <w:t>Pillar 6: Calibrated ML Match Arbiter &amp; Epistemic Uncertainty Sampling</w:t>
      </w:r>
    </w:p>
    <w:p>
      <w:pPr>
        <w:spacing w:after="60"/>
      </w:pPr>
      <w:r>
        <w:t>Replaces heuristic static weights with a supervised Gradient Boosted Decision Tree (LightGBM) trained on 10 extracted multi-signal features. Uses Platt scaling to output true calibrated match probabilities. Prioritizes the human steward review queue by Epistemic Uncertainty (sampling borderline cases near 50% probability to maximize active learning gain per human click).</w:t>
      </w:r>
    </w:p>
    <w:p>
      <w:pPr>
        <w:pStyle w:val="Heading2"/>
      </w:pPr>
      <w:r>
        <w:rPr>
          <w:color w:val="4338CA"/>
          <w:sz w:val="22"/>
        </w:rPr>
        <w:t>Pillar 7: Deep Attribute Extractor with Numerical Physics &amp; Tolerance Equivalence</w:t>
      </w:r>
    </w:p>
    <w:p>
      <w:pPr>
        <w:spacing w:after="60"/>
      </w:pPr>
      <w:r>
        <w:t>Converts all imperial and metric dimensions into continuous SI units (millimeters) and applies floating-point engineering tolerances (e.g. |D1 - D2| ≤ 0.5 mm). Integrates an international metallurgical compatibility graph (e.g. ASTM A105 forging vs A216 WCB casting compatible under ASME B16.34, but A182 F316 strictly incompatible).</w:t>
      </w:r>
    </w:p>
    <w:p>
      <w:pPr>
        <w:pStyle w:val="Heading2"/>
      </w:pPr>
      <w:r>
        <w:rPr>
          <w:color w:val="4338CA"/>
          <w:sz w:val="22"/>
        </w:rPr>
        <w:t>Pillar 8: Local Quantized Small Language Model (SLM) for Human-Grade Explainability</w:t>
      </w:r>
    </w:p>
    <w:p>
      <w:pPr>
        <w:spacing w:after="60"/>
      </w:pPr>
      <w:r>
        <w:t>Integrates an offline, quantized 4-bit Small Language Model (e.g. Qwen-2.5-1.5B or Llama-3.2-1B running locally via ONNX Runtime / llama.cpp in ~950MB RAM). Generates concise, 2-sentence formal engineering rationales explaining technical compatibility or safety divergence in plain English for auditors.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color w:val="1E3A8A"/>
          <w:sz w:val="28"/>
        </w:rPr>
        <w:t>3. Modernized AI/ML Target Architecture Diagram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rchitecture_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7"/>
        </w:rPr>
        <w:t>Figure 1: Complete End-to-End Flow of the Modernized NUMM AI/ML Intelligence Pipeline</w:t>
      </w:r>
    </w:p>
    <w:p>
      <w:pPr>
        <w:pStyle w:val="Heading1"/>
      </w:pPr>
      <w:r>
        <w:rPr>
          <w:b/>
          <w:color w:val="1E3A8A"/>
          <w:sz w:val="28"/>
        </w:rPr>
        <w:t>4. Production Hardware Sizing &amp; Throughput Budget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Resource Dimension</w:t>
            </w:r>
          </w:p>
        </w:tc>
        <w:tc>
          <w:tcPr>
            <w:tcW w:type="dxa" w:w="33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CPU-Only Configuration</w:t>
            </w:r>
          </w:p>
        </w:tc>
        <w:tc>
          <w:tcPr>
            <w:tcW w:type="dxa" w:w="33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GPU-Accelerated Configuration (Recommended)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Compute Processor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8 vCPUs (Intel Xeon / AMD EPYC)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8 vCPUs + 1x NVIDIA T4 / RTX 3060 (8GB VRAM)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System Memory (RAM)</w:t>
            </w:r>
          </w:p>
        </w:tc>
        <w:tc>
          <w:tcPr>
            <w:tcW w:type="dxa" w:w="33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16 GB DDR4</w:t>
            </w:r>
          </w:p>
        </w:tc>
        <w:tc>
          <w:tcPr>
            <w:tcW w:type="dxa" w:w="33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16 GB DDR4 + 8 GB GPU VRAM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Stage 1 Retrieval Latency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&lt; 4.5 milliseconds per item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&lt; 1.2 milliseconds per item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Stage 2 Reranking Latency</w:t>
            </w:r>
          </w:p>
        </w:tc>
        <w:tc>
          <w:tcPr>
            <w:tcW w:type="dxa" w:w="33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&lt; 14.0 milliseconds for Top-10</w:t>
            </w:r>
          </w:p>
        </w:tc>
        <w:tc>
          <w:tcPr>
            <w:tcW w:type="dxa" w:w="33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&lt; 3.5 milliseconds for Top-10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Batch Throughput Rate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~25,000 pairs / minute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~220,000 pairs / minute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color w:val="1E3A8A"/>
          <w:sz w:val="28"/>
        </w:rPr>
        <w:t>5. Implementation Phasing, Time Estimates &amp; Acceptance Criteria</w:t>
      </w:r>
    </w:p>
    <w:p>
      <w:r>
        <w:rPr>
          <w:b/>
          <w:color w:val="1E3A8A"/>
          <w:sz w:val="22"/>
        </w:rPr>
        <w:t>5.1 Real-Time AI Agent Implementation Timeline (Antigravity Pairing)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Included Pillars &amp; Enhancements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Agent Build Time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Strategic Impact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Phase 1: Critical Safety &amp; Search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Pillar 1 (Hybrid BM25+Dense) + Pillar 3 (8D Physics Matrix) + Pillar 7 (Tolerance)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~25 - 35 mins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Fixes 80% of safety issues; eliminates alphanumeric part misses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Phase 2: Deduplication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Pillar 4 (Leiden Graph Clustering) + Pillar 5 (4-Level UNSPSC Classifier)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~25 - 35 mins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Removes greedy order bias; maps to 50,000+ commodity codes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Phase 3: ML Precision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Pillar 2 (Cross-Encoder Reranker) + Pillar 6 (Calibrated LightGBM Arbiter)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~30 - 40 mins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Sharpens 0.60-0.88 boundary pairs; outputs true match probabilities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Phase 4: Explainability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Pillar 8 (Quantized Local SLM) + Automated End-to-End Test Suite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~25 - 35 mins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Produces 2-sentence plain-English justifications; zero-error validation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left w:val="single" w:sz="36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 xml:space="preserve">📌 TIMELINE SUMMARY &amp; BENCHMARKS: </w:t>
            </w:r>
            <w:r>
              <w:rPr>
                <w:color w:val="0F172A"/>
                <w:sz w:val="18"/>
              </w:rPr>
              <w:t>Total Real-Time Agent Build Time: ~1.5 to 2.5 hours for complete end-to-end implementation and verification.</w:t>
              <w:br/>
              <w:t>Traditional Team Benchmarks: Hackathon Sprint Team = 3 to 5 days | Enterprise CPSE Rollout = 3 to 4 weeks.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b/>
          <w:color w:val="1E3A8A"/>
          <w:sz w:val="22"/>
        </w:rPr>
        <w:t>5.2 Verification &amp; Production 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Metric / Benchmark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Acceptance Target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Validation Dataset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Retrieval Ranking Precision (NDCG@10)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≥ 0.920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5,000 Verified Industrial MRO Test Pairs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Recall@50 (Hybrid Stage 1)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≥ 98.5%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Cross-CPSE Multi-Enterprise Benchmark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Safety False Merge Rate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0.00% (Zero-Tolerance)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Physical Parameter Contradiction Stress Set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Steward Alignment Correlation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≥ 95.0% Pearson Correlation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Historical SQLite Human Review Ledger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Air-Gapped Data Sovereignty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100% Offline (Zero External API calls)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 w:val="0"/>
                <w:color w:val="0F172A"/>
                <w:sz w:val="17"/>
              </w:rPr>
              <w:t>Air-Gapped Local Server Deployment Test</w:t>
            </w:r>
          </w:p>
        </w:tc>
      </w:tr>
    </w:tbl>
    <w:p>
      <w:pPr>
        <w:spacing w:after="200"/>
      </w:pP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>National Unified Material Master (NUMM) · AI/ML Enhancement Specification · MoP&amp;NG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