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8B5CF6"/>
          <w:sz w:val="18"/>
        </w:rPr>
        <w:t>NATIONAL UNIFIED MATERIAL MASTER (NUMM) · SYSTEM ARCHITECTURE &amp; INTEGRATION</w:t>
      </w:r>
    </w:p>
    <w:p>
      <w:pPr>
        <w:spacing w:before="40" w:after="80"/>
      </w:pPr>
      <w:r>
        <w:rPr>
          <w:b/>
          <w:color w:val="1E3A8A"/>
          <w:sz w:val="48"/>
        </w:rPr>
        <w:t>Backend Architecture &amp; Integration Guide</w:t>
      </w:r>
    </w:p>
    <w:p>
      <w:pPr>
        <w:spacing w:before="0" w:after="240"/>
      </w:pPr>
      <w:r>
        <w:rPr>
          <w:i/>
          <w:color w:val="475569"/>
          <w:sz w:val="22"/>
        </w:rPr>
        <w:t>A Comprehensive Non-Technical Blueprint: How the Backend, AI Engine, Database, and Frontend User Interface Integrate to Drive National Catalog Harmonization.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00" w:type="dxa"/>
              <w:right w:w="100" w:type="dxa"/>
            </w:tcMar>
          </w:tcPr>
          <w:p>
            <w:pPr>
              <w:spacing w:before="20" w:after="20"/>
            </w:pPr>
            <w:r>
              <w:rPr>
                <w:color w:val="475569"/>
                <w:sz w:val="16"/>
              </w:rPr>
              <w:t>Framework</w:t>
              <w:br/>
            </w:r>
            <w:r>
              <w:rPr>
                <w:b/>
                <w:color w:val="1E3A8A"/>
                <w:sz w:val="18"/>
              </w:rPr>
              <w:t>FastAPI + React 18</w:t>
            </w:r>
          </w:p>
        </w:tc>
        <w:tc>
          <w:tcPr>
            <w:tcW w:type="dxa" w:w="2340"/>
            <w:shd w:fill="F1F5F9"/>
            <w:tcMar>
              <w:top w:w="80" w:type="dxa"/>
              <w:bottom w:w="80" w:type="dxa"/>
              <w:left w:w="100" w:type="dxa"/>
              <w:right w:w="100" w:type="dxa"/>
            </w:tcMar>
          </w:tcPr>
          <w:p>
            <w:pPr>
              <w:spacing w:before="20" w:after="20"/>
            </w:pPr>
            <w:r>
              <w:rPr>
                <w:color w:val="475569"/>
                <w:sz w:val="16"/>
              </w:rPr>
              <w:t>Database</w:t>
              <w:br/>
            </w:r>
            <w:r>
              <w:rPr>
                <w:b/>
                <w:color w:val="1E3A8A"/>
                <w:sz w:val="18"/>
              </w:rPr>
              <w:t>SQLite (Embedded Relational)</w:t>
            </w:r>
          </w:p>
        </w:tc>
        <w:tc>
          <w:tcPr>
            <w:tcW w:type="dxa" w:w="2340"/>
            <w:shd w:fill="F1F5F9"/>
            <w:tcMar>
              <w:top w:w="80" w:type="dxa"/>
              <w:bottom w:w="80" w:type="dxa"/>
              <w:left w:w="100" w:type="dxa"/>
              <w:right w:w="100" w:type="dxa"/>
            </w:tcMar>
          </w:tcPr>
          <w:p>
            <w:pPr>
              <w:spacing w:before="20" w:after="20"/>
            </w:pPr>
            <w:r>
              <w:rPr>
                <w:color w:val="475569"/>
                <w:sz w:val="16"/>
              </w:rPr>
              <w:t>AI Subsystem</w:t>
              <w:br/>
            </w:r>
            <w:r>
              <w:rPr>
                <w:b/>
                <w:color w:val="1E3A8A"/>
                <w:sz w:val="18"/>
              </w:rPr>
              <w:t>FAISS + Fine-Tuned MiniLM</w:t>
            </w:r>
          </w:p>
        </w:tc>
        <w:tc>
          <w:tcPr>
            <w:tcW w:type="dxa" w:w="2340"/>
            <w:shd w:fill="F1F5F9"/>
            <w:tcMar>
              <w:top w:w="80" w:type="dxa"/>
              <w:bottom w:w="80" w:type="dxa"/>
              <w:left w:w="100" w:type="dxa"/>
              <w:right w:w="100" w:type="dxa"/>
            </w:tcMar>
          </w:tcPr>
          <w:p>
            <w:pPr>
              <w:spacing w:before="20" w:after="20"/>
            </w:pPr>
            <w:r>
              <w:rPr>
                <w:color w:val="475569"/>
                <w:sz w:val="16"/>
              </w:rPr>
              <w:t>Target Users</w:t>
              <w:br/>
            </w:r>
            <w:r>
              <w:rPr>
                <w:b/>
                <w:color w:val="1E3A8A"/>
                <w:sz w:val="18"/>
              </w:rPr>
              <w:t>Executives &amp; Catalog Stewards</w:t>
            </w:r>
          </w:p>
        </w:tc>
      </w:tr>
    </w:tbl>
    <w:p>
      <w:pPr>
        <w:spacing w:after="160"/>
      </w:pPr>
    </w:p>
    <w:p>
      <w:pPr>
        <w:pStyle w:val="Heading1"/>
      </w:pPr>
      <w:r>
        <w:rPr>
          <w:b/>
          <w:color w:val="1E3A8A"/>
          <w:sz w:val="30"/>
        </w:rPr>
        <w:t>1. The Executive Big Picture: The Airport Analogy</w:t>
      </w:r>
    </w:p>
    <w:p>
      <w:r>
        <w:t xml:space="preserve">To understand how NUMM works without getting buried in computer code, imagine an </w:t>
      </w:r>
      <w:r>
        <w:rPr>
          <w:b/>
        </w:rPr>
        <w:t>Air Traffic Control Tower at a busy international airport</w:t>
      </w:r>
      <w:r>
        <w:t xml:space="preserve"> where flights arrive from five major airlines (ONGC, IOCL, GAIL, HPCL, BPCL):</w:t>
        <w:br/>
        <w:br/>
        <w:t>• The Cockpit (Frontend UI): This is the pilot's dashboard. It displays intuitive dials, switches, alerts, and screens so human operators can make clear decisions without needing to understand the engine's inner wiring.</w:t>
        <w:br/>
        <w:br/>
        <w:t>• The Control Tower (Backend FastAPI Server): This is the central coordinator. It receives radio calls from all planes, verifies flight plans, prevents mid-air collisions, directs planes to runways, and saves logs into the black-box recorder.</w:t>
        <w:br/>
        <w:br/>
        <w:t>• The Radar &amp; Weather Sensors (AI &amp; Physics Engine): This is the automated detection system. It tracks thousands of blips in milliseconds, translates different languages spoken by pilots, and sounds an unbendable alarm if two planes get dangerously close.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36" w:space="0" w:color="1E3A8A"/>
              <w:top w:val="none"/>
              <w:right w:val="none"/>
              <w:bottom w:val="none"/>
            </w:tcBorders>
          </w:tcPr>
          <w:p>
            <w:pPr>
              <w:spacing w:before="40" w:after="60"/>
            </w:pPr>
            <w:r>
              <w:rPr>
                <w:b/>
                <w:color w:val="1E3A8A"/>
                <w:sz w:val="20"/>
              </w:rPr>
              <w:t xml:space="preserve">📌 THE GOVERNANCE GOLDEN RULE: </w:t>
            </w:r>
            <w:r>
              <w:rPr>
                <w:color w:val="0F172A"/>
                <w:sz w:val="19"/>
              </w:rPr>
              <w:t>Core Philosophy: 'AI Recommends, Human Approves.' The AI never changes company catalogs behind closed doors. It acts as an intelligent assistant that does 99% of the heavy comparison work in milliseconds, but the final decision to merge, link, or archive is always executed by an authorized human data steward.</w:t>
            </w:r>
          </w:p>
        </w:tc>
      </w:tr>
    </w:tbl>
    <w:p>
      <w:pPr>
        <w:spacing w:after="80"/>
      </w:pPr>
    </w:p>
    <w:p>
      <w:pPr>
        <w:pStyle w:val="Heading1"/>
      </w:pPr>
      <w:r>
        <w:rPr>
          <w:b/>
          <w:color w:val="1E3A8A"/>
          <w:sz w:val="30"/>
        </w:rPr>
        <w:t>2. The Modern Tech Stack: What Every Tool Does</w:t>
      </w:r>
    </w:p>
    <w:p>
      <w:r>
        <w:t>Every component in our system was specifically chosen for maximum speed, enterprise reliability, and 100% data privacy:</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1E3A8A"/>
            <w:tcMar>
              <w:top w:w="130" w:type="dxa"/>
              <w:bottom w:w="130" w:type="dxa"/>
              <w:left w:w="130" w:type="dxa"/>
              <w:right w:w="130" w:type="dxa"/>
            </w:tcMar>
          </w:tcPr>
          <w:p>
            <w:pPr>
              <w:spacing w:before="40" w:after="40"/>
              <w:jc w:val="left"/>
            </w:pPr>
            <w:r>
              <w:rPr>
                <w:b/>
                <w:color w:val="FFFFFF"/>
                <w:sz w:val="19"/>
              </w:rPr>
              <w:t>Layer / Tool</w:t>
            </w:r>
          </w:p>
        </w:tc>
        <w:tc>
          <w:tcPr>
            <w:tcW w:type="dxa" w:w="3168"/>
            <w:shd w:fill="1E3A8A"/>
            <w:tcMar>
              <w:top w:w="130" w:type="dxa"/>
              <w:bottom w:w="130" w:type="dxa"/>
              <w:left w:w="130" w:type="dxa"/>
              <w:right w:w="130" w:type="dxa"/>
            </w:tcMar>
          </w:tcPr>
          <w:p>
            <w:pPr>
              <w:spacing w:before="40" w:after="40"/>
              <w:jc w:val="left"/>
            </w:pPr>
            <w:r>
              <w:rPr>
                <w:b/>
                <w:color w:val="FFFFFF"/>
                <w:sz w:val="19"/>
              </w:rPr>
              <w:t>Plain-English Role</w:t>
            </w:r>
          </w:p>
        </w:tc>
        <w:tc>
          <w:tcPr>
            <w:tcW w:type="dxa" w:w="3600"/>
            <w:shd w:fill="1E3A8A"/>
            <w:tcMar>
              <w:top w:w="130" w:type="dxa"/>
              <w:bottom w:w="130" w:type="dxa"/>
              <w:left w:w="130" w:type="dxa"/>
              <w:right w:w="130" w:type="dxa"/>
            </w:tcMar>
          </w:tcPr>
          <w:p>
            <w:pPr>
              <w:spacing w:before="40" w:after="40"/>
              <w:jc w:val="left"/>
            </w:pPr>
            <w:r>
              <w:rPr>
                <w:b/>
                <w:color w:val="FFFFFF"/>
                <w:sz w:val="19"/>
              </w:rPr>
              <w:t>Why It Was Chosen</w:t>
            </w:r>
          </w:p>
        </w:tc>
      </w:tr>
      <w:tr>
        <w:tc>
          <w:tcPr>
            <w:tcW w:type="dxa" w:w="2592"/>
            <w:shd w:fill="FFFFFF"/>
            <w:tcMar>
              <w:top w:w="90" w:type="dxa"/>
              <w:bottom w:w="90" w:type="dxa"/>
              <w:left w:w="130" w:type="dxa"/>
              <w:right w:w="130" w:type="dxa"/>
            </w:tcMar>
          </w:tcPr>
          <w:p>
            <w:pPr>
              <w:spacing w:before="40" w:after="40"/>
            </w:pPr>
            <w:r>
              <w:rPr>
                <w:b/>
                <w:color w:val="0F172A"/>
                <w:sz w:val="18"/>
              </w:rPr>
              <w:t>React 18 + Tailwind</w:t>
            </w:r>
          </w:p>
        </w:tc>
        <w:tc>
          <w:tcPr>
            <w:tcW w:type="dxa" w:w="3168"/>
            <w:shd w:fill="FFFFFF"/>
            <w:tcMar>
              <w:top w:w="90" w:type="dxa"/>
              <w:bottom w:w="90" w:type="dxa"/>
              <w:left w:w="130" w:type="dxa"/>
              <w:right w:w="130" w:type="dxa"/>
            </w:tcMar>
          </w:tcPr>
          <w:p>
            <w:pPr>
              <w:spacing w:before="40" w:after="40"/>
            </w:pPr>
            <w:r>
              <w:rPr>
                <w:b w:val="0"/>
                <w:color w:val="0F172A"/>
                <w:sz w:val="18"/>
              </w:rPr>
              <w:t>The User Interface</w:t>
            </w:r>
          </w:p>
        </w:tc>
        <w:tc>
          <w:tcPr>
            <w:tcW w:type="dxa" w:w="3600"/>
            <w:shd w:fill="FFFFFF"/>
            <w:tcMar>
              <w:top w:w="90" w:type="dxa"/>
              <w:bottom w:w="90" w:type="dxa"/>
              <w:left w:w="130" w:type="dxa"/>
              <w:right w:w="130" w:type="dxa"/>
            </w:tcMar>
          </w:tcPr>
          <w:p>
            <w:pPr>
              <w:spacing w:before="40" w:after="40"/>
            </w:pPr>
            <w:r>
              <w:rPr>
                <w:b w:val="0"/>
                <w:color w:val="0F172A"/>
                <w:sz w:val="18"/>
              </w:rPr>
              <w:t>Instant responsive interface, zero page flickers, supports high-contrast dark and light themes.</w:t>
            </w:r>
          </w:p>
        </w:tc>
      </w:tr>
      <w:tr>
        <w:tc>
          <w:tcPr>
            <w:tcW w:type="dxa" w:w="2592"/>
            <w:shd w:fill="F8FAFC"/>
            <w:tcMar>
              <w:top w:w="90" w:type="dxa"/>
              <w:bottom w:w="90" w:type="dxa"/>
              <w:left w:w="130" w:type="dxa"/>
              <w:right w:w="130" w:type="dxa"/>
            </w:tcMar>
          </w:tcPr>
          <w:p>
            <w:pPr>
              <w:spacing w:before="40" w:after="40"/>
            </w:pPr>
            <w:r>
              <w:rPr>
                <w:b/>
                <w:color w:val="0F172A"/>
                <w:sz w:val="18"/>
              </w:rPr>
              <w:t>FastAPI (Python 3.13)</w:t>
            </w:r>
          </w:p>
        </w:tc>
        <w:tc>
          <w:tcPr>
            <w:tcW w:type="dxa" w:w="3168"/>
            <w:shd w:fill="F8FAFC"/>
            <w:tcMar>
              <w:top w:w="90" w:type="dxa"/>
              <w:bottom w:w="90" w:type="dxa"/>
              <w:left w:w="130" w:type="dxa"/>
              <w:right w:w="130" w:type="dxa"/>
            </w:tcMar>
          </w:tcPr>
          <w:p>
            <w:pPr>
              <w:spacing w:before="40" w:after="40"/>
            </w:pPr>
            <w:r>
              <w:rPr>
                <w:b w:val="0"/>
                <w:color w:val="0F172A"/>
                <w:sz w:val="18"/>
              </w:rPr>
              <w:t>The Central Backend Engine</w:t>
            </w:r>
          </w:p>
        </w:tc>
        <w:tc>
          <w:tcPr>
            <w:tcW w:type="dxa" w:w="3600"/>
            <w:shd w:fill="F8FAFC"/>
            <w:tcMar>
              <w:top w:w="90" w:type="dxa"/>
              <w:bottom w:w="90" w:type="dxa"/>
              <w:left w:w="130" w:type="dxa"/>
              <w:right w:w="130" w:type="dxa"/>
            </w:tcMar>
          </w:tcPr>
          <w:p>
            <w:pPr>
              <w:spacing w:before="40" w:after="40"/>
            </w:pPr>
            <w:r>
              <w:rPr>
                <w:b w:val="0"/>
                <w:color w:val="0F172A"/>
                <w:sz w:val="18"/>
              </w:rPr>
              <w:t>One of the fastest web frameworks in existence; processes incoming catalog streams in milliseconds.</w:t>
            </w:r>
          </w:p>
        </w:tc>
      </w:tr>
      <w:tr>
        <w:tc>
          <w:tcPr>
            <w:tcW w:type="dxa" w:w="2592"/>
            <w:shd w:fill="FFFFFF"/>
            <w:tcMar>
              <w:top w:w="90" w:type="dxa"/>
              <w:bottom w:w="90" w:type="dxa"/>
              <w:left w:w="130" w:type="dxa"/>
              <w:right w:w="130" w:type="dxa"/>
            </w:tcMar>
          </w:tcPr>
          <w:p>
            <w:pPr>
              <w:spacing w:before="40" w:after="40"/>
            </w:pPr>
            <w:r>
              <w:rPr>
                <w:b/>
                <w:color w:val="0F172A"/>
                <w:sz w:val="18"/>
              </w:rPr>
              <w:t>SQLite Relational DB</w:t>
            </w:r>
          </w:p>
        </w:tc>
        <w:tc>
          <w:tcPr>
            <w:tcW w:type="dxa" w:w="3168"/>
            <w:shd w:fill="FFFFFF"/>
            <w:tcMar>
              <w:top w:w="90" w:type="dxa"/>
              <w:bottom w:w="90" w:type="dxa"/>
              <w:left w:w="130" w:type="dxa"/>
              <w:right w:w="130" w:type="dxa"/>
            </w:tcMar>
          </w:tcPr>
          <w:p>
            <w:pPr>
              <w:spacing w:before="40" w:after="40"/>
            </w:pPr>
            <w:r>
              <w:rPr>
                <w:b w:val="0"/>
                <w:color w:val="0F172A"/>
                <w:sz w:val="18"/>
              </w:rPr>
              <w:t>The Secure Filing Cabinet</w:t>
            </w:r>
          </w:p>
        </w:tc>
        <w:tc>
          <w:tcPr>
            <w:tcW w:type="dxa" w:w="3600"/>
            <w:shd w:fill="FFFFFF"/>
            <w:tcMar>
              <w:top w:w="90" w:type="dxa"/>
              <w:bottom w:w="90" w:type="dxa"/>
              <w:left w:w="130" w:type="dxa"/>
              <w:right w:w="130" w:type="dxa"/>
            </w:tcMar>
          </w:tcPr>
          <w:p>
            <w:pPr>
              <w:spacing w:before="40" w:after="40"/>
            </w:pPr>
            <w:r>
              <w:rPr>
                <w:b w:val="0"/>
                <w:color w:val="0F172A"/>
                <w:sz w:val="18"/>
              </w:rPr>
              <w:t>Lightweight, zero-setup, self-contained relational database holding materials, mappings, and audit logs.</w:t>
            </w:r>
          </w:p>
        </w:tc>
      </w:tr>
      <w:tr>
        <w:tc>
          <w:tcPr>
            <w:tcW w:type="dxa" w:w="2592"/>
            <w:shd w:fill="F8FAFC"/>
            <w:tcMar>
              <w:top w:w="90" w:type="dxa"/>
              <w:bottom w:w="90" w:type="dxa"/>
              <w:left w:w="130" w:type="dxa"/>
              <w:right w:w="130" w:type="dxa"/>
            </w:tcMar>
          </w:tcPr>
          <w:p>
            <w:pPr>
              <w:spacing w:before="40" w:after="40"/>
            </w:pPr>
            <w:r>
              <w:rPr>
                <w:b/>
                <w:color w:val="0F172A"/>
                <w:sz w:val="18"/>
              </w:rPr>
              <w:t>SentenceTransformers</w:t>
            </w:r>
          </w:p>
        </w:tc>
        <w:tc>
          <w:tcPr>
            <w:tcW w:type="dxa" w:w="3168"/>
            <w:shd w:fill="F8FAFC"/>
            <w:tcMar>
              <w:top w:w="90" w:type="dxa"/>
              <w:bottom w:w="90" w:type="dxa"/>
              <w:left w:w="130" w:type="dxa"/>
              <w:right w:w="130" w:type="dxa"/>
            </w:tcMar>
          </w:tcPr>
          <w:p>
            <w:pPr>
              <w:spacing w:before="40" w:after="40"/>
            </w:pPr>
            <w:r>
              <w:rPr>
                <w:b w:val="0"/>
                <w:color w:val="0F172A"/>
                <w:sz w:val="18"/>
              </w:rPr>
              <w:t>The Meaning Translator (AI)</w:t>
            </w:r>
          </w:p>
        </w:tc>
        <w:tc>
          <w:tcPr>
            <w:tcW w:type="dxa" w:w="3600"/>
            <w:shd w:fill="F8FAFC"/>
            <w:tcMar>
              <w:top w:w="90" w:type="dxa"/>
              <w:bottom w:w="90" w:type="dxa"/>
              <w:left w:w="130" w:type="dxa"/>
              <w:right w:w="130" w:type="dxa"/>
            </w:tcMar>
          </w:tcPr>
          <w:p>
            <w:pPr>
              <w:spacing w:before="40" w:after="40"/>
            </w:pPr>
            <w:r>
              <w:rPr>
                <w:b w:val="0"/>
                <w:color w:val="0F172A"/>
                <w:sz w:val="18"/>
              </w:rPr>
              <w:t>Fine-tuned on industrial equipment; understands that 'VLV' and 'VALVE' are the same physical item.</w:t>
            </w:r>
          </w:p>
        </w:tc>
      </w:tr>
      <w:tr>
        <w:tc>
          <w:tcPr>
            <w:tcW w:type="dxa" w:w="2592"/>
            <w:shd w:fill="FFFFFF"/>
            <w:tcMar>
              <w:top w:w="90" w:type="dxa"/>
              <w:bottom w:w="90" w:type="dxa"/>
              <w:left w:w="130" w:type="dxa"/>
              <w:right w:w="130" w:type="dxa"/>
            </w:tcMar>
          </w:tcPr>
          <w:p>
            <w:pPr>
              <w:spacing w:before="40" w:after="40"/>
            </w:pPr>
            <w:r>
              <w:rPr>
                <w:b/>
                <w:color w:val="0F172A"/>
                <w:sz w:val="18"/>
              </w:rPr>
              <w:t>FAISS (Facebook AI)</w:t>
            </w:r>
          </w:p>
        </w:tc>
        <w:tc>
          <w:tcPr>
            <w:tcW w:type="dxa" w:w="3168"/>
            <w:shd w:fill="FFFFFF"/>
            <w:tcMar>
              <w:top w:w="90" w:type="dxa"/>
              <w:bottom w:w="90" w:type="dxa"/>
              <w:left w:w="130" w:type="dxa"/>
              <w:right w:w="130" w:type="dxa"/>
            </w:tcMar>
          </w:tcPr>
          <w:p>
            <w:pPr>
              <w:spacing w:before="40" w:after="40"/>
            </w:pPr>
            <w:r>
              <w:rPr>
                <w:b w:val="0"/>
                <w:color w:val="0F172A"/>
                <w:sz w:val="18"/>
              </w:rPr>
              <w:t>The High-Speed Radar</w:t>
            </w:r>
          </w:p>
        </w:tc>
        <w:tc>
          <w:tcPr>
            <w:tcW w:type="dxa" w:w="3600"/>
            <w:shd w:fill="FFFFFF"/>
            <w:tcMar>
              <w:top w:w="90" w:type="dxa"/>
              <w:bottom w:w="90" w:type="dxa"/>
              <w:left w:w="130" w:type="dxa"/>
              <w:right w:w="130" w:type="dxa"/>
            </w:tcMar>
          </w:tcPr>
          <w:p>
            <w:pPr>
              <w:spacing w:before="40" w:after="40"/>
            </w:pPr>
            <w:r>
              <w:rPr>
                <w:b w:val="0"/>
                <w:color w:val="0F172A"/>
                <w:sz w:val="18"/>
              </w:rPr>
              <w:t>Scans 50,000+ national records in less than 3 milliseconds to find candidate duplicates.</w:t>
            </w:r>
          </w:p>
        </w:tc>
      </w:tr>
      <w:tr>
        <w:tc>
          <w:tcPr>
            <w:tcW w:type="dxa" w:w="2592"/>
            <w:shd w:fill="F8FAFC"/>
            <w:tcMar>
              <w:top w:w="90" w:type="dxa"/>
              <w:bottom w:w="90" w:type="dxa"/>
              <w:left w:w="130" w:type="dxa"/>
              <w:right w:w="130" w:type="dxa"/>
            </w:tcMar>
          </w:tcPr>
          <w:p>
            <w:pPr>
              <w:spacing w:before="40" w:after="40"/>
            </w:pPr>
            <w:r>
              <w:rPr>
                <w:b/>
                <w:color w:val="0F172A"/>
                <w:sz w:val="18"/>
              </w:rPr>
              <w:t>Deterministic Regex</w:t>
            </w:r>
          </w:p>
        </w:tc>
        <w:tc>
          <w:tcPr>
            <w:tcW w:type="dxa" w:w="3168"/>
            <w:shd w:fill="F8FAFC"/>
            <w:tcMar>
              <w:top w:w="90" w:type="dxa"/>
              <w:bottom w:w="90" w:type="dxa"/>
              <w:left w:w="130" w:type="dxa"/>
              <w:right w:w="130" w:type="dxa"/>
            </w:tcMar>
          </w:tcPr>
          <w:p>
            <w:pPr>
              <w:spacing w:before="40" w:after="40"/>
            </w:pPr>
            <w:r>
              <w:rPr>
                <w:b w:val="0"/>
                <w:color w:val="0F172A"/>
                <w:sz w:val="18"/>
              </w:rPr>
              <w:t>The Spec Detective</w:t>
            </w:r>
          </w:p>
        </w:tc>
        <w:tc>
          <w:tcPr>
            <w:tcW w:type="dxa" w:w="3600"/>
            <w:shd w:fill="F8FAFC"/>
            <w:tcMar>
              <w:top w:w="90" w:type="dxa"/>
              <w:bottom w:w="90" w:type="dxa"/>
              <w:left w:w="130" w:type="dxa"/>
              <w:right w:w="130" w:type="dxa"/>
            </w:tcMar>
          </w:tcPr>
          <w:p>
            <w:pPr>
              <w:spacing w:before="40" w:after="40"/>
            </w:pPr>
            <w:r>
              <w:rPr>
                <w:b w:val="0"/>
                <w:color w:val="0F172A"/>
                <w:sz w:val="18"/>
              </w:rPr>
              <w:t>Extracts physical numbers (size, pressure, metal grade, standard) with mathematical certainty.</w:t>
            </w:r>
          </w:p>
        </w:tc>
      </w:tr>
      <w:tr>
        <w:tc>
          <w:tcPr>
            <w:tcW w:type="dxa" w:w="2592"/>
            <w:shd w:fill="FFFFFF"/>
            <w:tcMar>
              <w:top w:w="90" w:type="dxa"/>
              <w:bottom w:w="90" w:type="dxa"/>
              <w:left w:w="130" w:type="dxa"/>
              <w:right w:w="130" w:type="dxa"/>
            </w:tcMar>
          </w:tcPr>
          <w:p>
            <w:pPr>
              <w:spacing w:before="40" w:after="40"/>
            </w:pPr>
            <w:r>
              <w:rPr>
                <w:b/>
                <w:color w:val="0F172A"/>
                <w:sz w:val="18"/>
              </w:rPr>
              <w:t>SHA-256 Audit Trail</w:t>
            </w:r>
          </w:p>
        </w:tc>
        <w:tc>
          <w:tcPr>
            <w:tcW w:type="dxa" w:w="3168"/>
            <w:shd w:fill="FFFFFF"/>
            <w:tcMar>
              <w:top w:w="90" w:type="dxa"/>
              <w:bottom w:w="90" w:type="dxa"/>
              <w:left w:w="130" w:type="dxa"/>
              <w:right w:w="130" w:type="dxa"/>
            </w:tcMar>
          </w:tcPr>
          <w:p>
            <w:pPr>
              <w:spacing w:before="40" w:after="40"/>
            </w:pPr>
            <w:r>
              <w:rPr>
                <w:b w:val="0"/>
                <w:color w:val="0F172A"/>
                <w:sz w:val="18"/>
              </w:rPr>
              <w:t>The Cryptographic Black Box</w:t>
            </w:r>
          </w:p>
        </w:tc>
        <w:tc>
          <w:tcPr>
            <w:tcW w:type="dxa" w:w="3600"/>
            <w:shd w:fill="FFFFFF"/>
            <w:tcMar>
              <w:top w:w="90" w:type="dxa"/>
              <w:bottom w:w="90" w:type="dxa"/>
              <w:left w:w="130" w:type="dxa"/>
              <w:right w:w="130" w:type="dxa"/>
            </w:tcMar>
          </w:tcPr>
          <w:p>
            <w:pPr>
              <w:spacing w:before="40" w:after="40"/>
            </w:pPr>
            <w:r>
              <w:rPr>
                <w:b w:val="0"/>
                <w:color w:val="0F172A"/>
                <w:sz w:val="18"/>
              </w:rPr>
              <w:t>Every single steward decision is digitally sealed so that records cannot be altered or falsified.</w:t>
            </w:r>
          </w:p>
        </w:tc>
      </w:tr>
    </w:tbl>
    <w:p>
      <w:pPr>
        <w:spacing w:after="160"/>
      </w:pPr>
    </w:p>
    <w:p>
      <w:r>
        <w:br w:type="page"/>
      </w:r>
    </w:p>
    <w:p>
      <w:pPr>
        <w:pStyle w:val="Heading1"/>
      </w:pPr>
      <w:r>
        <w:rPr>
          <w:b/>
          <w:color w:val="1E3A8A"/>
          <w:sz w:val="30"/>
        </w:rPr>
        <w:t>3. End-to-End System Architecture Blueprint</w:t>
      </w:r>
    </w:p>
    <w:p>
      <w:r>
        <w:t>The diagram below illustrates how raw CPSE data feeds travel from corporate ERP systems through our backend, are processed by the AI and deterministic physics engines, and surface in real time on the React dashboard:</w:t>
      </w:r>
    </w:p>
    <w:p>
      <w:pPr>
        <w:spacing w:before="120" w:after="80"/>
        <w:jc w:val="center"/>
      </w:pPr>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ai_architecture_diagram.jpg"/>
                    <pic:cNvPicPr/>
                  </pic:nvPicPr>
                  <pic:blipFill>
                    <a:blip r:embed="rId9"/>
                    <a:stretch>
                      <a:fillRect/>
                    </a:stretch>
                  </pic:blipFill>
                  <pic:spPr>
                    <a:xfrm>
                      <a:off x="0" y="0"/>
                      <a:ext cx="5943600" cy="3317358"/>
                    </a:xfrm>
                    <a:prstGeom prst="rect"/>
                  </pic:spPr>
                </pic:pic>
              </a:graphicData>
            </a:graphic>
          </wp:inline>
        </w:drawing>
      </w:r>
    </w:p>
    <w:p>
      <w:pPr>
        <w:spacing w:after="240"/>
        <w:jc w:val="center"/>
      </w:pPr>
      <w:r>
        <w:rPr>
          <w:i/>
          <w:color w:val="475569"/>
          <w:sz w:val="17"/>
        </w:rPr>
        <w:t>Figure 1: Full-Stack Integration Flow of the National Unified Material Master (NUMM)</w:t>
      </w:r>
    </w:p>
    <w:p>
      <w:pPr>
        <w:pStyle w:val="Heading1"/>
      </w:pPr>
      <w:r>
        <w:rPr>
          <w:b/>
          <w:color w:val="1E3A8A"/>
          <w:sz w:val="30"/>
        </w:rPr>
        <w:t>4. The 6 Core Backend Functional Blocks</w:t>
      </w:r>
    </w:p>
    <w:p>
      <w:r>
        <w:t>Inside the FastAPI server, six specialized functional engines work synchronously to guarantee speed, precision, and physical safety:</w:t>
      </w:r>
    </w:p>
    <w:p>
      <w:pPr>
        <w:pStyle w:val="Heading2"/>
      </w:pPr>
      <w:r>
        <w:rPr>
          <w:color w:val="4338CA"/>
          <w:sz w:val="22"/>
        </w:rPr>
        <w:t>Block 1: CPSE Data Ingestion Gateway (/api/cpse)</w:t>
      </w:r>
    </w:p>
    <w:p>
      <w:pPr>
        <w:spacing w:after="80"/>
      </w:pPr>
      <w:r>
        <w:t>Acts as the customs checkpoint. Whether ONGC sends a CSV file, IOCL connects via SAP S/4HANA, or GAIL uploads an Excel spreadsheet, this gateway inspects every row, removes corrupt lines, standardizes headers, and stores the raw records in the database without altering them.</w:t>
      </w:r>
    </w:p>
    <w:p>
      <w:pPr>
        <w:pStyle w:val="Heading2"/>
      </w:pPr>
      <w:r>
        <w:rPr>
          <w:color w:val="4338CA"/>
          <w:sz w:val="22"/>
        </w:rPr>
        <w:t>Block 2: The Spec Detective (Normalization &amp; Attribute Extractor)</w:t>
      </w:r>
    </w:p>
    <w:p>
      <w:pPr>
        <w:spacing w:after="80"/>
      </w:pPr>
      <w:r>
        <w:t>Cleans messy human typing and extracts the exact physical anatomy of each item:</w:t>
        <w:br/>
        <w:t>• Abbreviation Expansion: Translates 'VLV' → 'VALVE', 'CS' → 'CARBON STEEL', 'RF' → 'RAISED FACE'.</w:t>
        <w:br/>
        <w:t>• Measurement Standardization: Recognizes that 2IN, 2", 50MM, and DN50 mean the exact same dimension.</w:t>
        <w:br/>
        <w:t>• Technical Parameter Extraction: Pulls Noun, Modifier, Size, Pressure Rating, Material Grade, and 8-digit UNSPSC code.</w:t>
      </w:r>
    </w:p>
    <w:p>
      <w:pPr>
        <w:pStyle w:val="Heading2"/>
      </w:pPr>
      <w:r>
        <w:rPr>
          <w:color w:val="4338CA"/>
          <w:sz w:val="22"/>
        </w:rPr>
        <w:t>Block 3: The AI Vector Radar (/api/matching)</w:t>
      </w:r>
    </w:p>
    <w:p>
      <w:pPr>
        <w:spacing w:after="80"/>
      </w:pPr>
      <w:r>
        <w:t>Translates textual descriptions into 384 numbers (vectors) using our custom fine-tuned neural network. Using FAISS vector indexing, it scans 50,000+ national materials in 0.003 seconds to identify candidate matches across CPSEs.</w:t>
      </w:r>
    </w:p>
    <w:p>
      <w:pPr>
        <w:pStyle w:val="Heading2"/>
      </w:pPr>
      <w:r>
        <w:rPr>
          <w:color w:val="4338CA"/>
          <w:sz w:val="22"/>
        </w:rPr>
        <w:t>Block 4: The Deterministic Safety Blocker (The 'Physics Bouncer')</w:t>
      </w:r>
    </w:p>
    <w:p>
      <w:pPr>
        <w:spacing w:after="80"/>
      </w:pPr>
      <w:r>
        <w:t>The ultimate zero-tolerance safety guardrail. In oil and gas, a Class 150 valve (rated for 20 bar) must NEVER be installed on a Class 600 line (100 bar), and Carbon Steel must NEVER be substituted for Stainless Steel in corrosive sour gas. If the blocker detects any physical parameter contradiction, it slashes the match score by 25% and caps it at ≤ 0.60, strictly preventing automated merges.</w:t>
      </w:r>
    </w:p>
    <w:p>
      <w:pPr>
        <w:pStyle w:val="Heading2"/>
      </w:pPr>
      <w:r>
        <w:rPr>
          <w:color w:val="4338CA"/>
          <w:sz w:val="22"/>
        </w:rPr>
        <w:t>Block 5: The 4-Judge Tribunal (Hybrid Scoring)</w:t>
      </w:r>
    </w:p>
    <w:p>
      <w:pPr>
        <w:spacing w:after="80"/>
      </w:pPr>
      <w:r>
        <w:t>Combines four distinct perspectives into a weighted confidence formula:</w:t>
        <w:br/>
        <w:t>Score = (35% Semantic Meaning) + (25% Word Token Overlap) + (30% Physical Specs) + (10% Unit Compatibility).</w:t>
        <w:br/>
        <w:t>Items with ≥ 85% score enter the fast track; items between 65% and 85% are placed in the Review Queue.</w:t>
      </w:r>
    </w:p>
    <w:p>
      <w:pPr>
        <w:pStyle w:val="Heading2"/>
      </w:pPr>
      <w:r>
        <w:rPr>
          <w:color w:val="4338CA"/>
          <w:sz w:val="22"/>
        </w:rPr>
        <w:t>Block 6: Governance, Tamper-Proof Audit Trail &amp; ERP Export (/api/governance)</w:t>
      </w:r>
    </w:p>
    <w:p>
      <w:pPr>
        <w:spacing w:after="80"/>
      </w:pPr>
      <w:r>
        <w:t>Mints the unique national code (e.g. CNMC-VAL-2026-00001), links all enterprise aliases, logs the approval with an unalterable SHA-256 digital signature, and generates standardized SAP-ready CSV/JSON exports for enterprise IT systems.</w:t>
      </w:r>
    </w:p>
    <w:p>
      <w:pPr>
        <w:spacing w:after="120"/>
      </w:pPr>
    </w:p>
    <w:p>
      <w:pPr>
        <w:pStyle w:val="Heading1"/>
      </w:pPr>
      <w:r>
        <w:rPr>
          <w:b/>
          <w:color w:val="1E3A8A"/>
          <w:sz w:val="30"/>
        </w:rPr>
        <w:t>5. Step-by-Step Industrial Journey: From Raw Text to ₹1.4 Lakh Savings</w:t>
      </w:r>
    </w:p>
    <w:p>
      <w:r>
        <w:t>Here is a real example showing how two separate orders are merged into a national master code:</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1E3A8A"/>
            <w:tcMar>
              <w:top w:w="130" w:type="dxa"/>
              <w:bottom w:w="130" w:type="dxa"/>
              <w:left w:w="130" w:type="dxa"/>
              <w:right w:w="130" w:type="dxa"/>
            </w:tcMar>
          </w:tcPr>
          <w:p>
            <w:pPr>
              <w:spacing w:before="40" w:after="40"/>
              <w:jc w:val="left"/>
            </w:pPr>
            <w:r>
              <w:rPr>
                <w:b/>
                <w:color w:val="FFFFFF"/>
                <w:sz w:val="19"/>
              </w:rPr>
              <w:t>Milestone</w:t>
            </w:r>
          </w:p>
        </w:tc>
        <w:tc>
          <w:tcPr>
            <w:tcW w:type="dxa" w:w="3384"/>
            <w:shd w:fill="1E3A8A"/>
            <w:tcMar>
              <w:top w:w="130" w:type="dxa"/>
              <w:bottom w:w="130" w:type="dxa"/>
              <w:left w:w="130" w:type="dxa"/>
              <w:right w:w="130" w:type="dxa"/>
            </w:tcMar>
          </w:tcPr>
          <w:p>
            <w:pPr>
              <w:spacing w:before="40" w:after="40"/>
              <w:jc w:val="left"/>
            </w:pPr>
            <w:r>
              <w:rPr>
                <w:b/>
                <w:color w:val="FFFFFF"/>
                <w:sz w:val="19"/>
              </w:rPr>
              <w:t>ONGC ERP Record</w:t>
            </w:r>
          </w:p>
        </w:tc>
        <w:tc>
          <w:tcPr>
            <w:tcW w:type="dxa" w:w="3384"/>
            <w:shd w:fill="1E3A8A"/>
            <w:tcMar>
              <w:top w:w="130" w:type="dxa"/>
              <w:bottom w:w="130" w:type="dxa"/>
              <w:left w:w="130" w:type="dxa"/>
              <w:right w:w="130" w:type="dxa"/>
            </w:tcMar>
          </w:tcPr>
          <w:p>
            <w:pPr>
              <w:spacing w:before="40" w:after="40"/>
              <w:jc w:val="left"/>
            </w:pPr>
            <w:r>
              <w:rPr>
                <w:b/>
                <w:color w:val="FFFFFF"/>
                <w:sz w:val="19"/>
              </w:rPr>
              <w:t>IOCL ERP Record</w:t>
            </w:r>
          </w:p>
        </w:tc>
      </w:tr>
      <w:tr>
        <w:tc>
          <w:tcPr>
            <w:tcW w:type="dxa" w:w="2592"/>
            <w:shd w:fill="FFFFFF"/>
            <w:tcMar>
              <w:top w:w="90" w:type="dxa"/>
              <w:bottom w:w="90" w:type="dxa"/>
              <w:left w:w="130" w:type="dxa"/>
              <w:right w:w="130" w:type="dxa"/>
            </w:tcMar>
          </w:tcPr>
          <w:p>
            <w:pPr>
              <w:spacing w:before="40" w:after="40"/>
            </w:pPr>
            <w:r>
              <w:rPr>
                <w:b/>
                <w:color w:val="0F172A"/>
                <w:sz w:val="18"/>
              </w:rPr>
              <w:t>1. Raw Ingestion</w:t>
            </w:r>
          </w:p>
        </w:tc>
        <w:tc>
          <w:tcPr>
            <w:tcW w:type="dxa" w:w="3384"/>
            <w:shd w:fill="FFFFFF"/>
            <w:tcMar>
              <w:top w:w="90" w:type="dxa"/>
              <w:bottom w:w="90" w:type="dxa"/>
              <w:left w:w="130" w:type="dxa"/>
              <w:right w:w="130" w:type="dxa"/>
            </w:tcMar>
          </w:tcPr>
          <w:p>
            <w:pPr>
              <w:spacing w:before="40" w:after="40"/>
            </w:pPr>
            <w:r>
              <w:rPr>
                <w:b w:val="0"/>
                <w:color w:val="0F172A"/>
                <w:sz w:val="18"/>
              </w:rPr>
              <w:t>VLV BL 2IN 150# RF A105</w:t>
            </w:r>
          </w:p>
        </w:tc>
        <w:tc>
          <w:tcPr>
            <w:tcW w:type="dxa" w:w="3384"/>
            <w:shd w:fill="FFFFFF"/>
            <w:tcMar>
              <w:top w:w="90" w:type="dxa"/>
              <w:bottom w:w="90" w:type="dxa"/>
              <w:left w:w="130" w:type="dxa"/>
              <w:right w:w="130" w:type="dxa"/>
            </w:tcMar>
          </w:tcPr>
          <w:p>
            <w:pPr>
              <w:spacing w:before="40" w:after="40"/>
            </w:pPr>
            <w:r>
              <w:rPr>
                <w:b w:val="0"/>
                <w:color w:val="0F172A"/>
                <w:sz w:val="18"/>
              </w:rPr>
              <w:t>BALL VALVE 2" 150 LB WCB CS</w:t>
            </w:r>
          </w:p>
        </w:tc>
      </w:tr>
      <w:tr>
        <w:tc>
          <w:tcPr>
            <w:tcW w:type="dxa" w:w="2592"/>
            <w:shd w:fill="F8FAFC"/>
            <w:tcMar>
              <w:top w:w="90" w:type="dxa"/>
              <w:bottom w:w="90" w:type="dxa"/>
              <w:left w:w="130" w:type="dxa"/>
              <w:right w:w="130" w:type="dxa"/>
            </w:tcMar>
          </w:tcPr>
          <w:p>
            <w:pPr>
              <w:spacing w:before="40" w:after="40"/>
            </w:pPr>
            <w:r>
              <w:rPr>
                <w:b/>
                <w:color w:val="0F172A"/>
                <w:sz w:val="18"/>
              </w:rPr>
              <w:t>2. Cleaned Text</w:t>
            </w:r>
          </w:p>
        </w:tc>
        <w:tc>
          <w:tcPr>
            <w:tcW w:type="dxa" w:w="3384"/>
            <w:shd w:fill="F8FAFC"/>
            <w:tcMar>
              <w:top w:w="90" w:type="dxa"/>
              <w:bottom w:w="90" w:type="dxa"/>
              <w:left w:w="130" w:type="dxa"/>
              <w:right w:w="130" w:type="dxa"/>
            </w:tcMar>
          </w:tcPr>
          <w:p>
            <w:pPr>
              <w:spacing w:before="40" w:after="40"/>
            </w:pPr>
            <w:r>
              <w:rPr>
                <w:b w:val="0"/>
                <w:color w:val="0F172A"/>
                <w:sz w:val="18"/>
              </w:rPr>
              <w:t>VALVE BALL 2 INCH 150# RF A105</w:t>
            </w:r>
          </w:p>
        </w:tc>
        <w:tc>
          <w:tcPr>
            <w:tcW w:type="dxa" w:w="3384"/>
            <w:shd w:fill="F8FAFC"/>
            <w:tcMar>
              <w:top w:w="90" w:type="dxa"/>
              <w:bottom w:w="90" w:type="dxa"/>
              <w:left w:w="130" w:type="dxa"/>
              <w:right w:w="130" w:type="dxa"/>
            </w:tcMar>
          </w:tcPr>
          <w:p>
            <w:pPr>
              <w:spacing w:before="40" w:after="40"/>
            </w:pPr>
            <w:r>
              <w:rPr>
                <w:b w:val="0"/>
                <w:color w:val="0F172A"/>
                <w:sz w:val="18"/>
              </w:rPr>
              <w:t>BALL VALVE 2 INCH 150# RF WCB CS</w:t>
            </w:r>
          </w:p>
        </w:tc>
      </w:tr>
      <w:tr>
        <w:tc>
          <w:tcPr>
            <w:tcW w:type="dxa" w:w="2592"/>
            <w:shd w:fill="FFFFFF"/>
            <w:tcMar>
              <w:top w:w="90" w:type="dxa"/>
              <w:bottom w:w="90" w:type="dxa"/>
              <w:left w:w="130" w:type="dxa"/>
              <w:right w:w="130" w:type="dxa"/>
            </w:tcMar>
          </w:tcPr>
          <w:p>
            <w:pPr>
              <w:spacing w:before="40" w:after="40"/>
            </w:pPr>
            <w:r>
              <w:rPr>
                <w:b/>
                <w:color w:val="0F172A"/>
                <w:sz w:val="18"/>
              </w:rPr>
              <w:t>3. Extracted Specs</w:t>
            </w:r>
          </w:p>
        </w:tc>
        <w:tc>
          <w:tcPr>
            <w:tcW w:type="dxa" w:w="3384"/>
            <w:shd w:fill="FFFFFF"/>
            <w:tcMar>
              <w:top w:w="90" w:type="dxa"/>
              <w:bottom w:w="90" w:type="dxa"/>
              <w:left w:w="130" w:type="dxa"/>
              <w:right w:w="130" w:type="dxa"/>
            </w:tcMar>
          </w:tcPr>
          <w:p>
            <w:pPr>
              <w:spacing w:before="40" w:after="40"/>
            </w:pPr>
            <w:r>
              <w:rPr>
                <w:b w:val="0"/>
                <w:color w:val="0F172A"/>
                <w:sz w:val="18"/>
              </w:rPr>
              <w:t>Size: 2", Rating: 150#, Grade: A105</w:t>
              <w:br/>
              <w:t>UNSPSC: 40141607</w:t>
            </w:r>
          </w:p>
        </w:tc>
        <w:tc>
          <w:tcPr>
            <w:tcW w:type="dxa" w:w="3384"/>
            <w:shd w:fill="FFFFFF"/>
            <w:tcMar>
              <w:top w:w="90" w:type="dxa"/>
              <w:bottom w:w="90" w:type="dxa"/>
              <w:left w:w="130" w:type="dxa"/>
              <w:right w:w="130" w:type="dxa"/>
            </w:tcMar>
          </w:tcPr>
          <w:p>
            <w:pPr>
              <w:spacing w:before="40" w:after="40"/>
            </w:pPr>
            <w:r>
              <w:rPr>
                <w:b w:val="0"/>
                <w:color w:val="0F172A"/>
                <w:sz w:val="18"/>
              </w:rPr>
              <w:t>Size: 2", Rating: 150#, Grade: WCB</w:t>
              <w:br/>
              <w:t>UNSPSC: 40141607</w:t>
            </w:r>
          </w:p>
        </w:tc>
      </w:tr>
      <w:tr>
        <w:tc>
          <w:tcPr>
            <w:tcW w:type="dxa" w:w="2592"/>
            <w:shd w:fill="F8FAFC"/>
            <w:tcMar>
              <w:top w:w="90" w:type="dxa"/>
              <w:bottom w:w="90" w:type="dxa"/>
              <w:left w:w="130" w:type="dxa"/>
              <w:right w:w="130" w:type="dxa"/>
            </w:tcMar>
          </w:tcPr>
          <w:p>
            <w:pPr>
              <w:spacing w:before="40" w:after="40"/>
            </w:pPr>
            <w:r>
              <w:rPr>
                <w:b/>
                <w:color w:val="0F172A"/>
                <w:sz w:val="18"/>
              </w:rPr>
              <w:t>4. AI Scoring</w:t>
            </w:r>
          </w:p>
        </w:tc>
        <w:tc>
          <w:tcPr>
            <w:tcW w:type="dxa" w:w="3384"/>
            <w:shd w:fill="F8FAFC"/>
            <w:tcMar>
              <w:top w:w="90" w:type="dxa"/>
              <w:bottom w:w="90" w:type="dxa"/>
              <w:left w:w="130" w:type="dxa"/>
              <w:right w:w="130" w:type="dxa"/>
            </w:tcMar>
          </w:tcPr>
          <w:p>
            <w:pPr>
              <w:spacing w:before="40" w:after="40"/>
            </w:pPr>
            <w:r>
              <w:rPr>
                <w:b w:val="0"/>
                <w:color w:val="0F172A"/>
                <w:sz w:val="18"/>
              </w:rPr>
              <w:t>FAISS Similarity Search</w:t>
            </w:r>
          </w:p>
        </w:tc>
        <w:tc>
          <w:tcPr>
            <w:tcW w:type="dxa" w:w="3384"/>
            <w:shd w:fill="F8FAFC"/>
            <w:tcMar>
              <w:top w:w="90" w:type="dxa"/>
              <w:bottom w:w="90" w:type="dxa"/>
              <w:left w:w="130" w:type="dxa"/>
              <w:right w:w="130" w:type="dxa"/>
            </w:tcMar>
          </w:tcPr>
          <w:p>
            <w:pPr>
              <w:spacing w:before="40" w:after="40"/>
            </w:pPr>
            <w:r>
              <w:rPr>
                <w:b w:val="0"/>
                <w:color w:val="0F172A"/>
                <w:sz w:val="18"/>
              </w:rPr>
              <w:t>93.4% Composite Confidence Score</w:t>
            </w:r>
          </w:p>
        </w:tc>
      </w:tr>
      <w:tr>
        <w:tc>
          <w:tcPr>
            <w:tcW w:type="dxa" w:w="2592"/>
            <w:shd w:fill="FFFFFF"/>
            <w:tcMar>
              <w:top w:w="90" w:type="dxa"/>
              <w:bottom w:w="90" w:type="dxa"/>
              <w:left w:w="130" w:type="dxa"/>
              <w:right w:w="130" w:type="dxa"/>
            </w:tcMar>
          </w:tcPr>
          <w:p>
            <w:pPr>
              <w:spacing w:before="40" w:after="40"/>
            </w:pPr>
            <w:r>
              <w:rPr>
                <w:b/>
                <w:color w:val="0F172A"/>
                <w:sz w:val="18"/>
              </w:rPr>
              <w:t>5. Physics Safety</w:t>
            </w:r>
          </w:p>
        </w:tc>
        <w:tc>
          <w:tcPr>
            <w:tcW w:type="dxa" w:w="3384"/>
            <w:shd w:fill="FFFFFF"/>
            <w:tcMar>
              <w:top w:w="90" w:type="dxa"/>
              <w:bottom w:w="90" w:type="dxa"/>
              <w:left w:w="130" w:type="dxa"/>
              <w:right w:w="130" w:type="dxa"/>
            </w:tcMar>
          </w:tcPr>
          <w:p>
            <w:pPr>
              <w:spacing w:before="40" w:after="40"/>
            </w:pPr>
            <w:r>
              <w:rPr>
                <w:b w:val="0"/>
                <w:color w:val="0F172A"/>
                <w:sz w:val="18"/>
              </w:rPr>
              <w:t>Pressure: 150# == 150# (Match)</w:t>
              <w:br/>
              <w:t>Metal: A105 == WCB (Compatible CS)</w:t>
            </w:r>
          </w:p>
        </w:tc>
        <w:tc>
          <w:tcPr>
            <w:tcW w:type="dxa" w:w="3384"/>
            <w:shd w:fill="FFFFFF"/>
            <w:tcMar>
              <w:top w:w="90" w:type="dxa"/>
              <w:bottom w:w="90" w:type="dxa"/>
              <w:left w:w="130" w:type="dxa"/>
              <w:right w:w="130" w:type="dxa"/>
            </w:tcMar>
          </w:tcPr>
          <w:p>
            <w:pPr>
              <w:spacing w:before="40" w:after="40"/>
            </w:pPr>
            <w:r>
              <w:rPr>
                <w:b w:val="0"/>
                <w:color w:val="0F172A"/>
                <w:sz w:val="18"/>
              </w:rPr>
              <w:t>Result: PASS (No Hazard Flag)</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180" w:type="dxa"/>
            </w:tcMar>
            <w:tcBorders>
              <w:left w:val="single" w:sz="36" w:space="0" w:color="10B981"/>
              <w:top w:val="none"/>
              <w:right w:val="none"/>
              <w:bottom w:val="none"/>
            </w:tcBorders>
          </w:tcPr>
          <w:p>
            <w:pPr>
              <w:spacing w:before="40" w:after="60"/>
            </w:pPr>
            <w:r>
              <w:rPr>
                <w:b/>
                <w:color w:val="1E3A8A"/>
                <w:sz w:val="20"/>
              </w:rPr>
              <w:t xml:space="preserve">📌 THE REAL-WORLD BUSINESS IMPACT: </w:t>
            </w:r>
            <w:r>
              <w:rPr>
                <w:color w:val="0F172A"/>
                <w:sz w:val="19"/>
              </w:rPr>
              <w:t>Final Business Value: The National Master code CNMC-VAL-2026-00001 is minted. Both ONGC and IOCL keep their internal ERP numbers, but the Ministry now has total visibility across both inventories. In the next procurement cycle, the two CPSEs combine their purchase order, securing a ₹1.4 Lakh bulk volume discount per order and eliminating redundant warehouse safety stock.</w:t>
            </w:r>
          </w:p>
        </w:tc>
      </w:tr>
    </w:tbl>
    <w:p>
      <w:pPr>
        <w:spacing w:after="80"/>
      </w:pPr>
    </w:p>
    <w:p>
      <w:pPr>
        <w:pStyle w:val="Heading1"/>
      </w:pPr>
      <w:r>
        <w:rPr>
          <w:b/>
          <w:color w:val="1E3A8A"/>
          <w:sz w:val="30"/>
        </w:rPr>
        <w:t>6. UI to Backend Integration Matrix</w:t>
      </w:r>
    </w:p>
    <w:p>
      <w:r>
        <w:t>Every single screen in the React user interface is wired directly to live backend endpoints. There are zero fake placeholders or hardcoded mock numbers in the platform:</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1E3A8A"/>
            <w:tcMar>
              <w:top w:w="130" w:type="dxa"/>
              <w:bottom w:w="130" w:type="dxa"/>
              <w:left w:w="130" w:type="dxa"/>
              <w:right w:w="130" w:type="dxa"/>
            </w:tcMar>
          </w:tcPr>
          <w:p>
            <w:pPr>
              <w:spacing w:before="40" w:after="40"/>
              <w:jc w:val="left"/>
            </w:pPr>
            <w:r>
              <w:rPr>
                <w:b/>
                <w:color w:val="FFFFFF"/>
                <w:sz w:val="19"/>
              </w:rPr>
              <w:t>Screen in Web UI</w:t>
            </w:r>
          </w:p>
        </w:tc>
        <w:tc>
          <w:tcPr>
            <w:tcW w:type="dxa" w:w="3384"/>
            <w:shd w:fill="1E3A8A"/>
            <w:tcMar>
              <w:top w:w="130" w:type="dxa"/>
              <w:bottom w:w="130" w:type="dxa"/>
              <w:left w:w="130" w:type="dxa"/>
              <w:right w:w="130" w:type="dxa"/>
            </w:tcMar>
          </w:tcPr>
          <w:p>
            <w:pPr>
              <w:spacing w:before="40" w:after="40"/>
              <w:jc w:val="left"/>
            </w:pPr>
            <w:r>
              <w:rPr>
                <w:b/>
                <w:color w:val="FFFFFF"/>
                <w:sz w:val="19"/>
              </w:rPr>
              <w:t>What the User Sees</w:t>
            </w:r>
          </w:p>
        </w:tc>
        <w:tc>
          <w:tcPr>
            <w:tcW w:type="dxa" w:w="3384"/>
            <w:shd w:fill="1E3A8A"/>
            <w:tcMar>
              <w:top w:w="130" w:type="dxa"/>
              <w:bottom w:w="130" w:type="dxa"/>
              <w:left w:w="130" w:type="dxa"/>
              <w:right w:w="130" w:type="dxa"/>
            </w:tcMar>
          </w:tcPr>
          <w:p>
            <w:pPr>
              <w:spacing w:before="40" w:after="40"/>
              <w:jc w:val="left"/>
            </w:pPr>
            <w:r>
              <w:rPr>
                <w:b/>
                <w:color w:val="FFFFFF"/>
                <w:sz w:val="19"/>
              </w:rPr>
              <w:t>Backend Endpoint &amp; Live Data</w:t>
            </w:r>
          </w:p>
        </w:tc>
      </w:tr>
      <w:tr>
        <w:tc>
          <w:tcPr>
            <w:tcW w:type="dxa" w:w="2592"/>
            <w:shd w:fill="FFFFFF"/>
            <w:tcMar>
              <w:top w:w="90" w:type="dxa"/>
              <w:bottom w:w="90" w:type="dxa"/>
              <w:left w:w="130" w:type="dxa"/>
              <w:right w:w="130" w:type="dxa"/>
            </w:tcMar>
          </w:tcPr>
          <w:p>
            <w:pPr>
              <w:spacing w:before="40" w:after="40"/>
            </w:pPr>
            <w:r>
              <w:rPr>
                <w:b/>
                <w:color w:val="0F172A"/>
                <w:sz w:val="18"/>
              </w:rPr>
              <w:t>Overview Screen</w:t>
            </w:r>
          </w:p>
        </w:tc>
        <w:tc>
          <w:tcPr>
            <w:tcW w:type="dxa" w:w="3384"/>
            <w:shd w:fill="FFFFFF"/>
            <w:tcMar>
              <w:top w:w="90" w:type="dxa"/>
              <w:bottom w:w="90" w:type="dxa"/>
              <w:left w:w="130" w:type="dxa"/>
              <w:right w:w="130" w:type="dxa"/>
            </w:tcMar>
          </w:tcPr>
          <w:p>
            <w:pPr>
              <w:spacing w:before="40" w:after="40"/>
            </w:pPr>
            <w:r>
              <w:rPr>
                <w:b w:val="0"/>
                <w:color w:val="0F172A"/>
                <w:sz w:val="18"/>
              </w:rPr>
              <w:t>4 Live KPI Cards, Harmonization Spline Chart, Recent Audits</w:t>
            </w:r>
          </w:p>
        </w:tc>
        <w:tc>
          <w:tcPr>
            <w:tcW w:type="dxa" w:w="3384"/>
            <w:shd w:fill="FFFFFF"/>
            <w:tcMar>
              <w:top w:w="90" w:type="dxa"/>
              <w:bottom w:w="90" w:type="dxa"/>
              <w:left w:w="130" w:type="dxa"/>
              <w:right w:w="130" w:type="dxa"/>
            </w:tcMar>
          </w:tcPr>
          <w:p>
            <w:pPr>
              <w:spacing w:before="40" w:after="40"/>
            </w:pPr>
            <w:r>
              <w:rPr>
                <w:b w:val="0"/>
                <w:color w:val="0F172A"/>
                <w:sz w:val="18"/>
              </w:rPr>
              <w:t>GET /api/analytics/national</w:t>
              <w:br/>
              <w:t>Live 738 items, ₹3.27 Cr savings, 98.5% dedup ratio.</w:t>
            </w:r>
          </w:p>
        </w:tc>
      </w:tr>
      <w:tr>
        <w:tc>
          <w:tcPr>
            <w:tcW w:type="dxa" w:w="2592"/>
            <w:shd w:fill="F8FAFC"/>
            <w:tcMar>
              <w:top w:w="90" w:type="dxa"/>
              <w:bottom w:w="90" w:type="dxa"/>
              <w:left w:w="130" w:type="dxa"/>
              <w:right w:w="130" w:type="dxa"/>
            </w:tcMar>
          </w:tcPr>
          <w:p>
            <w:pPr>
              <w:spacing w:before="40" w:after="40"/>
            </w:pPr>
            <w:r>
              <w:rPr>
                <w:b/>
                <w:color w:val="0F172A"/>
                <w:sz w:val="18"/>
              </w:rPr>
              <w:t>Data Hub Screen</w:t>
            </w:r>
          </w:p>
        </w:tc>
        <w:tc>
          <w:tcPr>
            <w:tcW w:type="dxa" w:w="3384"/>
            <w:shd w:fill="F8FAFC"/>
            <w:tcMar>
              <w:top w:w="90" w:type="dxa"/>
              <w:bottom w:w="90" w:type="dxa"/>
              <w:left w:w="130" w:type="dxa"/>
              <w:right w:w="130" w:type="dxa"/>
            </w:tcMar>
          </w:tcPr>
          <w:p>
            <w:pPr>
              <w:spacing w:before="40" w:after="40"/>
            </w:pPr>
            <w:r>
              <w:rPr>
                <w:b w:val="0"/>
                <w:color w:val="0F172A"/>
                <w:sz w:val="18"/>
              </w:rPr>
              <w:t>CPSE connector cards with 'Sync Now' and upload buttons</w:t>
            </w:r>
          </w:p>
        </w:tc>
        <w:tc>
          <w:tcPr>
            <w:tcW w:type="dxa" w:w="3384"/>
            <w:shd w:fill="F8FAFC"/>
            <w:tcMar>
              <w:top w:w="90" w:type="dxa"/>
              <w:bottom w:w="90" w:type="dxa"/>
              <w:left w:w="130" w:type="dxa"/>
              <w:right w:w="130" w:type="dxa"/>
            </w:tcMar>
          </w:tcPr>
          <w:p>
            <w:pPr>
              <w:spacing w:before="40" w:after="40"/>
            </w:pPr>
            <w:r>
              <w:rPr>
                <w:b w:val="0"/>
                <w:color w:val="0F172A"/>
                <w:sz w:val="18"/>
              </w:rPr>
              <w:t>POST /api/cpse/{id}/sync</w:t>
              <w:br/>
              <w:t>Triggers delta sync across SAP connectors.</w:t>
            </w:r>
          </w:p>
        </w:tc>
      </w:tr>
      <w:tr>
        <w:tc>
          <w:tcPr>
            <w:tcW w:type="dxa" w:w="2592"/>
            <w:shd w:fill="FFFFFF"/>
            <w:tcMar>
              <w:top w:w="90" w:type="dxa"/>
              <w:bottom w:w="90" w:type="dxa"/>
              <w:left w:w="130" w:type="dxa"/>
              <w:right w:w="130" w:type="dxa"/>
            </w:tcMar>
          </w:tcPr>
          <w:p>
            <w:pPr>
              <w:spacing w:before="40" w:after="40"/>
            </w:pPr>
            <w:r>
              <w:rPr>
                <w:b/>
                <w:color w:val="0F172A"/>
                <w:sz w:val="18"/>
              </w:rPr>
              <w:t>Harmonization Screen</w:t>
            </w:r>
          </w:p>
        </w:tc>
        <w:tc>
          <w:tcPr>
            <w:tcW w:type="dxa" w:w="3384"/>
            <w:shd w:fill="FFFFFF"/>
            <w:tcMar>
              <w:top w:w="90" w:type="dxa"/>
              <w:bottom w:w="90" w:type="dxa"/>
              <w:left w:w="130" w:type="dxa"/>
              <w:right w:w="130" w:type="dxa"/>
            </w:tcMar>
          </w:tcPr>
          <w:p>
            <w:pPr>
              <w:spacing w:before="40" w:after="40"/>
            </w:pPr>
            <w:r>
              <w:rPr>
                <w:b w:val="0"/>
                <w:color w:val="0F172A"/>
                <w:sz w:val="18"/>
              </w:rPr>
              <w:t>Candidate cards with side-by-side specs and conflict tags</w:t>
            </w:r>
          </w:p>
        </w:tc>
        <w:tc>
          <w:tcPr>
            <w:tcW w:type="dxa" w:w="3384"/>
            <w:shd w:fill="FFFFFF"/>
            <w:tcMar>
              <w:top w:w="90" w:type="dxa"/>
              <w:bottom w:w="90" w:type="dxa"/>
              <w:left w:w="130" w:type="dxa"/>
              <w:right w:w="130" w:type="dxa"/>
            </w:tcMar>
          </w:tcPr>
          <w:p>
            <w:pPr>
              <w:spacing w:before="40" w:after="40"/>
            </w:pPr>
            <w:r>
              <w:rPr>
                <w:b w:val="0"/>
                <w:color w:val="0F172A"/>
                <w:sz w:val="18"/>
              </w:rPr>
              <w:t>GET /api/matching/groups</w:t>
              <w:br/>
              <w:t>Fetches candidate pairs with deterministic safety ratings.</w:t>
            </w:r>
          </w:p>
        </w:tc>
      </w:tr>
      <w:tr>
        <w:tc>
          <w:tcPr>
            <w:tcW w:type="dxa" w:w="2592"/>
            <w:shd w:fill="F8FAFC"/>
            <w:tcMar>
              <w:top w:w="90" w:type="dxa"/>
              <w:bottom w:w="90" w:type="dxa"/>
              <w:left w:w="130" w:type="dxa"/>
              <w:right w:w="130" w:type="dxa"/>
            </w:tcMar>
          </w:tcPr>
          <w:p>
            <w:pPr>
              <w:spacing w:before="40" w:after="40"/>
            </w:pPr>
            <w:r>
              <w:rPr>
                <w:b/>
                <w:color w:val="0F172A"/>
                <w:sz w:val="18"/>
              </w:rPr>
              <w:t>Review Queue Screen</w:t>
            </w:r>
          </w:p>
        </w:tc>
        <w:tc>
          <w:tcPr>
            <w:tcW w:type="dxa" w:w="3384"/>
            <w:shd w:fill="F8FAFC"/>
            <w:tcMar>
              <w:top w:w="90" w:type="dxa"/>
              <w:bottom w:w="90" w:type="dxa"/>
              <w:left w:w="130" w:type="dxa"/>
              <w:right w:w="130" w:type="dxa"/>
            </w:tcMar>
          </w:tcPr>
          <w:p>
            <w:pPr>
              <w:spacing w:before="40" w:after="40"/>
            </w:pPr>
            <w:r>
              <w:rPr>
                <w:b w:val="0"/>
                <w:color w:val="0F172A"/>
                <w:sz w:val="18"/>
              </w:rPr>
              <w:t>Bulk approval table with multi-select checkboxes</w:t>
            </w:r>
          </w:p>
        </w:tc>
        <w:tc>
          <w:tcPr>
            <w:tcW w:type="dxa" w:w="3384"/>
            <w:shd w:fill="F8FAFC"/>
            <w:tcMar>
              <w:top w:w="90" w:type="dxa"/>
              <w:bottom w:w="90" w:type="dxa"/>
              <w:left w:w="130" w:type="dxa"/>
              <w:right w:w="130" w:type="dxa"/>
            </w:tcMar>
          </w:tcPr>
          <w:p>
            <w:pPr>
              <w:spacing w:before="40" w:after="40"/>
            </w:pPr>
            <w:r>
              <w:rPr>
                <w:b w:val="0"/>
                <w:color w:val="0F172A"/>
                <w:sz w:val="18"/>
              </w:rPr>
              <w:t>POST /api/governance/.../bulk-review</w:t>
              <w:br/>
              <w:t>Approves and rationalizes up to 100 items at once.</w:t>
            </w:r>
          </w:p>
        </w:tc>
      </w:tr>
      <w:tr>
        <w:tc>
          <w:tcPr>
            <w:tcW w:type="dxa" w:w="2592"/>
            <w:shd w:fill="FFFFFF"/>
            <w:tcMar>
              <w:top w:w="90" w:type="dxa"/>
              <w:bottom w:w="90" w:type="dxa"/>
              <w:left w:w="130" w:type="dxa"/>
              <w:right w:w="130" w:type="dxa"/>
            </w:tcMar>
          </w:tcPr>
          <w:p>
            <w:pPr>
              <w:spacing w:before="40" w:after="40"/>
            </w:pPr>
            <w:r>
              <w:rPr>
                <w:b/>
                <w:color w:val="0F172A"/>
                <w:sz w:val="18"/>
              </w:rPr>
              <w:t>Master Catalogue</w:t>
            </w:r>
          </w:p>
        </w:tc>
        <w:tc>
          <w:tcPr>
            <w:tcW w:type="dxa" w:w="3384"/>
            <w:shd w:fill="FFFFFF"/>
            <w:tcMar>
              <w:top w:w="90" w:type="dxa"/>
              <w:bottom w:w="90" w:type="dxa"/>
              <w:left w:w="130" w:type="dxa"/>
              <w:right w:w="130" w:type="dxa"/>
            </w:tcMar>
          </w:tcPr>
          <w:p>
            <w:pPr>
              <w:spacing w:before="40" w:after="40"/>
            </w:pPr>
            <w:r>
              <w:rPr>
                <w:b w:val="0"/>
                <w:color w:val="0F172A"/>
                <w:sz w:val="18"/>
              </w:rPr>
              <w:t>Searchable national catalog of minted CNMC items</w:t>
            </w:r>
          </w:p>
        </w:tc>
        <w:tc>
          <w:tcPr>
            <w:tcW w:type="dxa" w:w="3384"/>
            <w:shd w:fill="FFFFFF"/>
            <w:tcMar>
              <w:top w:w="90" w:type="dxa"/>
              <w:bottom w:w="90" w:type="dxa"/>
              <w:left w:w="130" w:type="dxa"/>
              <w:right w:w="130" w:type="dxa"/>
            </w:tcMar>
          </w:tcPr>
          <w:p>
            <w:pPr>
              <w:spacing w:before="40" w:after="40"/>
            </w:pPr>
            <w:r>
              <w:rPr>
                <w:b w:val="0"/>
                <w:color w:val="0F172A"/>
                <w:sz w:val="18"/>
              </w:rPr>
              <w:t>GET /api/canonical?q={search}</w:t>
              <w:br/>
              <w:t>Delivers filtered national items in sub-milliseconds.</w:t>
            </w:r>
          </w:p>
        </w:tc>
      </w:tr>
      <w:tr>
        <w:tc>
          <w:tcPr>
            <w:tcW w:type="dxa" w:w="2592"/>
            <w:shd w:fill="F8FAFC"/>
            <w:tcMar>
              <w:top w:w="90" w:type="dxa"/>
              <w:bottom w:w="90" w:type="dxa"/>
              <w:left w:w="130" w:type="dxa"/>
              <w:right w:w="130" w:type="dxa"/>
            </w:tcMar>
          </w:tcPr>
          <w:p>
            <w:pPr>
              <w:spacing w:before="40" w:after="40"/>
            </w:pPr>
            <w:r>
              <w:rPr>
                <w:b/>
                <w:color w:val="0F172A"/>
                <w:sz w:val="18"/>
              </w:rPr>
              <w:t>Material Detail Screen</w:t>
            </w:r>
          </w:p>
        </w:tc>
        <w:tc>
          <w:tcPr>
            <w:tcW w:type="dxa" w:w="3384"/>
            <w:shd w:fill="F8FAFC"/>
            <w:tcMar>
              <w:top w:w="90" w:type="dxa"/>
              <w:bottom w:w="90" w:type="dxa"/>
              <w:left w:w="130" w:type="dxa"/>
              <w:right w:w="130" w:type="dxa"/>
            </w:tcMar>
          </w:tcPr>
          <w:p>
            <w:pPr>
              <w:spacing w:before="40" w:after="40"/>
            </w:pPr>
            <w:r>
              <w:rPr>
                <w:b w:val="0"/>
                <w:color w:val="0F172A"/>
                <w:sz w:val="18"/>
              </w:rPr>
              <w:t>Deep specification inspector and CPSE mapping matrix</w:t>
            </w:r>
          </w:p>
        </w:tc>
        <w:tc>
          <w:tcPr>
            <w:tcW w:type="dxa" w:w="3384"/>
            <w:shd w:fill="F8FAFC"/>
            <w:tcMar>
              <w:top w:w="90" w:type="dxa"/>
              <w:bottom w:w="90" w:type="dxa"/>
              <w:left w:w="130" w:type="dxa"/>
              <w:right w:w="130" w:type="dxa"/>
            </w:tcMar>
          </w:tcPr>
          <w:p>
            <w:pPr>
              <w:spacing w:before="40" w:after="40"/>
            </w:pPr>
            <w:r>
              <w:rPr>
                <w:b w:val="0"/>
                <w:color w:val="0F172A"/>
                <w:sz w:val="18"/>
              </w:rPr>
              <w:t>GET /api/canonical/{cnmc}</w:t>
              <w:br/>
              <w:t>Returns full cross-references and decision history.</w:t>
            </w:r>
          </w:p>
        </w:tc>
      </w:tr>
      <w:tr>
        <w:tc>
          <w:tcPr>
            <w:tcW w:type="dxa" w:w="2592"/>
            <w:shd w:fill="FFFFFF"/>
            <w:tcMar>
              <w:top w:w="90" w:type="dxa"/>
              <w:bottom w:w="90" w:type="dxa"/>
              <w:left w:w="130" w:type="dxa"/>
              <w:right w:w="130" w:type="dxa"/>
            </w:tcMar>
          </w:tcPr>
          <w:p>
            <w:pPr>
              <w:spacing w:before="40" w:after="40"/>
            </w:pPr>
            <w:r>
              <w:rPr>
                <w:b/>
                <w:color w:val="0F172A"/>
                <w:sz w:val="18"/>
              </w:rPr>
              <w:t>Live AI Sandboxes</w:t>
            </w:r>
          </w:p>
        </w:tc>
        <w:tc>
          <w:tcPr>
            <w:tcW w:type="dxa" w:w="3384"/>
            <w:shd w:fill="FFFFFF"/>
            <w:tcMar>
              <w:top w:w="90" w:type="dxa"/>
              <w:bottom w:w="90" w:type="dxa"/>
              <w:left w:w="130" w:type="dxa"/>
              <w:right w:w="130" w:type="dxa"/>
            </w:tcMar>
          </w:tcPr>
          <w:p>
            <w:pPr>
              <w:spacing w:before="40" w:after="40"/>
            </w:pPr>
            <w:r>
              <w:rPr>
                <w:b w:val="0"/>
                <w:color w:val="0F172A"/>
                <w:sz w:val="18"/>
              </w:rPr>
              <w:t>Interactive testing tools for engineers to test descriptions</w:t>
            </w:r>
          </w:p>
        </w:tc>
        <w:tc>
          <w:tcPr>
            <w:tcW w:type="dxa" w:w="3384"/>
            <w:shd w:fill="FFFFFF"/>
            <w:tcMar>
              <w:top w:w="90" w:type="dxa"/>
              <w:bottom w:w="90" w:type="dxa"/>
              <w:left w:w="130" w:type="dxa"/>
              <w:right w:w="130" w:type="dxa"/>
            </w:tcMar>
          </w:tcPr>
          <w:p>
            <w:pPr>
              <w:spacing w:before="40" w:after="40"/>
            </w:pPr>
            <w:r>
              <w:rPr>
                <w:b w:val="0"/>
                <w:color w:val="0F172A"/>
                <w:sz w:val="18"/>
              </w:rPr>
              <w:t>POST /api/matching/compare-live</w:t>
              <w:br/>
              <w:t>Real-time spec extractor and simulated hazard blocker.</w:t>
            </w:r>
          </w:p>
        </w:tc>
      </w:tr>
    </w:tbl>
    <w:p>
      <w:pPr>
        <w:spacing w:after="160"/>
      </w:pPr>
    </w:p>
    <w:p>
      <w:pPr>
        <w:pStyle w:val="Heading1"/>
      </w:pPr>
      <w:r>
        <w:rPr>
          <w:b/>
          <w:color w:val="1E3A8A"/>
          <w:sz w:val="30"/>
        </w:rPr>
        <w:t>7. Strategic Advantages for Enterprise Leadership</w:t>
      </w:r>
    </w:p>
    <w:p>
      <w:r>
        <w:t>Why this architecture is uniquely suited for Indian public sector energy enterprises:</w:t>
        <w:br/>
      </w:r>
    </w:p>
    <w:p>
      <w:pPr>
        <w:pStyle w:val="ListBullet"/>
        <w:spacing w:after="60"/>
      </w:pPr>
      <w:r>
        <w:rPr>
          <w:b/>
        </w:rPr>
        <w:t xml:space="preserve">100% Data Sovereignty (Zero Cloud Leakage): </w:t>
      </w:r>
      <w:r>
        <w:t>All AI models, vector databases, and matching algorithms run completely offline on local, air-gapped Indian servers. No sensitive defense, energy, or procurement data ever touches third-party commercial clouds.</w:t>
      </w:r>
    </w:p>
    <w:p>
      <w:pPr>
        <w:pStyle w:val="ListBullet"/>
        <w:spacing w:after="60"/>
      </w:pPr>
      <w:r>
        <w:rPr>
          <w:b/>
        </w:rPr>
        <w:t xml:space="preserve">Zero-Hallucination Engineering Guarantee: </w:t>
      </w:r>
      <w:r>
        <w:t>Pure AI language models (like ChatGPT) can make confident, fatal mistakes. NUMM combines fuzzy semantic understanding with unbendable mathematical and physical laws. If a physical parameter differs, the system refuses to merge it.</w:t>
      </w:r>
    </w:p>
    <w:p>
      <w:pPr>
        <w:pStyle w:val="ListBullet"/>
        <w:spacing w:after="60"/>
      </w:pPr>
      <w:r>
        <w:rPr>
          <w:b/>
        </w:rPr>
        <w:t xml:space="preserve">Active Learning &amp; Continuous Improvement: </w:t>
      </w:r>
      <w:r>
        <w:t>Every time a human engineer clicks 'Approve' or 'Flag Discrepancy', the backend captures the decision as a training triplet. In our latest GPU training, the model achieved a 96.28% correlation with human domain experts.</w:t>
      </w:r>
    </w:p>
    <w:p>
      <w:pPr>
        <w:pStyle w:val="ListBullet"/>
        <w:spacing w:after="60"/>
      </w:pPr>
      <w:r>
        <w:rPr>
          <w:b/>
        </w:rPr>
        <w:t xml:space="preserve">Measurable Economic Value: </w:t>
      </w:r>
      <w:r>
        <w:t>With a 98.51% catalog deduplication efficiency and ₹3.27+ Crore in immediate recurring savings across just 738 sample records, the platform pays for itself within months of deployment.</w:t>
      </w:r>
    </w:p>
    <w:p>
      <w:pPr>
        <w:spacing w:after="240"/>
      </w:pP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National Unified Material Master (NUMM) · Backend Architecture &amp; Integration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