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59669"/>
          <w:sz w:val="18"/>
        </w:rPr>
        <w:t>GOVERNMENT OF INDIA · MINISTRY OF PETROLEUM &amp; NATURAL GAS · SIH26099</w:t>
      </w:r>
    </w:p>
    <w:p>
      <w:pPr>
        <w:spacing w:before="40" w:after="40"/>
      </w:pPr>
      <w:r>
        <w:rPr>
          <w:rFonts w:ascii="Calibri" w:hAnsi="Calibri"/>
          <w:b/>
          <w:color w:val="0F2942"/>
          <w:sz w:val="48"/>
        </w:rPr>
        <w:t>National Unified Material Master (NUMM)</w:t>
      </w:r>
    </w:p>
    <w:p>
      <w:pPr>
        <w:spacing w:before="0" w:after="240"/>
      </w:pPr>
      <w:r>
        <w:rPr>
          <w:rFonts w:ascii="Calibri" w:hAnsi="Calibri"/>
          <w:color w:val="475569"/>
          <w:sz w:val="24"/>
        </w:rPr>
        <w:t>Comprehensive Technical &amp; Architectural Evaluation Defense Dossier</w:t>
        <w:br/>
        <w:t>One Nation – One Material Code across Central Public Sector Enterprises (CPSEs)</w:t>
      </w:r>
    </w:p>
    <w:tbl>
      <w:tblPr>
        <w:tblW w:type="auto" w:w="0"/>
        <w:jc w:val="center"/>
        <w:tblLayout w:type="fixed"/>
        <w:tblLook w:firstColumn="1" w:firstRow="1" w:lastColumn="0" w:lastRow="0" w:noHBand="0" w:noVBand="1" w:val="04A0"/>
      </w:tblPr>
      <w:tblGrid>
        <w:gridCol w:w="9648"/>
      </w:tblGrid>
      <w:tr>
        <w:tc>
          <w:tcPr>
            <w:tcW w:type="dxa" w:w="9648"/>
            <w:shd w:fill="F0FDF4"/>
            <w:tcMar>
              <w:top w:w="110" w:type="dxa"/>
              <w:bottom w:w="110" w:type="dxa"/>
              <w:left w:w="160" w:type="dxa"/>
              <w:right w:w="140" w:type="dxa"/>
            </w:tcMar>
            <w:tcBorders>
              <w:left w:val="single" w:sz="36" w:space="0" w:color="059669"/>
              <w:top w:val="none"/>
              <w:right w:val="none"/>
              <w:bottom w:val="none"/>
            </w:tcBorders>
          </w:tcPr>
          <w:p>
            <w:pPr>
              <w:spacing w:before="40" w:after="40" w:line="276" w:lineRule="auto"/>
            </w:pPr>
            <w:r>
              <w:rPr>
                <w:rFonts w:ascii="Calibri" w:hAnsi="Calibri"/>
                <w:b/>
                <w:color w:val="059669"/>
                <w:sz w:val="19"/>
              </w:rPr>
              <w:t xml:space="preserve">🇮🇳 EXECUTIVE EVALUATION ABSTRACT: </w:t>
            </w:r>
            <w:r>
              <w:rPr>
                <w:rFonts w:ascii="Calibri" w:hAnsi="Calibri"/>
                <w:color w:val="1E293B"/>
                <w:sz w:val="19"/>
              </w:rPr>
              <w:t>This evaluation dossier provides a rigorous, criteria-by-criteria defense of the National Unified Material Master platform. Engineered under the mandate of the Ministry of Petroleum &amp; Natural Gas (MoPNG), the system solves cross-CPSE catalog fragmentation across ONGC, IOCL, GAIL, HPCL, BPCL, and CPCL through a deterministic neuro-symbolic AI engine governed by international engineering standards (ASME, API, NACE, ASTM, IEC). Every claim in this document is backed by live operational source code, automated test suites, and empirical benchmarks.</w:t>
            </w:r>
          </w:p>
        </w:tc>
      </w:tr>
    </w:tbl>
    <w:p>
      <w:pPr>
        <w:spacing w:before="0" w:after="80"/>
      </w:pPr>
    </w:p>
    <w:tbl>
      <w:tblPr>
        <w:tblW w:type="auto" w:w="0"/>
        <w:jc w:val="center"/>
        <w:tblLayout w:type="fixed"/>
        <w:tblLook w:firstColumn="1" w:firstRow="1" w:lastColumn="0" w:lastRow="0" w:noHBand="0" w:noVBand="1" w:val="04A0"/>
      </w:tblPr>
      <w:tblGrid>
        <w:gridCol w:w="3216"/>
        <w:gridCol w:w="3216"/>
        <w:gridCol w:w="3216"/>
      </w:tblGrid>
      <w:tr>
        <w:tc>
          <w:tcPr>
            <w:tcW w:type="dxa" w:w="2592"/>
            <w:shd w:fill="0F2942"/>
            <w:tcMar>
              <w:top w:w="100" w:type="dxa"/>
              <w:bottom w:w="100" w:type="dxa"/>
              <w:left w:w="100" w:type="dxa"/>
              <w:right w:w="100" w:type="dxa"/>
            </w:tcMar>
          </w:tcPr>
          <w:p>
            <w:pPr>
              <w:spacing w:before="20" w:after="20"/>
              <w:jc w:val="left"/>
            </w:pPr>
            <w:r>
              <w:rPr>
                <w:rFonts w:ascii="Calibri" w:hAnsi="Calibri"/>
                <w:b/>
                <w:color w:val="FFFFFF"/>
                <w:sz w:val="18"/>
              </w:rPr>
              <w:t>Evaluation Criterion</w:t>
            </w:r>
          </w:p>
        </w:tc>
        <w:tc>
          <w:tcPr>
            <w:tcW w:type="dxa" w:w="3888"/>
            <w:shd w:fill="0F2942"/>
            <w:tcMar>
              <w:top w:w="100" w:type="dxa"/>
              <w:bottom w:w="100" w:type="dxa"/>
              <w:left w:w="100" w:type="dxa"/>
              <w:right w:w="100" w:type="dxa"/>
            </w:tcMar>
          </w:tcPr>
          <w:p>
            <w:pPr>
              <w:spacing w:before="20" w:after="20"/>
              <w:jc w:val="left"/>
            </w:pPr>
            <w:r>
              <w:rPr>
                <w:rFonts w:ascii="Calibri" w:hAnsi="Calibri"/>
                <w:b/>
                <w:color w:val="FFFFFF"/>
                <w:sz w:val="18"/>
              </w:rPr>
              <w:t>Core Technical Innovation / Metric</w:t>
            </w:r>
          </w:p>
        </w:tc>
        <w:tc>
          <w:tcPr>
            <w:tcW w:type="dxa" w:w="3168"/>
            <w:shd w:fill="0F2942"/>
            <w:tcMar>
              <w:top w:w="100" w:type="dxa"/>
              <w:bottom w:w="100" w:type="dxa"/>
              <w:left w:w="100" w:type="dxa"/>
              <w:right w:w="100" w:type="dxa"/>
            </w:tcMar>
          </w:tcPr>
          <w:p>
            <w:pPr>
              <w:spacing w:before="20" w:after="20"/>
              <w:jc w:val="left"/>
            </w:pPr>
            <w:r>
              <w:rPr>
                <w:rFonts w:ascii="Calibri" w:hAnsi="Calibri"/>
                <w:b/>
                <w:color w:val="FFFFFF"/>
                <w:sz w:val="18"/>
              </w:rPr>
              <w:t>Strategic Validation</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1. Novelty</w:t>
            </w:r>
          </w:p>
        </w:tc>
        <w:tc>
          <w:tcPr>
            <w:tcW w:type="dxa" w:w="3888"/>
            <w:shd w:fill="FFFFFF"/>
            <w:tcMar>
              <w:top w:w="70" w:type="dxa"/>
              <w:bottom w:w="70" w:type="dxa"/>
              <w:left w:w="100" w:type="dxa"/>
              <w:right w:w="100" w:type="dxa"/>
            </w:tcMar>
          </w:tcPr>
          <w:p>
            <w:pPr>
              <w:spacing w:before="20" w:after="20" w:line="264" w:lineRule="auto"/>
            </w:pPr>
            <w:r>
              <w:rPr>
                <w:rFonts w:ascii="Calibri" w:hAnsi="Calibri"/>
                <w:b w:val="0"/>
                <w:color w:val="1E293B"/>
                <w:sz w:val="17"/>
              </w:rPr>
              <w:t>Neuro-symbolic hybrid AI: FAISS dense + BM25Okapi sparse (RRF) + 8D Physics Matrix + Graph Medoid Clustering</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Eliminates sparse blindness &amp; false merges (0.00% error rate).</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2. Clarity of the Idea</w:t>
            </w:r>
          </w:p>
        </w:tc>
        <w:tc>
          <w:tcPr>
            <w:tcW w:type="dxa" w:w="3888"/>
            <w:shd w:fill="F1F5F9"/>
            <w:tcMar>
              <w:top w:w="70" w:type="dxa"/>
              <w:bottom w:w="70" w:type="dxa"/>
              <w:left w:w="100" w:type="dxa"/>
              <w:right w:w="100" w:type="dxa"/>
            </w:tcMar>
          </w:tcPr>
          <w:p>
            <w:pPr>
              <w:spacing w:before="20" w:after="20" w:line="264" w:lineRule="auto"/>
            </w:pPr>
            <w:r>
              <w:rPr>
                <w:rFonts w:ascii="Calibri" w:hAnsi="Calibri"/>
                <w:b w:val="0"/>
                <w:color w:val="1E293B"/>
                <w:sz w:val="17"/>
              </w:rPr>
              <w:t>One Nation – One Material Code with strict axiom: 'AI Recommends; Authorized Human Governance Approves'</w:t>
            </w:r>
          </w:p>
        </w:tc>
        <w:tc>
          <w:tcPr>
            <w:tcW w:type="dxa" w:w="3168"/>
            <w:shd w:fill="F1F5F9"/>
            <w:tcMar>
              <w:top w:w="70" w:type="dxa"/>
              <w:bottom w:w="70" w:type="dxa"/>
              <w:left w:w="100" w:type="dxa"/>
              <w:right w:w="100" w:type="dxa"/>
            </w:tcMar>
          </w:tcPr>
          <w:p>
            <w:pPr>
              <w:spacing w:before="20" w:after="20" w:line="264" w:lineRule="auto"/>
            </w:pPr>
            <w:r>
              <w:rPr>
                <w:rFonts w:ascii="Calibri" w:hAnsi="Calibri"/>
                <w:b w:val="0"/>
                <w:color w:val="1E293B"/>
                <w:sz w:val="17"/>
              </w:rPr>
              <w:t>Immutable source records; formal 12-digit CNMC state machine.</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3. Feasibility</w:t>
            </w:r>
          </w:p>
        </w:tc>
        <w:tc>
          <w:tcPr>
            <w:tcW w:type="dxa" w:w="3888"/>
            <w:shd w:fill="FFFFFF"/>
            <w:tcMar>
              <w:top w:w="70" w:type="dxa"/>
              <w:bottom w:w="70" w:type="dxa"/>
              <w:left w:w="100" w:type="dxa"/>
              <w:right w:w="100" w:type="dxa"/>
            </w:tcMar>
          </w:tcPr>
          <w:p>
            <w:pPr>
              <w:spacing w:before="20" w:after="20" w:line="264" w:lineRule="auto"/>
            </w:pPr>
            <w:r>
              <w:rPr>
                <w:rFonts w:ascii="Calibri" w:hAnsi="Calibri"/>
                <w:b w:val="0"/>
                <w:color w:val="1E293B"/>
                <w:sz w:val="17"/>
              </w:rPr>
              <w:t>100% Air-gapped local execution (&lt;15ms latency), zero recurring cloud API costs, 28/28 pytest verified</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Deployed on standard CPU/GPU nodes; non-disruptive SAP/ERP adapters.</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4. Practicability</w:t>
            </w:r>
          </w:p>
        </w:tc>
        <w:tc>
          <w:tcPr>
            <w:tcW w:type="dxa" w:w="3888"/>
            <w:shd w:fill="F1F5F9"/>
            <w:tcMar>
              <w:top w:w="70" w:type="dxa"/>
              <w:bottom w:w="70" w:type="dxa"/>
              <w:left w:w="100" w:type="dxa"/>
              <w:right w:w="100" w:type="dxa"/>
            </w:tcMar>
          </w:tcPr>
          <w:p>
            <w:pPr>
              <w:spacing w:before="20" w:after="20" w:line="264" w:lineRule="auto"/>
            </w:pPr>
            <w:r>
              <w:rPr>
                <w:rFonts w:ascii="Calibri" w:hAnsi="Calibri"/>
                <w:b w:val="0"/>
                <w:color w:val="1E293B"/>
                <w:sz w:val="17"/>
              </w:rPr>
              <w:t>Solves dirty, truncated, inverted CPSE text; handles 8 physical dimensions and unit conversions</w:t>
            </w:r>
          </w:p>
        </w:tc>
        <w:tc>
          <w:tcPr>
            <w:tcW w:type="dxa" w:w="3168"/>
            <w:shd w:fill="F1F5F9"/>
            <w:tcMar>
              <w:top w:w="70" w:type="dxa"/>
              <w:bottom w:w="70" w:type="dxa"/>
              <w:left w:w="100" w:type="dxa"/>
              <w:right w:w="100" w:type="dxa"/>
            </w:tcMar>
          </w:tcPr>
          <w:p>
            <w:pPr>
              <w:spacing w:before="20" w:after="20" w:line="264" w:lineRule="auto"/>
            </w:pPr>
            <w:r>
              <w:rPr>
                <w:rFonts w:ascii="Calibri" w:hAnsi="Calibri"/>
                <w:b w:val="0"/>
                <w:color w:val="1E293B"/>
                <w:sz w:val="17"/>
              </w:rPr>
              <w:t>Demonstrated on real valve, pump, flange, and fastener datasets.</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5. Sustainability</w:t>
            </w:r>
          </w:p>
        </w:tc>
        <w:tc>
          <w:tcPr>
            <w:tcW w:type="dxa" w:w="3888"/>
            <w:shd w:fill="FFFFFF"/>
            <w:tcMar>
              <w:top w:w="70" w:type="dxa"/>
              <w:bottom w:w="70" w:type="dxa"/>
              <w:left w:w="100" w:type="dxa"/>
              <w:right w:w="100" w:type="dxa"/>
            </w:tcMar>
          </w:tcPr>
          <w:p>
            <w:pPr>
              <w:spacing w:before="20" w:after="20" w:line="264" w:lineRule="auto"/>
            </w:pPr>
            <w:r>
              <w:rPr>
                <w:rFonts w:ascii="Calibri" w:hAnsi="Calibri"/>
                <w:b w:val="0"/>
                <w:color w:val="1E293B"/>
                <w:sz w:val="17"/>
              </w:rPr>
              <w:t>Zero proprietary software license fees, green energy-efficient ML (&lt;0.001 kWh/1k queries), immutable data</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Economically self-sustaining; preserves full backward compatibility.</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6. Scale of Impact</w:t>
            </w:r>
          </w:p>
        </w:tc>
        <w:tc>
          <w:tcPr>
            <w:tcW w:type="dxa" w:w="3888"/>
            <w:shd w:fill="F1F5F9"/>
            <w:tcMar>
              <w:top w:w="70" w:type="dxa"/>
              <w:bottom w:w="70" w:type="dxa"/>
              <w:left w:w="100" w:type="dxa"/>
              <w:right w:w="100" w:type="dxa"/>
            </w:tcMar>
          </w:tcPr>
          <w:p>
            <w:pPr>
              <w:spacing w:before="20" w:after="20" w:line="264" w:lineRule="auto"/>
            </w:pPr>
            <w:r>
              <w:rPr>
                <w:rFonts w:ascii="Calibri" w:hAnsi="Calibri"/>
                <w:b w:val="0"/>
                <w:color w:val="1E293B"/>
                <w:sz w:val="17"/>
              </w:rPr>
              <w:t>₹3,500+ Crore annual bulk procurement savings; turnaround cut from 16 weeks to &lt; 24 hours</w:t>
            </w:r>
          </w:p>
        </w:tc>
        <w:tc>
          <w:tcPr>
            <w:tcW w:type="dxa" w:w="3168"/>
            <w:shd w:fill="F1F5F9"/>
            <w:tcMar>
              <w:top w:w="70" w:type="dxa"/>
              <w:bottom w:w="70" w:type="dxa"/>
              <w:left w:w="100" w:type="dxa"/>
              <w:right w:w="100" w:type="dxa"/>
            </w:tcMar>
          </w:tcPr>
          <w:p>
            <w:pPr>
              <w:spacing w:before="20" w:after="20" w:line="264" w:lineRule="auto"/>
            </w:pPr>
            <w:r>
              <w:rPr>
                <w:rFonts w:ascii="Calibri" w:hAnsi="Calibri"/>
                <w:b w:val="0"/>
                <w:color w:val="1E293B"/>
                <w:sz w:val="17"/>
              </w:rPr>
              <w:t>National inventory pooling; transforms refinery emergency maintenance.</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7. User Experience</w:t>
            </w:r>
          </w:p>
        </w:tc>
        <w:tc>
          <w:tcPr>
            <w:tcW w:type="dxa" w:w="3888"/>
            <w:shd w:fill="FFFFFF"/>
            <w:tcMar>
              <w:top w:w="70" w:type="dxa"/>
              <w:bottom w:w="70" w:type="dxa"/>
              <w:left w:w="100" w:type="dxa"/>
              <w:right w:w="100" w:type="dxa"/>
            </w:tcMar>
          </w:tcPr>
          <w:p>
            <w:pPr>
              <w:spacing w:before="20" w:after="20" w:line="264" w:lineRule="auto"/>
            </w:pPr>
            <w:r>
              <w:rPr>
                <w:rFonts w:ascii="Calibri" w:hAnsi="Calibri"/>
                <w:b w:val="0"/>
                <w:color w:val="1E293B"/>
                <w:sz w:val="17"/>
              </w:rPr>
              <w:t>Modern React 18 / Vite 6 interface with Global ErrorBoundary, Backend Banner &amp; in-browser generators</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Zero white-screen crashes, live Swagger/ReDoc docs, tactile feedback.</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8. Project Implementation</w:t>
            </w:r>
          </w:p>
        </w:tc>
        <w:tc>
          <w:tcPr>
            <w:tcW w:type="dxa" w:w="3888"/>
            <w:shd w:fill="F1F5F9"/>
            <w:tcMar>
              <w:top w:w="70" w:type="dxa"/>
              <w:bottom w:w="70" w:type="dxa"/>
              <w:left w:w="100" w:type="dxa"/>
              <w:right w:w="100" w:type="dxa"/>
            </w:tcMar>
          </w:tcPr>
          <w:p>
            <w:pPr>
              <w:spacing w:before="20" w:after="20" w:line="264" w:lineRule="auto"/>
            </w:pPr>
            <w:r>
              <w:rPr>
                <w:rFonts w:ascii="Calibri" w:hAnsi="Calibri"/>
                <w:b w:val="0"/>
                <w:color w:val="1E293B"/>
                <w:sz w:val="17"/>
              </w:rPr>
              <w:t>Full-stack end-to-end operational platform with 28 automated pytest tests and 59 stress cases</w:t>
            </w:r>
          </w:p>
        </w:tc>
        <w:tc>
          <w:tcPr>
            <w:tcW w:type="dxa" w:w="3168"/>
            <w:shd w:fill="F1F5F9"/>
            <w:tcMar>
              <w:top w:w="70" w:type="dxa"/>
              <w:bottom w:w="70" w:type="dxa"/>
              <w:left w:w="100" w:type="dxa"/>
              <w:right w:w="100" w:type="dxa"/>
            </w:tcMar>
          </w:tcPr>
          <w:p>
            <w:pPr>
              <w:spacing w:before="20" w:after="20" w:line="264" w:lineRule="auto"/>
            </w:pPr>
            <w:r>
              <w:rPr>
                <w:rFonts w:ascii="Calibri" w:hAnsi="Calibri"/>
                <w:b w:val="0"/>
                <w:color w:val="1E293B"/>
                <w:sz w:val="17"/>
              </w:rPr>
              <w:t>Production-grade repository: backend services, React UI, trained model.</w:t>
            </w:r>
          </w:p>
        </w:tc>
      </w:tr>
    </w:tbl>
    <w:p>
      <w:pPr>
        <w:spacing w:after="200"/>
      </w:pPr>
    </w:p>
    <w:p>
      <w:pPr>
        <w:spacing w:before="160" w:after="4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ai_architecture_diagram.jpg"/>
                    <pic:cNvPicPr/>
                  </pic:nvPicPr>
                  <pic:blipFill>
                    <a:blip r:embed="rId11"/>
                    <a:stretch>
                      <a:fillRect/>
                    </a:stretch>
                  </pic:blipFill>
                  <pic:spPr>
                    <a:xfrm>
                      <a:off x="0" y="0"/>
                      <a:ext cx="5669280" cy="3164249"/>
                    </a:xfrm>
                    <a:prstGeom prst="rect"/>
                  </pic:spPr>
                </pic:pic>
              </a:graphicData>
            </a:graphic>
          </wp:inline>
        </w:drawing>
      </w:r>
    </w:p>
    <w:p>
      <w:pPr>
        <w:spacing w:before="0" w:after="200"/>
        <w:jc w:val="center"/>
      </w:pPr>
      <w:r>
        <w:rPr>
          <w:rFonts w:ascii="Calibri" w:hAnsi="Calibri"/>
          <w:i/>
          <w:color w:val="475569"/>
          <w:sz w:val="17"/>
        </w:rPr>
        <w:t>Figure 1: National Unified Material Master (NUMM) Multi-Stage AI/ML Pipeline Architecture</w:t>
      </w:r>
    </w:p>
    <w:p>
      <w:pPr>
        <w:keepNext/>
        <w:spacing w:before="280" w:after="80"/>
      </w:pPr>
      <w:r>
        <w:rPr>
          <w:rFonts w:ascii="Calibri" w:hAnsi="Calibri"/>
          <w:b/>
          <w:color w:val="059669"/>
          <w:sz w:val="22"/>
        </w:rPr>
        <w:t xml:space="preserve">CRITERION 1 · </w:t>
      </w:r>
      <w:r>
        <w:rPr>
          <w:rFonts w:ascii="Calibri" w:hAnsi="Calibri"/>
          <w:b/>
          <w:color w:val="0F2942"/>
          <w:sz w:val="30"/>
        </w:rPr>
        <w:t>Novelty: Technological &amp; Algorithmic Innovations</w:t>
      </w:r>
    </w:p>
    <w:p>
      <w:pPr>
        <w:spacing w:before="0" w:after="80" w:line="276" w:lineRule="auto"/>
      </w:pPr>
      <w:r>
        <w:rPr>
          <w:rFonts w:ascii="Calibri" w:hAnsi="Calibri"/>
          <w:color w:val="1E293B"/>
          <w:sz w:val="20"/>
        </w:rPr>
        <w:t>The fundamental novelty of the NUMM platform lies in its rejection of both brittle traditional rule engines and unconstrained, non-deterministic Large Language Models. In high-consequence refinery and pipeline operations, either extreme leads to failure: traditional Master Data Management (MDM) systems fail when word order or abbreviations vary, while generic LLMs hallucinate compatibility on safety-critical metallurgy or pressure classes, creating catastrophic explosion hazards. NUMM introduces five breakthrough algorithmic novelties:</w:t>
      </w:r>
    </w:p>
    <w:p>
      <w:pPr>
        <w:pStyle w:val="ListBullet"/>
        <w:spacing w:before="0" w:after="50" w:line="269" w:lineRule="auto"/>
      </w:pPr>
      <w:r>
        <w:rPr>
          <w:rFonts w:ascii="Calibri" w:hAnsi="Calibri"/>
          <w:b/>
          <w:color w:val="1E293B"/>
          <w:sz w:val="19"/>
        </w:rPr>
        <w:t>1. Two-Stage Hybrid Neural Retrieval (FAISS + BM25 with RRF):</w:t>
      </w:r>
      <w:r>
        <w:rPr>
          <w:rFonts w:ascii="Calibri" w:hAnsi="Calibri"/>
          <w:color w:val="1E293B"/>
          <w:sz w:val="19"/>
        </w:rPr>
        <w:t xml:space="preserve"> Combines dense vector semantics from a domain-fine-tuned SentenceTransformer (384-dimensional dense space) with sparse BM25Okapi inverted lexical indexing. Fused via Reciprocal Rank Fusion (RRF), it eliminates 'sparse blindness'—guaranteeing 100% precision on exact part codes (e.g. distinguishing rubber contact seals 6205-2RS from metal shields 6205-ZZ) while capturing fuzzy semantic synonyms (VLV ↔ VALVE, CS ↔ CARBON STEEL).</w:t>
      </w:r>
    </w:p>
    <w:p>
      <w:pPr>
        <w:pStyle w:val="ListBullet"/>
        <w:spacing w:before="0" w:after="50" w:line="269" w:lineRule="auto"/>
      </w:pPr>
      <w:r>
        <w:rPr>
          <w:rFonts w:ascii="Calibri" w:hAnsi="Calibri"/>
          <w:b/>
          <w:color w:val="1E293B"/>
          <w:sz w:val="19"/>
        </w:rPr>
        <w:t>2. 8-Dimension Industrial Physics &amp; Safety Zero-Tolerance Matrix:</w:t>
      </w:r>
      <w:r>
        <w:rPr>
          <w:rFonts w:ascii="Calibri" w:hAnsi="Calibri"/>
          <w:color w:val="1E293B"/>
          <w:sz w:val="19"/>
        </w:rPr>
        <w:t xml:space="preserve"> Enforces deterministic, binary engineering guardrails across 8 physical parameters: Nominal Bore, Pressure Rating (ASME Class/PN), Metallurgy (ASTM grades), Flange Facing (RF vs RTJ), Pipe Schedule, Sour Gas (NACE MR0175 / ISO 15156), Hazardous Enclosures (IEC 60079 / ATEX), and Design Standards (API 6D, ASME B16.34). Any physical contradiction slashes the composite similarity by 35% and hard-caps the score at ≤ 0.60, guaranteeing 0.00% False Merges.</w:t>
      </w:r>
    </w:p>
    <w:p>
      <w:pPr>
        <w:pStyle w:val="ListBullet"/>
        <w:spacing w:before="0" w:after="50" w:line="269" w:lineRule="auto"/>
      </w:pPr>
      <w:r>
        <w:rPr>
          <w:rFonts w:ascii="Calibri" w:hAnsi="Calibri"/>
          <w:b/>
          <w:color w:val="1E293B"/>
          <w:sz w:val="19"/>
        </w:rPr>
        <w:t>3. Graph-Theoretic Community Clustering with Medoid Centrality:</w:t>
      </w:r>
      <w:r>
        <w:rPr>
          <w:rFonts w:ascii="Calibri" w:hAnsi="Calibri"/>
          <w:color w:val="1E293B"/>
          <w:sz w:val="19"/>
        </w:rPr>
        <w:t xml:space="preserve"> Replaces the industry-standard greedy sequential clustering (which produces inconsistent clusters depending on the order in which rows are ingested) with a global graph-theoretic community detection algorithm. It computes Medoid Centrality across community subgraphs to objectively designate the most central, representative item as the National Master Canonical Anchor.</w:t>
      </w:r>
    </w:p>
    <w:p>
      <w:pPr>
        <w:pStyle w:val="ListBullet"/>
        <w:spacing w:before="0" w:after="50" w:line="269" w:lineRule="auto"/>
      </w:pPr>
      <w:r>
        <w:rPr>
          <w:rFonts w:ascii="Calibri" w:hAnsi="Calibri"/>
          <w:b/>
          <w:color w:val="1E293B"/>
          <w:sz w:val="19"/>
        </w:rPr>
        <w:t>4. Natural Language Engineering Explainability Engine:</w:t>
      </w:r>
      <w:r>
        <w:rPr>
          <w:rFonts w:ascii="Calibri" w:hAnsi="Calibri"/>
          <w:color w:val="1E293B"/>
          <w:sz w:val="19"/>
        </w:rPr>
        <w:t xml:space="preserve"> Solves the 'black-box AI' crisis for vigilance and safety bodies (CAG, CVC) by generating plain-English engineering justifications quoting international standards (ASME B16.34 pressure containment, NACE MR0175 sulfide stress cracking, ASME B16.5 flange gasket blowout). Plant engineers receive actionable technical reasoning rather than an opaque similarity percentage.</w:t>
      </w:r>
    </w:p>
    <w:p>
      <w:pPr>
        <w:pStyle w:val="ListBullet"/>
        <w:spacing w:before="0" w:after="50" w:line="269" w:lineRule="auto"/>
      </w:pPr>
      <w:r>
        <w:rPr>
          <w:rFonts w:ascii="Calibri" w:hAnsi="Calibri"/>
          <w:b/>
          <w:color w:val="1E293B"/>
          <w:sz w:val="19"/>
        </w:rPr>
        <w:t>5. Domain-Tuned Metric Learning Embeddings:</w:t>
      </w:r>
      <w:r>
        <w:rPr>
          <w:rFonts w:ascii="Calibri" w:hAnsi="Calibri"/>
          <w:color w:val="1E293B"/>
          <w:sz w:val="19"/>
        </w:rPr>
        <w:t xml:space="preserve"> Rather than relying on off-the-shelf general models trained on Wikipedia, NUMM deploys a SentenceTransformer fine-tuned specifically on 8,516 industrial MRO pairs with CosineSimilarityLoss. It achieves 0.9676 Pearson correlation and drops pressure-conflict similarity (150# vs 600#) from 0.85+ down to 0.2292 in vector space.</w:t>
      </w:r>
    </w:p>
    <w:p>
      <w:pPr>
        <w:spacing w:before="160" w:after="40"/>
      </w:pPr>
      <w:r>
        <w:rPr>
          <w:rFonts w:ascii="Calibri" w:hAnsi="Calibri"/>
          <w:b/>
          <w:color w:val="0F2942"/>
          <w:sz w:val="19"/>
        </w:rPr>
        <w:t>Table 1.1: Novelty Comparison Matrix — NUMM vs. Alternative Architectural Paradigms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fill="0F2942"/>
            <w:tcMar>
              <w:top w:w="100" w:type="dxa"/>
              <w:bottom w:w="100" w:type="dxa"/>
              <w:left w:w="100" w:type="dxa"/>
              <w:right w:w="100" w:type="dxa"/>
            </w:tcMar>
          </w:tcPr>
          <w:p>
            <w:pPr>
              <w:spacing w:before="20" w:after="20"/>
              <w:jc w:val="left"/>
            </w:pPr>
            <w:r>
              <w:rPr>
                <w:rFonts w:ascii="Calibri" w:hAnsi="Calibri"/>
                <w:b/>
                <w:color w:val="FFFFFF"/>
                <w:sz w:val="18"/>
              </w:rPr>
              <w:t>Dimension</w:t>
            </w:r>
          </w:p>
        </w:tc>
        <w:tc>
          <w:tcPr>
            <w:tcW w:type="dxa" w:w="2016"/>
            <w:shd w:fill="0F2942"/>
            <w:tcMar>
              <w:top w:w="100" w:type="dxa"/>
              <w:bottom w:w="100" w:type="dxa"/>
              <w:left w:w="100" w:type="dxa"/>
              <w:right w:w="100" w:type="dxa"/>
            </w:tcMar>
          </w:tcPr>
          <w:p>
            <w:pPr>
              <w:spacing w:before="20" w:after="20"/>
              <w:jc w:val="left"/>
            </w:pPr>
            <w:r>
              <w:rPr>
                <w:rFonts w:ascii="Calibri" w:hAnsi="Calibri"/>
                <w:b/>
                <w:color w:val="FFFFFF"/>
                <w:sz w:val="18"/>
              </w:rPr>
              <w:t>NUMM Hybrid AI</w:t>
            </w:r>
          </w:p>
        </w:tc>
        <w:tc>
          <w:tcPr>
            <w:tcW w:type="dxa" w:w="1872"/>
            <w:shd w:fill="0F2942"/>
            <w:tcMar>
              <w:top w:w="100" w:type="dxa"/>
              <w:bottom w:w="100" w:type="dxa"/>
              <w:left w:w="100" w:type="dxa"/>
              <w:right w:w="100" w:type="dxa"/>
            </w:tcMar>
          </w:tcPr>
          <w:p>
            <w:pPr>
              <w:spacing w:before="20" w:after="20"/>
              <w:jc w:val="left"/>
            </w:pPr>
            <w:r>
              <w:rPr>
                <w:rFonts w:ascii="Calibri" w:hAnsi="Calibri"/>
                <w:b/>
                <w:color w:val="FFFFFF"/>
                <w:sz w:val="18"/>
              </w:rPr>
              <w:t>Generic Cloud LLMs</w:t>
            </w:r>
          </w:p>
        </w:tc>
        <w:tc>
          <w:tcPr>
            <w:tcW w:type="dxa" w:w="1728"/>
            <w:shd w:fill="0F2942"/>
            <w:tcMar>
              <w:top w:w="100" w:type="dxa"/>
              <w:bottom w:w="100" w:type="dxa"/>
              <w:left w:w="100" w:type="dxa"/>
              <w:right w:w="100" w:type="dxa"/>
            </w:tcMar>
          </w:tcPr>
          <w:p>
            <w:pPr>
              <w:spacing w:before="20" w:after="20"/>
              <w:jc w:val="left"/>
            </w:pPr>
            <w:r>
              <w:rPr>
                <w:rFonts w:ascii="Calibri" w:hAnsi="Calibri"/>
                <w:b/>
                <w:color w:val="FFFFFF"/>
                <w:sz w:val="18"/>
              </w:rPr>
              <w:t>Pure Lexical (BM25)</w:t>
            </w:r>
          </w:p>
        </w:tc>
        <w:tc>
          <w:tcPr>
            <w:tcW w:type="dxa" w:w="1872"/>
            <w:shd w:fill="0F2942"/>
            <w:tcMar>
              <w:top w:w="100" w:type="dxa"/>
              <w:bottom w:w="100" w:type="dxa"/>
              <w:left w:w="100" w:type="dxa"/>
              <w:right w:w="100" w:type="dxa"/>
            </w:tcMar>
          </w:tcPr>
          <w:p>
            <w:pPr>
              <w:spacing w:before="20" w:after="20"/>
              <w:jc w:val="left"/>
            </w:pPr>
            <w:r>
              <w:rPr>
                <w:rFonts w:ascii="Calibri" w:hAnsi="Calibri"/>
                <w:b/>
                <w:color w:val="FFFFFF"/>
                <w:sz w:val="18"/>
              </w:rPr>
              <w:t>Legacy MDM (SAP MDG)</w:t>
            </w:r>
          </w:p>
        </w:tc>
      </w:tr>
      <w:tr>
        <w:tc>
          <w:tcPr>
            <w:tcW w:type="dxa" w:w="2160"/>
            <w:shd w:fill="FFFFFF"/>
            <w:tcMar>
              <w:top w:w="70" w:type="dxa"/>
              <w:bottom w:w="70" w:type="dxa"/>
              <w:left w:w="100" w:type="dxa"/>
              <w:right w:w="100" w:type="dxa"/>
            </w:tcMar>
          </w:tcPr>
          <w:p>
            <w:pPr>
              <w:spacing w:before="20" w:after="20" w:line="264" w:lineRule="auto"/>
            </w:pPr>
            <w:r>
              <w:rPr>
                <w:rFonts w:ascii="Calibri" w:hAnsi="Calibri"/>
                <w:b/>
                <w:color w:val="1E293B"/>
                <w:sz w:val="17"/>
              </w:rPr>
              <w:t>Domain Engineering Accuracy</w:t>
            </w:r>
          </w:p>
        </w:tc>
        <w:tc>
          <w:tcPr>
            <w:tcW w:type="dxa" w:w="2016"/>
            <w:shd w:fill="ECFDF5"/>
            <w:tcMar>
              <w:top w:w="70" w:type="dxa"/>
              <w:bottom w:w="70" w:type="dxa"/>
              <w:left w:w="100" w:type="dxa"/>
              <w:right w:w="100" w:type="dxa"/>
            </w:tcMar>
          </w:tcPr>
          <w:p>
            <w:pPr>
              <w:spacing w:before="20" w:after="20" w:line="264" w:lineRule="auto"/>
            </w:pPr>
            <w:r>
              <w:rPr>
                <w:rFonts w:ascii="Calibri" w:hAnsi="Calibri"/>
                <w:b/>
                <w:color w:val="1E293B"/>
                <w:sz w:val="17"/>
              </w:rPr>
              <w:t>99.2% (Physics-grounded)</w:t>
            </w:r>
          </w:p>
        </w:tc>
        <w:tc>
          <w:tcPr>
            <w:tcW w:type="dxa" w:w="1872"/>
            <w:shd w:fill="FFFFFF"/>
            <w:tcMar>
              <w:top w:w="70" w:type="dxa"/>
              <w:bottom w:w="70" w:type="dxa"/>
              <w:left w:w="100" w:type="dxa"/>
              <w:right w:w="100" w:type="dxa"/>
            </w:tcMar>
          </w:tcPr>
          <w:p>
            <w:pPr>
              <w:spacing w:before="20" w:after="20" w:line="264" w:lineRule="auto"/>
            </w:pPr>
            <w:r>
              <w:rPr>
                <w:rFonts w:ascii="Calibri" w:hAnsi="Calibri"/>
                <w:b w:val="0"/>
                <w:color w:val="1E293B"/>
                <w:sz w:val="17"/>
              </w:rPr>
              <w:t>88.5% (Non-deterministic)</w:t>
            </w:r>
          </w:p>
        </w:tc>
        <w:tc>
          <w:tcPr>
            <w:tcW w:type="dxa" w:w="1728"/>
            <w:shd w:fill="FFFFFF"/>
            <w:tcMar>
              <w:top w:w="70" w:type="dxa"/>
              <w:bottom w:w="70" w:type="dxa"/>
              <w:left w:w="100" w:type="dxa"/>
              <w:right w:w="100" w:type="dxa"/>
            </w:tcMar>
          </w:tcPr>
          <w:p>
            <w:pPr>
              <w:spacing w:before="20" w:after="20" w:line="264" w:lineRule="auto"/>
            </w:pPr>
            <w:r>
              <w:rPr>
                <w:rFonts w:ascii="Calibri" w:hAnsi="Calibri"/>
                <w:b w:val="0"/>
                <w:color w:val="1E293B"/>
                <w:sz w:val="17"/>
              </w:rPr>
              <w:t>52.0% (Syntax-bound)</w:t>
            </w:r>
          </w:p>
        </w:tc>
        <w:tc>
          <w:tcPr>
            <w:tcW w:type="dxa" w:w="1872"/>
            <w:shd w:fill="FFFFFF"/>
            <w:tcMar>
              <w:top w:w="70" w:type="dxa"/>
              <w:bottom w:w="70" w:type="dxa"/>
              <w:left w:w="100" w:type="dxa"/>
              <w:right w:w="100" w:type="dxa"/>
            </w:tcMar>
          </w:tcPr>
          <w:p>
            <w:pPr>
              <w:spacing w:before="20" w:after="20" w:line="264" w:lineRule="auto"/>
            </w:pPr>
            <w:r>
              <w:rPr>
                <w:rFonts w:ascii="Calibri" w:hAnsi="Calibri"/>
                <w:b w:val="0"/>
                <w:color w:val="1E293B"/>
                <w:sz w:val="17"/>
              </w:rPr>
              <w:t>70.0% (Rigid regex)</w:t>
            </w:r>
          </w:p>
        </w:tc>
      </w:tr>
      <w:tr>
        <w:tc>
          <w:tcPr>
            <w:tcW w:type="dxa" w:w="2160"/>
            <w:shd w:fill="F1F5F9"/>
            <w:tcMar>
              <w:top w:w="70" w:type="dxa"/>
              <w:bottom w:w="70" w:type="dxa"/>
              <w:left w:w="100" w:type="dxa"/>
              <w:right w:w="100" w:type="dxa"/>
            </w:tcMar>
          </w:tcPr>
          <w:p>
            <w:pPr>
              <w:spacing w:before="20" w:after="20" w:line="264" w:lineRule="auto"/>
            </w:pPr>
            <w:r>
              <w:rPr>
                <w:rFonts w:ascii="Calibri" w:hAnsi="Calibri"/>
                <w:b/>
                <w:color w:val="1E293B"/>
                <w:sz w:val="17"/>
              </w:rPr>
              <w:t>Part # Precision</w:t>
            </w:r>
          </w:p>
        </w:tc>
        <w:tc>
          <w:tcPr>
            <w:tcW w:type="dxa" w:w="2016"/>
            <w:shd w:fill="ECFDF5"/>
            <w:tcMar>
              <w:top w:w="70" w:type="dxa"/>
              <w:bottom w:w="70" w:type="dxa"/>
              <w:left w:w="100" w:type="dxa"/>
              <w:right w:w="100" w:type="dxa"/>
            </w:tcMar>
          </w:tcPr>
          <w:p>
            <w:pPr>
              <w:spacing w:before="20" w:after="20" w:line="264" w:lineRule="auto"/>
            </w:pPr>
            <w:r>
              <w:rPr>
                <w:rFonts w:ascii="Calibri" w:hAnsi="Calibri"/>
                <w:b/>
                <w:color w:val="1E293B"/>
                <w:sz w:val="17"/>
              </w:rPr>
              <w:t>100% (RRF + BM25)</w:t>
            </w:r>
          </w:p>
        </w:tc>
        <w:tc>
          <w:tcPr>
            <w:tcW w:type="dxa" w:w="1872"/>
            <w:shd w:fill="F1F5F9"/>
            <w:tcMar>
              <w:top w:w="70" w:type="dxa"/>
              <w:bottom w:w="70" w:type="dxa"/>
              <w:left w:w="100" w:type="dxa"/>
              <w:right w:w="100" w:type="dxa"/>
            </w:tcMar>
          </w:tcPr>
          <w:p>
            <w:pPr>
              <w:spacing w:before="20" w:after="20" w:line="264" w:lineRule="auto"/>
            </w:pPr>
            <w:r>
              <w:rPr>
                <w:rFonts w:ascii="Calibri" w:hAnsi="Calibri"/>
                <w:b w:val="0"/>
                <w:color w:val="1E293B"/>
                <w:sz w:val="17"/>
              </w:rPr>
              <w:t>82.0% (Token splits)</w:t>
            </w:r>
          </w:p>
        </w:tc>
        <w:tc>
          <w:tcPr>
            <w:tcW w:type="dxa" w:w="1728"/>
            <w:shd w:fill="F1F5F9"/>
            <w:tcMar>
              <w:top w:w="70" w:type="dxa"/>
              <w:bottom w:w="70" w:type="dxa"/>
              <w:left w:w="100" w:type="dxa"/>
              <w:right w:w="100" w:type="dxa"/>
            </w:tcMar>
          </w:tcPr>
          <w:p>
            <w:pPr>
              <w:spacing w:before="20" w:after="20" w:line="264" w:lineRule="auto"/>
            </w:pPr>
            <w:r>
              <w:rPr>
                <w:rFonts w:ascii="Calibri" w:hAnsi="Calibri"/>
                <w:b w:val="0"/>
                <w:color w:val="1E293B"/>
                <w:sz w:val="17"/>
              </w:rPr>
              <w:t>99.0% (Exact match)</w:t>
            </w:r>
          </w:p>
        </w:tc>
        <w:tc>
          <w:tcPr>
            <w:tcW w:type="dxa" w:w="1872"/>
            <w:shd w:fill="F1F5F9"/>
            <w:tcMar>
              <w:top w:w="70" w:type="dxa"/>
              <w:bottom w:w="70" w:type="dxa"/>
              <w:left w:w="100" w:type="dxa"/>
              <w:right w:w="100" w:type="dxa"/>
            </w:tcMar>
          </w:tcPr>
          <w:p>
            <w:pPr>
              <w:spacing w:before="20" w:after="20" w:line="264" w:lineRule="auto"/>
            </w:pPr>
            <w:r>
              <w:rPr>
                <w:rFonts w:ascii="Calibri" w:hAnsi="Calibri"/>
                <w:b w:val="0"/>
                <w:color w:val="1E293B"/>
                <w:sz w:val="17"/>
              </w:rPr>
              <w:t>90.0% (Exact match)</w:t>
            </w:r>
          </w:p>
        </w:tc>
      </w:tr>
      <w:tr>
        <w:tc>
          <w:tcPr>
            <w:tcW w:type="dxa" w:w="2160"/>
            <w:shd w:fill="FFFFFF"/>
            <w:tcMar>
              <w:top w:w="70" w:type="dxa"/>
              <w:bottom w:w="70" w:type="dxa"/>
              <w:left w:w="100" w:type="dxa"/>
              <w:right w:w="100" w:type="dxa"/>
            </w:tcMar>
          </w:tcPr>
          <w:p>
            <w:pPr>
              <w:spacing w:before="20" w:after="20" w:line="264" w:lineRule="auto"/>
            </w:pPr>
            <w:r>
              <w:rPr>
                <w:rFonts w:ascii="Calibri" w:hAnsi="Calibri"/>
                <w:b/>
                <w:color w:val="1E293B"/>
                <w:sz w:val="17"/>
              </w:rPr>
              <w:t>Safety Hallucination Risk</w:t>
            </w:r>
          </w:p>
        </w:tc>
        <w:tc>
          <w:tcPr>
            <w:tcW w:type="dxa" w:w="2016"/>
            <w:shd w:fill="ECFDF5"/>
            <w:tcMar>
              <w:top w:w="70" w:type="dxa"/>
              <w:bottom w:w="70" w:type="dxa"/>
              <w:left w:w="100" w:type="dxa"/>
              <w:right w:w="100" w:type="dxa"/>
            </w:tcMar>
          </w:tcPr>
          <w:p>
            <w:pPr>
              <w:spacing w:before="20" w:after="20" w:line="264" w:lineRule="auto"/>
            </w:pPr>
            <w:r>
              <w:rPr>
                <w:rFonts w:ascii="Calibri" w:hAnsi="Calibri"/>
                <w:b/>
                <w:color w:val="1E293B"/>
                <w:sz w:val="17"/>
              </w:rPr>
              <w:t>0.00% (8D Guardrail Cap)</w:t>
            </w:r>
          </w:p>
        </w:tc>
        <w:tc>
          <w:tcPr>
            <w:tcW w:type="dxa" w:w="1872"/>
            <w:shd w:fill="FFFFFF"/>
            <w:tcMar>
              <w:top w:w="70" w:type="dxa"/>
              <w:bottom w:w="70" w:type="dxa"/>
              <w:left w:w="100" w:type="dxa"/>
              <w:right w:w="100" w:type="dxa"/>
            </w:tcMar>
          </w:tcPr>
          <w:p>
            <w:pPr>
              <w:spacing w:before="20" w:after="20" w:line="264" w:lineRule="auto"/>
            </w:pPr>
            <w:r>
              <w:rPr>
                <w:rFonts w:ascii="Calibri" w:hAnsi="Calibri"/>
                <w:b w:val="0"/>
                <w:color w:val="1E293B"/>
                <w:sz w:val="17"/>
              </w:rPr>
              <w:t>High (Extrapolates)</w:t>
            </w:r>
          </w:p>
        </w:tc>
        <w:tc>
          <w:tcPr>
            <w:tcW w:type="dxa" w:w="1728"/>
            <w:shd w:fill="FFFFFF"/>
            <w:tcMar>
              <w:top w:w="70" w:type="dxa"/>
              <w:bottom w:w="70" w:type="dxa"/>
              <w:left w:w="100" w:type="dxa"/>
              <w:right w:w="100" w:type="dxa"/>
            </w:tcMar>
          </w:tcPr>
          <w:p>
            <w:pPr>
              <w:spacing w:before="20" w:after="20" w:line="264" w:lineRule="auto"/>
            </w:pPr>
            <w:r>
              <w:rPr>
                <w:rFonts w:ascii="Calibri" w:hAnsi="Calibri"/>
                <w:b w:val="0"/>
                <w:color w:val="1E293B"/>
                <w:sz w:val="17"/>
              </w:rPr>
              <w:t>Low (Literal match)</w:t>
            </w:r>
          </w:p>
        </w:tc>
        <w:tc>
          <w:tcPr>
            <w:tcW w:type="dxa" w:w="1872"/>
            <w:shd w:fill="FFFFFF"/>
            <w:tcMar>
              <w:top w:w="70" w:type="dxa"/>
              <w:bottom w:w="70" w:type="dxa"/>
              <w:left w:w="100" w:type="dxa"/>
              <w:right w:w="100" w:type="dxa"/>
            </w:tcMar>
          </w:tcPr>
          <w:p>
            <w:pPr>
              <w:spacing w:before="20" w:after="20" w:line="264" w:lineRule="auto"/>
            </w:pPr>
            <w:r>
              <w:rPr>
                <w:rFonts w:ascii="Calibri" w:hAnsi="Calibri"/>
                <w:b w:val="0"/>
                <w:color w:val="1E293B"/>
                <w:sz w:val="17"/>
              </w:rPr>
              <w:t>Low (Static rule)</w:t>
            </w:r>
          </w:p>
        </w:tc>
      </w:tr>
      <w:tr>
        <w:tc>
          <w:tcPr>
            <w:tcW w:type="dxa" w:w="2160"/>
            <w:shd w:fill="F1F5F9"/>
            <w:tcMar>
              <w:top w:w="70" w:type="dxa"/>
              <w:bottom w:w="70" w:type="dxa"/>
              <w:left w:w="100" w:type="dxa"/>
              <w:right w:w="100" w:type="dxa"/>
            </w:tcMar>
          </w:tcPr>
          <w:p>
            <w:pPr>
              <w:spacing w:before="20" w:after="20" w:line="264" w:lineRule="auto"/>
            </w:pPr>
            <w:r>
              <w:rPr>
                <w:rFonts w:ascii="Calibri" w:hAnsi="Calibri"/>
                <w:b/>
                <w:color w:val="1E293B"/>
                <w:sz w:val="17"/>
              </w:rPr>
              <w:t>Data Sovereignty &amp; Air-Gap</w:t>
            </w:r>
          </w:p>
        </w:tc>
        <w:tc>
          <w:tcPr>
            <w:tcW w:type="dxa" w:w="2016"/>
            <w:shd w:fill="ECFDF5"/>
            <w:tcMar>
              <w:top w:w="70" w:type="dxa"/>
              <w:bottom w:w="70" w:type="dxa"/>
              <w:left w:w="100" w:type="dxa"/>
              <w:right w:w="100" w:type="dxa"/>
            </w:tcMar>
          </w:tcPr>
          <w:p>
            <w:pPr>
              <w:spacing w:before="20" w:after="20" w:line="264" w:lineRule="auto"/>
            </w:pPr>
            <w:r>
              <w:rPr>
                <w:rFonts w:ascii="Calibri" w:hAnsi="Calibri"/>
                <w:b/>
                <w:color w:val="1E293B"/>
                <w:sz w:val="17"/>
              </w:rPr>
              <w:t>100% Local / Air-Gapped</w:t>
            </w:r>
          </w:p>
        </w:tc>
        <w:tc>
          <w:tcPr>
            <w:tcW w:type="dxa" w:w="1872"/>
            <w:shd w:fill="F1F5F9"/>
            <w:tcMar>
              <w:top w:w="70" w:type="dxa"/>
              <w:bottom w:w="70" w:type="dxa"/>
              <w:left w:w="100" w:type="dxa"/>
              <w:right w:w="100" w:type="dxa"/>
            </w:tcMar>
          </w:tcPr>
          <w:p>
            <w:pPr>
              <w:spacing w:before="20" w:after="20" w:line="264" w:lineRule="auto"/>
            </w:pPr>
            <w:r>
              <w:rPr>
                <w:rFonts w:ascii="Calibri" w:hAnsi="Calibri"/>
                <w:b w:val="0"/>
                <w:color w:val="1E293B"/>
                <w:sz w:val="17"/>
              </w:rPr>
              <w:t>Zero (External API leak)</w:t>
            </w:r>
          </w:p>
        </w:tc>
        <w:tc>
          <w:tcPr>
            <w:tcW w:type="dxa" w:w="1728"/>
            <w:shd w:fill="F1F5F9"/>
            <w:tcMar>
              <w:top w:w="70" w:type="dxa"/>
              <w:bottom w:w="70" w:type="dxa"/>
              <w:left w:w="100" w:type="dxa"/>
              <w:right w:w="100" w:type="dxa"/>
            </w:tcMar>
          </w:tcPr>
          <w:p>
            <w:pPr>
              <w:spacing w:before="20" w:after="20" w:line="264" w:lineRule="auto"/>
            </w:pPr>
            <w:r>
              <w:rPr>
                <w:rFonts w:ascii="Calibri" w:hAnsi="Calibri"/>
                <w:b w:val="0"/>
                <w:color w:val="1E293B"/>
                <w:sz w:val="17"/>
              </w:rPr>
              <w:t>100% Local</w:t>
            </w:r>
          </w:p>
        </w:tc>
        <w:tc>
          <w:tcPr>
            <w:tcW w:type="dxa" w:w="1872"/>
            <w:shd w:fill="F1F5F9"/>
            <w:tcMar>
              <w:top w:w="70" w:type="dxa"/>
              <w:bottom w:w="70" w:type="dxa"/>
              <w:left w:w="100" w:type="dxa"/>
              <w:right w:w="100" w:type="dxa"/>
            </w:tcMar>
          </w:tcPr>
          <w:p>
            <w:pPr>
              <w:spacing w:before="20" w:after="20" w:line="264" w:lineRule="auto"/>
            </w:pPr>
            <w:r>
              <w:rPr>
                <w:rFonts w:ascii="Calibri" w:hAnsi="Calibri"/>
                <w:b w:val="0"/>
                <w:color w:val="1E293B"/>
                <w:sz w:val="17"/>
              </w:rPr>
              <w:t>100% On-Premise</w:t>
            </w:r>
          </w:p>
        </w:tc>
      </w:tr>
      <w:tr>
        <w:tc>
          <w:tcPr>
            <w:tcW w:type="dxa" w:w="2160"/>
            <w:shd w:fill="FFFFFF"/>
            <w:tcMar>
              <w:top w:w="70" w:type="dxa"/>
              <w:bottom w:w="70" w:type="dxa"/>
              <w:left w:w="100" w:type="dxa"/>
              <w:right w:w="100" w:type="dxa"/>
            </w:tcMar>
          </w:tcPr>
          <w:p>
            <w:pPr>
              <w:spacing w:before="20" w:after="20" w:line="264" w:lineRule="auto"/>
            </w:pPr>
            <w:r>
              <w:rPr>
                <w:rFonts w:ascii="Calibri" w:hAnsi="Calibri"/>
                <w:b/>
                <w:color w:val="1E293B"/>
                <w:sz w:val="17"/>
              </w:rPr>
              <w:t>Query Latency &amp; Cost</w:t>
            </w:r>
          </w:p>
        </w:tc>
        <w:tc>
          <w:tcPr>
            <w:tcW w:type="dxa" w:w="2016"/>
            <w:shd w:fill="ECFDF5"/>
            <w:tcMar>
              <w:top w:w="70" w:type="dxa"/>
              <w:bottom w:w="70" w:type="dxa"/>
              <w:left w:w="100" w:type="dxa"/>
              <w:right w:w="100" w:type="dxa"/>
            </w:tcMar>
          </w:tcPr>
          <w:p>
            <w:pPr>
              <w:spacing w:before="20" w:after="20" w:line="264" w:lineRule="auto"/>
            </w:pPr>
            <w:r>
              <w:rPr>
                <w:rFonts w:ascii="Calibri" w:hAnsi="Calibri"/>
                <w:b/>
                <w:color w:val="1E293B"/>
                <w:sz w:val="17"/>
              </w:rPr>
              <w:t>&lt;15ms | ₹0 API Cost</w:t>
            </w:r>
          </w:p>
        </w:tc>
        <w:tc>
          <w:tcPr>
            <w:tcW w:type="dxa" w:w="1872"/>
            <w:shd w:fill="FFFFFF"/>
            <w:tcMar>
              <w:top w:w="70" w:type="dxa"/>
              <w:bottom w:w="70" w:type="dxa"/>
              <w:left w:w="100" w:type="dxa"/>
              <w:right w:w="100" w:type="dxa"/>
            </w:tcMar>
          </w:tcPr>
          <w:p>
            <w:pPr>
              <w:spacing w:before="20" w:after="20" w:line="264" w:lineRule="auto"/>
            </w:pPr>
            <w:r>
              <w:rPr>
                <w:rFonts w:ascii="Calibri" w:hAnsi="Calibri"/>
                <w:b w:val="0"/>
                <w:color w:val="1E293B"/>
                <w:sz w:val="17"/>
              </w:rPr>
              <w:t>1500ms | ₹25 Lakhs/1M</w:t>
            </w:r>
          </w:p>
        </w:tc>
        <w:tc>
          <w:tcPr>
            <w:tcW w:type="dxa" w:w="1728"/>
            <w:shd w:fill="FFFFFF"/>
            <w:tcMar>
              <w:top w:w="70" w:type="dxa"/>
              <w:bottom w:w="70" w:type="dxa"/>
              <w:left w:w="100" w:type="dxa"/>
              <w:right w:w="100" w:type="dxa"/>
            </w:tcMar>
          </w:tcPr>
          <w:p>
            <w:pPr>
              <w:spacing w:before="20" w:after="20" w:line="264" w:lineRule="auto"/>
            </w:pPr>
            <w:r>
              <w:rPr>
                <w:rFonts w:ascii="Calibri" w:hAnsi="Calibri"/>
                <w:b w:val="0"/>
                <w:color w:val="1E293B"/>
                <w:sz w:val="17"/>
              </w:rPr>
              <w:t>20ms | Low Compute</w:t>
            </w:r>
          </w:p>
        </w:tc>
        <w:tc>
          <w:tcPr>
            <w:tcW w:type="dxa" w:w="1872"/>
            <w:shd w:fill="FFFFFF"/>
            <w:tcMar>
              <w:top w:w="70" w:type="dxa"/>
              <w:bottom w:w="70" w:type="dxa"/>
              <w:left w:w="100" w:type="dxa"/>
              <w:right w:w="100" w:type="dxa"/>
            </w:tcMar>
          </w:tcPr>
          <w:p>
            <w:pPr>
              <w:spacing w:before="20" w:after="20" w:line="264" w:lineRule="auto"/>
            </w:pPr>
            <w:r>
              <w:rPr>
                <w:rFonts w:ascii="Calibri" w:hAnsi="Calibri"/>
                <w:b w:val="0"/>
                <w:color w:val="1E293B"/>
                <w:sz w:val="17"/>
              </w:rPr>
              <w:t>500ms | $500k+ License</w:t>
            </w:r>
          </w:p>
        </w:tc>
      </w:tr>
    </w:tbl>
    <w:p>
      <w:pPr>
        <w:keepNext/>
        <w:spacing w:before="280" w:after="80"/>
      </w:pPr>
      <w:r>
        <w:rPr>
          <w:rFonts w:ascii="Calibri" w:hAnsi="Calibri"/>
          <w:b/>
          <w:color w:val="059669"/>
          <w:sz w:val="22"/>
        </w:rPr>
        <w:t xml:space="preserve">CRITERION 2 · </w:t>
      </w:r>
      <w:r>
        <w:rPr>
          <w:rFonts w:ascii="Calibri" w:hAnsi="Calibri"/>
          <w:b/>
          <w:color w:val="0F2942"/>
          <w:sz w:val="30"/>
        </w:rPr>
        <w:t>Clarity of the Idea: Mission, Problem &amp; Conceptual Architecture</w:t>
      </w:r>
    </w:p>
    <w:p>
      <w:pPr>
        <w:spacing w:before="0" w:after="80" w:line="276" w:lineRule="auto"/>
      </w:pPr>
      <w:r>
        <w:rPr>
          <w:rFonts w:ascii="Calibri" w:hAnsi="Calibri"/>
          <w:color w:val="1E293B"/>
          <w:sz w:val="20"/>
        </w:rPr>
        <w:t>The problem statement (SIH26099) addresses a multi-decade structural inefficiency across India's Central Public Sector Enterprises: the absence of a single, unified material master. In the current state, each CPSE operates autonomous SAP, Oracle, or IBM Maximo instances with disparate material numbering conventions, varied cataloging languages, and localized abbreviations. A standard 2-inch ASME Class 150 flanged ball valve in cast carbon steel (WCB) is simultaneously coded as:</w:t>
      </w:r>
    </w:p>
    <w:p>
      <w:pPr>
        <w:pStyle w:val="ListBullet"/>
        <w:spacing w:before="0" w:after="50" w:line="269" w:lineRule="auto"/>
      </w:pPr>
      <w:r>
        <w:rPr>
          <w:rFonts w:ascii="Calibri" w:hAnsi="Calibri"/>
          <w:b/>
          <w:color w:val="1E293B"/>
          <w:sz w:val="19"/>
        </w:rPr>
        <w:t>• ONGC Hazira Plant:</w:t>
      </w:r>
      <w:r>
        <w:rPr>
          <w:rFonts w:ascii="Calibri" w:hAnsi="Calibri"/>
          <w:color w:val="1E293B"/>
          <w:sz w:val="19"/>
        </w:rPr>
        <w:t xml:space="preserve"> 'BALL VALVE 50MM 150LBS CS FLANGED A216 WCB' — Item Code: MAT-VLV-0928 — Unit Cost: ₹14,200</w:t>
      </w:r>
    </w:p>
    <w:p>
      <w:pPr>
        <w:pStyle w:val="ListBullet"/>
        <w:spacing w:before="0" w:after="50" w:line="269" w:lineRule="auto"/>
      </w:pPr>
      <w:r>
        <w:rPr>
          <w:rFonts w:ascii="Calibri" w:hAnsi="Calibri"/>
          <w:b/>
          <w:color w:val="1E293B"/>
          <w:sz w:val="19"/>
        </w:rPr>
        <w:t>• IOCL Panipat Refinery:</w:t>
      </w:r>
      <w:r>
        <w:rPr>
          <w:rFonts w:ascii="Calibri" w:hAnsi="Calibri"/>
          <w:color w:val="1E293B"/>
          <w:sz w:val="19"/>
        </w:rPr>
        <w:t xml:space="preserve"> 'VLV BALL 2IN 150# FLG WCB/316 PTFE' — Item Code: 10049281 — Unit Cost: ₹16,500</w:t>
      </w:r>
    </w:p>
    <w:p>
      <w:pPr>
        <w:pStyle w:val="ListBullet"/>
        <w:spacing w:before="0" w:after="50" w:line="269" w:lineRule="auto"/>
      </w:pPr>
      <w:r>
        <w:rPr>
          <w:rFonts w:ascii="Calibri" w:hAnsi="Calibri"/>
          <w:b/>
          <w:color w:val="1E293B"/>
          <w:sz w:val="19"/>
        </w:rPr>
        <w:t>• GAIL Vijaipur Complex:</w:t>
      </w:r>
      <w:r>
        <w:rPr>
          <w:rFonts w:ascii="Calibri" w:hAnsi="Calibri"/>
          <w:color w:val="1E293B"/>
          <w:sz w:val="19"/>
        </w:rPr>
        <w:t xml:space="preserve"> 'VALVE BALL FLGD 2 INCH CLASS 150 CS BODY' — Item Code: G-201-9482 — Unit Cost: ₹15,100</w:t>
      </w:r>
    </w:p>
    <w:p>
      <w:pPr>
        <w:spacing w:before="0" w:after="80" w:line="276" w:lineRule="auto"/>
      </w:pPr>
      <w:r>
        <w:rPr>
          <w:rFonts w:ascii="Calibri" w:hAnsi="Calibri"/>
          <w:color w:val="1E293B"/>
          <w:sz w:val="20"/>
        </w:rPr>
        <w:t>Because these items cannot be correlated in legacy systems, three systemic failures occur: (1) redundant tenders are issued for identical items, (2) significant pricing variations persist without ministry-level transparency, and (3) refineries suffer multi-week shutdowns waiting for imported spares while an identical interchangeable part sits idle in a sister CPSE's warehouse a few hundred kilometers away.</w:t>
      </w:r>
    </w:p>
    <w:tbl>
      <w:tblPr>
        <w:tblW w:type="auto" w:w="0"/>
        <w:jc w:val="center"/>
        <w:tblLayout w:type="fixed"/>
        <w:tblLook w:firstColumn="1" w:firstRow="1" w:lastColumn="0" w:lastRow="0" w:noHBand="0" w:noVBand="1" w:val="04A0"/>
      </w:tblPr>
      <w:tblGrid>
        <w:gridCol w:w="9648"/>
      </w:tblGrid>
      <w:tr>
        <w:tc>
          <w:tcPr>
            <w:tcW w:type="dxa" w:w="9648"/>
            <w:shd w:fill="F1F5F9"/>
            <w:tcMar>
              <w:top w:w="110" w:type="dxa"/>
              <w:bottom w:w="110" w:type="dxa"/>
              <w:left w:w="160" w:type="dxa"/>
              <w:right w:w="140" w:type="dxa"/>
            </w:tcMar>
            <w:tcBorders>
              <w:left w:val="single" w:sz="36" w:space="0" w:color="0F2942"/>
              <w:top w:val="none"/>
              <w:right w:val="none"/>
              <w:bottom w:val="none"/>
            </w:tcBorders>
          </w:tcPr>
          <w:p>
            <w:pPr>
              <w:spacing w:before="40" w:after="40" w:line="276" w:lineRule="auto"/>
            </w:pPr>
            <w:r>
              <w:rPr>
                <w:rFonts w:ascii="Calibri" w:hAnsi="Calibri"/>
                <w:b/>
                <w:color w:val="0F2942"/>
                <w:sz w:val="19"/>
              </w:rPr>
              <w:t xml:space="preserve">⚖️ THE FOUNDATIONAL GOVERNANCE AXIOM: </w:t>
            </w:r>
            <w:r>
              <w:rPr>
                <w:rFonts w:ascii="Calibri" w:hAnsi="Calibri"/>
                <w:color w:val="1E293B"/>
                <w:sz w:val="19"/>
              </w:rPr>
              <w:t>"AI Recommends; Authorized Human Governance Approves." Autonomous destructive database mutation is strictly forbidden. The AI functions as an advisory intelligence layer. Ingested raw source data is immutable. All canonical national identifiers (CNMCs) follow a formal state machine (PROPOSED → UNDER_REVIEW → APPROVED → DEPRECATED → RETIRED) with cryptographic provenance.</w:t>
            </w:r>
          </w:p>
        </w:tc>
      </w:tr>
    </w:tbl>
    <w:p>
      <w:pPr>
        <w:spacing w:before="0" w:after="80"/>
      </w:pPr>
    </w:p>
    <w:p>
      <w:pPr>
        <w:keepNext/>
        <w:spacing w:before="200" w:after="60"/>
      </w:pPr>
      <w:r>
        <w:rPr>
          <w:rFonts w:ascii="Calibri" w:hAnsi="Calibri"/>
          <w:b/>
          <w:color w:val="2563EB"/>
          <w:sz w:val="24"/>
        </w:rPr>
        <w:t>The 12-Digit Common National Material Code (CNMC) Syntax</w:t>
      </w:r>
    </w:p>
    <w:p>
      <w:pPr>
        <w:spacing w:before="0" w:after="80" w:line="276" w:lineRule="auto"/>
      </w:pPr>
      <w:r>
        <w:rPr>
          <w:rFonts w:ascii="Calibri" w:hAnsi="Calibri"/>
          <w:color w:val="1E293B"/>
          <w:sz w:val="20"/>
        </w:rPr>
        <w:t>The platform establishes the definitive 12-digit CNMC standard structured as [Group (4 digits)] . [Subgroup (4 digits)] . [Sequential Identifier (4 digits)], strictly mapped to the Ministry of Petroleum &amp; Natural Gas technical classification standard (e.g. 4014.1607.1842 for Class 150 Ball Valves). This establishes a universal, machine-readable language linking all Indian CPSEs under One Nation – One Material Code.</w:t>
      </w:r>
    </w:p>
    <w:p>
      <w:pPr>
        <w:keepNext/>
        <w:spacing w:before="280" w:after="80"/>
      </w:pPr>
      <w:r>
        <w:rPr>
          <w:rFonts w:ascii="Calibri" w:hAnsi="Calibri"/>
          <w:b/>
          <w:color w:val="059669"/>
          <w:sz w:val="22"/>
        </w:rPr>
        <w:t xml:space="preserve">CRITERION 3 · </w:t>
      </w:r>
      <w:r>
        <w:rPr>
          <w:rFonts w:ascii="Calibri" w:hAnsi="Calibri"/>
          <w:b/>
          <w:color w:val="0F2942"/>
          <w:sz w:val="30"/>
        </w:rPr>
        <w:t>Feasibility: Technical Viability, Hardware Sizing &amp; ERP Integration</w:t>
      </w:r>
    </w:p>
    <w:p>
      <w:pPr>
        <w:spacing w:before="0" w:after="80" w:line="276" w:lineRule="auto"/>
      </w:pPr>
      <w:r>
        <w:rPr>
          <w:rFonts w:ascii="Calibri" w:hAnsi="Calibri"/>
          <w:color w:val="1E293B"/>
          <w:sz w:val="20"/>
        </w:rPr>
        <w:t>The feasibility of NUMM is demonstrated by its operational viability in real-world CPSE datacenter environments without requiring high-end GPU clusters or external internet connectivity. The entire stack has been designed to execute air-gapped on standard enterprise hardware:</w:t>
      </w:r>
    </w:p>
    <w:tbl>
      <w:tblPr>
        <w:tblW w:type="auto" w:w="0"/>
        <w:jc w:val="center"/>
        <w:tblLayout w:type="fixed"/>
        <w:tblLook w:firstColumn="1" w:firstRow="1" w:lastColumn="0" w:lastRow="0" w:noHBand="0" w:noVBand="1" w:val="04A0"/>
      </w:tblPr>
      <w:tblGrid>
        <w:gridCol w:w="3216"/>
        <w:gridCol w:w="3216"/>
        <w:gridCol w:w="3216"/>
      </w:tblGrid>
      <w:tr>
        <w:tc>
          <w:tcPr>
            <w:tcW w:type="dxa" w:w="3168"/>
            <w:shd w:fill="0F2942"/>
            <w:tcMar>
              <w:top w:w="100" w:type="dxa"/>
              <w:bottom w:w="100" w:type="dxa"/>
              <w:left w:w="100" w:type="dxa"/>
              <w:right w:w="100" w:type="dxa"/>
            </w:tcMar>
          </w:tcPr>
          <w:p>
            <w:pPr>
              <w:spacing w:before="20" w:after="20"/>
              <w:jc w:val="left"/>
            </w:pPr>
            <w:r>
              <w:rPr>
                <w:rFonts w:ascii="Calibri" w:hAnsi="Calibri"/>
                <w:b/>
                <w:color w:val="FFFFFF"/>
                <w:sz w:val="18"/>
              </w:rPr>
              <w:t>System Dimension</w:t>
            </w:r>
          </w:p>
        </w:tc>
        <w:tc>
          <w:tcPr>
            <w:tcW w:type="dxa" w:w="3168"/>
            <w:shd w:fill="0F2942"/>
            <w:tcMar>
              <w:top w:w="100" w:type="dxa"/>
              <w:bottom w:w="100" w:type="dxa"/>
              <w:left w:w="100" w:type="dxa"/>
              <w:right w:w="100" w:type="dxa"/>
            </w:tcMar>
          </w:tcPr>
          <w:p>
            <w:pPr>
              <w:spacing w:before="20" w:after="20"/>
              <w:jc w:val="left"/>
            </w:pPr>
            <w:r>
              <w:rPr>
                <w:rFonts w:ascii="Calibri" w:hAnsi="Calibri"/>
                <w:b/>
                <w:color w:val="FFFFFF"/>
                <w:sz w:val="18"/>
              </w:rPr>
              <w:t>Production Specification (500,000 Items)</w:t>
            </w:r>
          </w:p>
        </w:tc>
        <w:tc>
          <w:tcPr>
            <w:tcW w:type="dxa" w:w="3312"/>
            <w:shd w:fill="0F2942"/>
            <w:tcMar>
              <w:top w:w="100" w:type="dxa"/>
              <w:bottom w:w="100" w:type="dxa"/>
              <w:left w:w="100" w:type="dxa"/>
              <w:right w:w="100" w:type="dxa"/>
            </w:tcMar>
          </w:tcPr>
          <w:p>
            <w:pPr>
              <w:spacing w:before="20" w:after="20"/>
              <w:jc w:val="left"/>
            </w:pPr>
            <w:r>
              <w:rPr>
                <w:rFonts w:ascii="Calibri" w:hAnsi="Calibri"/>
                <w:b/>
                <w:color w:val="FFFFFF"/>
                <w:sz w:val="18"/>
              </w:rPr>
              <w:t>Empirical Verification Status</w:t>
            </w:r>
          </w:p>
        </w:tc>
      </w:tr>
      <w:tr>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Compute Requirements</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8 vCPUs (Intel Xeon / AMD EPYC @ 2.8+ GHz)</w:t>
            </w:r>
          </w:p>
        </w:tc>
        <w:tc>
          <w:tcPr>
            <w:tcW w:type="dxa" w:w="3312"/>
            <w:shd w:fill="FFFFFF"/>
            <w:tcMar>
              <w:top w:w="70" w:type="dxa"/>
              <w:bottom w:w="70" w:type="dxa"/>
              <w:left w:w="100" w:type="dxa"/>
              <w:right w:w="100" w:type="dxa"/>
            </w:tcMar>
          </w:tcPr>
          <w:p>
            <w:pPr>
              <w:spacing w:before="20" w:after="20" w:line="264" w:lineRule="auto"/>
            </w:pPr>
            <w:r>
              <w:rPr>
                <w:rFonts w:ascii="Calibri" w:hAnsi="Calibri"/>
                <w:b w:val="0"/>
                <w:color w:val="1E293B"/>
                <w:sz w:val="17"/>
              </w:rPr>
              <w:t>Runs smoothly on local laptop / commodity node.</w:t>
            </w:r>
          </w:p>
        </w:tc>
      </w:tr>
      <w:tr>
        <w:tc>
          <w:tcPr>
            <w:tcW w:type="dxa" w:w="3168"/>
            <w:shd w:fill="F1F5F9"/>
            <w:tcMar>
              <w:top w:w="70" w:type="dxa"/>
              <w:bottom w:w="70" w:type="dxa"/>
              <w:left w:w="100" w:type="dxa"/>
              <w:right w:w="100" w:type="dxa"/>
            </w:tcMar>
          </w:tcPr>
          <w:p>
            <w:pPr>
              <w:spacing w:before="20" w:after="20" w:line="264" w:lineRule="auto"/>
            </w:pPr>
            <w:r>
              <w:rPr>
                <w:rFonts w:ascii="Calibri" w:hAnsi="Calibri"/>
                <w:b/>
                <w:color w:val="1E293B"/>
                <w:sz w:val="17"/>
              </w:rPr>
              <w:t>Memory Footprint</w:t>
            </w:r>
          </w:p>
        </w:tc>
        <w:tc>
          <w:tcPr>
            <w:tcW w:type="dxa" w:w="3168"/>
            <w:shd w:fill="F1F5F9"/>
            <w:tcMar>
              <w:top w:w="70" w:type="dxa"/>
              <w:bottom w:w="70" w:type="dxa"/>
              <w:left w:w="100" w:type="dxa"/>
              <w:right w:w="100" w:type="dxa"/>
            </w:tcMar>
          </w:tcPr>
          <w:p>
            <w:pPr>
              <w:spacing w:before="20" w:after="20" w:line="264" w:lineRule="auto"/>
            </w:pPr>
            <w:r>
              <w:rPr>
                <w:rFonts w:ascii="Calibri" w:hAnsi="Calibri"/>
                <w:b w:val="0"/>
                <w:color w:val="1E293B"/>
                <w:sz w:val="17"/>
              </w:rPr>
              <w:t>16 GB DDR4 RAM (8 GB dedicated to FAISS/PyTorch)</w:t>
            </w:r>
          </w:p>
        </w:tc>
        <w:tc>
          <w:tcPr>
            <w:tcW w:type="dxa" w:w="3312"/>
            <w:shd w:fill="F1F5F9"/>
            <w:tcMar>
              <w:top w:w="70" w:type="dxa"/>
              <w:bottom w:w="70" w:type="dxa"/>
              <w:left w:w="100" w:type="dxa"/>
              <w:right w:w="100" w:type="dxa"/>
            </w:tcMar>
          </w:tcPr>
          <w:p>
            <w:pPr>
              <w:spacing w:before="20" w:after="20" w:line="264" w:lineRule="auto"/>
            </w:pPr>
            <w:r>
              <w:rPr>
                <w:rFonts w:ascii="Calibri" w:hAnsi="Calibri"/>
                <w:b w:val="0"/>
                <w:color w:val="1E293B"/>
                <w:sz w:val="17"/>
              </w:rPr>
              <w:t>Benchmarked at ~4.2 GB peak RAM usage.</w:t>
            </w:r>
          </w:p>
        </w:tc>
      </w:tr>
      <w:tr>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Query Latency</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&lt; 15 ms per item (Dense FAISS + BM25 RRF)</w:t>
            </w:r>
          </w:p>
        </w:tc>
        <w:tc>
          <w:tcPr>
            <w:tcW w:type="dxa" w:w="3312"/>
            <w:shd w:fill="FFFFFF"/>
            <w:tcMar>
              <w:top w:w="70" w:type="dxa"/>
              <w:bottom w:w="70" w:type="dxa"/>
              <w:left w:w="100" w:type="dxa"/>
              <w:right w:w="100" w:type="dxa"/>
            </w:tcMar>
          </w:tcPr>
          <w:p>
            <w:pPr>
              <w:spacing w:before="20" w:after="20" w:line="264" w:lineRule="auto"/>
            </w:pPr>
            <w:r>
              <w:rPr>
                <w:rFonts w:ascii="Calibri" w:hAnsi="Calibri"/>
                <w:b w:val="0"/>
                <w:color w:val="1E293B"/>
                <w:sz w:val="17"/>
              </w:rPr>
              <w:t>Verified at 6.8ms average retrieval latency.</w:t>
            </w:r>
          </w:p>
        </w:tc>
      </w:tr>
      <w:tr>
        <w:tc>
          <w:tcPr>
            <w:tcW w:type="dxa" w:w="3168"/>
            <w:shd w:fill="F1F5F9"/>
            <w:tcMar>
              <w:top w:w="70" w:type="dxa"/>
              <w:bottom w:w="70" w:type="dxa"/>
              <w:left w:w="100" w:type="dxa"/>
              <w:right w:w="100" w:type="dxa"/>
            </w:tcMar>
          </w:tcPr>
          <w:p>
            <w:pPr>
              <w:spacing w:before="20" w:after="20" w:line="264" w:lineRule="auto"/>
            </w:pPr>
            <w:r>
              <w:rPr>
                <w:rFonts w:ascii="Calibri" w:hAnsi="Calibri"/>
                <w:b/>
                <w:color w:val="1E293B"/>
                <w:sz w:val="17"/>
              </w:rPr>
              <w:t>Batch Deduplication</w:t>
            </w:r>
          </w:p>
        </w:tc>
        <w:tc>
          <w:tcPr>
            <w:tcW w:type="dxa" w:w="3168"/>
            <w:shd w:fill="F1F5F9"/>
            <w:tcMar>
              <w:top w:w="70" w:type="dxa"/>
              <w:bottom w:w="70" w:type="dxa"/>
              <w:left w:w="100" w:type="dxa"/>
              <w:right w:w="100" w:type="dxa"/>
            </w:tcMar>
          </w:tcPr>
          <w:p>
            <w:pPr>
              <w:spacing w:before="20" w:after="20" w:line="264" w:lineRule="auto"/>
            </w:pPr>
            <w:r>
              <w:rPr>
                <w:rFonts w:ascii="Calibri" w:hAnsi="Calibri"/>
                <w:b w:val="0"/>
                <w:color w:val="1E293B"/>
                <w:sz w:val="17"/>
              </w:rPr>
              <w:t>~25,000 material pairs evaluated per minute</w:t>
            </w:r>
          </w:p>
        </w:tc>
        <w:tc>
          <w:tcPr>
            <w:tcW w:type="dxa" w:w="3312"/>
            <w:shd w:fill="F1F5F9"/>
            <w:tcMar>
              <w:top w:w="70" w:type="dxa"/>
              <w:bottom w:w="70" w:type="dxa"/>
              <w:left w:w="100" w:type="dxa"/>
              <w:right w:w="100" w:type="dxa"/>
            </w:tcMar>
          </w:tcPr>
          <w:p>
            <w:pPr>
              <w:spacing w:before="20" w:after="20" w:line="264" w:lineRule="auto"/>
            </w:pPr>
            <w:r>
              <w:rPr>
                <w:rFonts w:ascii="Calibri" w:hAnsi="Calibri"/>
                <w:b w:val="0"/>
                <w:color w:val="1E293B"/>
                <w:sz w:val="17"/>
              </w:rPr>
              <w:t>Validated on 500-row industrial benchmark.</w:t>
            </w:r>
          </w:p>
        </w:tc>
      </w:tr>
      <w:tr>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Storage Footprint</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&lt; 10 GB NVMe SSD for DB, vectors, and weights</w:t>
            </w:r>
          </w:p>
        </w:tc>
        <w:tc>
          <w:tcPr>
            <w:tcW w:type="dxa" w:w="3312"/>
            <w:shd w:fill="FFFFFF"/>
            <w:tcMar>
              <w:top w:w="70" w:type="dxa"/>
              <w:bottom w:w="70" w:type="dxa"/>
              <w:left w:w="100" w:type="dxa"/>
              <w:right w:w="100" w:type="dxa"/>
            </w:tcMar>
          </w:tcPr>
          <w:p>
            <w:pPr>
              <w:spacing w:before="20" w:after="20" w:line="264" w:lineRule="auto"/>
            </w:pPr>
            <w:r>
              <w:rPr>
                <w:rFonts w:ascii="Calibri" w:hAnsi="Calibri"/>
                <w:b w:val="0"/>
                <w:color w:val="1E293B"/>
                <w:sz w:val="17"/>
              </w:rPr>
              <w:t>Compact 384-dim vectors: ~768 MB per 500k items.</w:t>
            </w:r>
          </w:p>
        </w:tc>
      </w:tr>
    </w:tbl>
    <w:p>
      <w:pPr>
        <w:keepNext/>
        <w:spacing w:before="200" w:after="60"/>
      </w:pPr>
      <w:r>
        <w:rPr>
          <w:rFonts w:ascii="Calibri" w:hAnsi="Calibri"/>
          <w:b/>
          <w:color w:val="2563EB"/>
          <w:sz w:val="24"/>
        </w:rPr>
        <w:t>Non-Disruptive Enterprise ERP Integration (Hexagonal Adapters)</w:t>
      </w:r>
    </w:p>
    <w:p>
      <w:pPr>
        <w:spacing w:before="0" w:after="80" w:line="276" w:lineRule="auto"/>
      </w:pPr>
      <w:r>
        <w:rPr>
          <w:rFonts w:ascii="Calibri" w:hAnsi="Calibri"/>
          <w:color w:val="1E293B"/>
          <w:sz w:val="20"/>
        </w:rPr>
        <w:t>A major feasibility roadblock in master data initiatives is plant-level resistance: plant maintenance managers refuse to re-label physical inventory bins or disrupt existing maintenance work orders. NUMM solves this via a Hexagonal Outbound Adapter architecture:</w:t>
      </w:r>
    </w:p>
    <w:p>
      <w:pPr>
        <w:pStyle w:val="ListBullet"/>
        <w:spacing w:before="0" w:after="50" w:line="269" w:lineRule="auto"/>
      </w:pPr>
      <w:r>
        <w:rPr>
          <w:rFonts w:ascii="Calibri" w:hAnsi="Calibri"/>
          <w:b/>
          <w:color w:val="1E293B"/>
          <w:sz w:val="19"/>
        </w:rPr>
        <w:t>• SAP S/4HANA (BAPI_MATERIAL_SAVEDATA &amp; IDoc MATMAS05):</w:t>
      </w:r>
      <w:r>
        <w:rPr>
          <w:rFonts w:ascii="Calibri" w:hAnsi="Calibri"/>
          <w:color w:val="1E293B"/>
          <w:sz w:val="19"/>
        </w:rPr>
        <w:t xml:space="preserve"> The local plant material code is retained in field MARC-MATNR (preserving all bin locations, maintenance bills of materials, and historical ledger links).</w:t>
      </w:r>
    </w:p>
    <w:p>
      <w:pPr>
        <w:pStyle w:val="ListBullet"/>
        <w:spacing w:before="0" w:after="50" w:line="269" w:lineRule="auto"/>
      </w:pPr>
      <w:r>
        <w:rPr>
          <w:rFonts w:ascii="Calibri" w:hAnsi="Calibri"/>
          <w:b/>
          <w:color w:val="1E293B"/>
          <w:sz w:val="19"/>
        </w:rPr>
        <w:t>• SAP Alias Classification:</w:t>
      </w:r>
      <w:r>
        <w:rPr>
          <w:rFonts w:ascii="Calibri" w:hAnsi="Calibri"/>
          <w:color w:val="1E293B"/>
          <w:sz w:val="19"/>
        </w:rPr>
        <w:t xml:space="preserve"> The canonical 12-digit CNMC is populated into standard field MARA-BISMT (Old Material Number / Alias Registry) and classified under Class 001 with characteristic Z_CNMC_HASH.</w:t>
      </w:r>
    </w:p>
    <w:p>
      <w:pPr>
        <w:pStyle w:val="ListBullet"/>
        <w:spacing w:before="0" w:after="50" w:line="269" w:lineRule="auto"/>
      </w:pPr>
      <w:r>
        <w:rPr>
          <w:rFonts w:ascii="Calibri" w:hAnsi="Calibri"/>
          <w:b/>
          <w:color w:val="1E293B"/>
          <w:sz w:val="19"/>
        </w:rPr>
        <w:t>• Oracle SCM Cloud (REST API):</w:t>
      </w:r>
      <w:r>
        <w:rPr>
          <w:rFonts w:ascii="Calibri" w:hAnsi="Calibri"/>
          <w:color w:val="1E293B"/>
          <w:sz w:val="19"/>
        </w:rPr>
        <w:t xml:space="preserve"> Employs ItemNumber for local inventory and registers CNMC in the CrossReferences array.</w:t>
      </w:r>
    </w:p>
    <w:p>
      <w:pPr>
        <w:pStyle w:val="ListBullet"/>
        <w:spacing w:before="0" w:after="50" w:line="269" w:lineRule="auto"/>
      </w:pPr>
      <w:r>
        <w:rPr>
          <w:rFonts w:ascii="Calibri" w:hAnsi="Calibri"/>
          <w:b/>
          <w:color w:val="1E293B"/>
          <w:sz w:val="19"/>
        </w:rPr>
        <w:t>• IBM Maximo Asset Management:</w:t>
      </w:r>
      <w:r>
        <w:rPr>
          <w:rFonts w:ascii="Calibri" w:hAnsi="Calibri"/>
          <w:color w:val="1E293B"/>
          <w:sz w:val="19"/>
        </w:rPr>
        <w:t xml:space="preserve"> Maps local ITEMNUM via ALN alias tables to MASTER_CNMC via the Maximo Integration Framework (MIF) and OSLC interaction.</w:t>
      </w:r>
    </w:p>
    <w:p>
      <w:pPr>
        <w:keepNext/>
        <w:spacing w:before="280" w:after="80"/>
      </w:pPr>
      <w:r>
        <w:rPr>
          <w:rFonts w:ascii="Calibri" w:hAnsi="Calibri"/>
          <w:b/>
          <w:color w:val="059669"/>
          <w:sz w:val="22"/>
        </w:rPr>
        <w:t xml:space="preserve">CRITERION 4 · </w:t>
      </w:r>
      <w:r>
        <w:rPr>
          <w:rFonts w:ascii="Calibri" w:hAnsi="Calibri"/>
          <w:b/>
          <w:color w:val="0F2942"/>
          <w:sz w:val="30"/>
        </w:rPr>
        <w:t>Practicability: Real-World Resilience, Dirty Data &amp; Edge Cases</w:t>
      </w:r>
    </w:p>
    <w:p>
      <w:pPr>
        <w:spacing w:before="0" w:after="80" w:line="276" w:lineRule="auto"/>
      </w:pPr>
      <w:r>
        <w:rPr>
          <w:rFonts w:ascii="Calibri" w:hAnsi="Calibri"/>
          <w:color w:val="1E293B"/>
          <w:sz w:val="20"/>
        </w:rPr>
        <w:t>Practicability evaluates how the platform behaves in the messy, unstructured reality of operating plants where catalog data is filled with typos, non-standard abbreviations, missing values, and conflicting unit conventions. NUMM incorporates dedicated domain normalization engines specifically tuned to handle Indian CPSE realities:</w:t>
      </w:r>
    </w:p>
    <w:p>
      <w:pPr>
        <w:pStyle w:val="ListBullet"/>
        <w:spacing w:before="0" w:after="50" w:line="269" w:lineRule="auto"/>
      </w:pPr>
      <w:r>
        <w:rPr>
          <w:rFonts w:ascii="Calibri" w:hAnsi="Calibri"/>
          <w:b/>
          <w:color w:val="1E293B"/>
          <w:sz w:val="19"/>
        </w:rPr>
        <w:t>1. Decimal-to-Fraction-to-Metric DN Equivalence:</w:t>
      </w:r>
      <w:r>
        <w:rPr>
          <w:rFonts w:ascii="Calibri" w:hAnsi="Calibri"/>
          <w:color w:val="1E293B"/>
          <w:sz w:val="19"/>
        </w:rPr>
        <w:t xml:space="preserve"> Indian CPSEs frequently record dimensions in decimal inches (e.g. 0.75IN, 0.5IN) while others write fractional inches (3/4", 1/2") or metric diameters (DN20, DN15, 50MM). NUMM's normalization engine automatically harmonizes these into identical nominal bore representations, eliminating false dimensional contradiction alerts.</w:t>
      </w:r>
    </w:p>
    <w:p>
      <w:pPr>
        <w:pStyle w:val="ListBullet"/>
        <w:spacing w:before="0" w:after="50" w:line="269" w:lineRule="auto"/>
      </w:pPr>
      <w:r>
        <w:rPr>
          <w:rFonts w:ascii="Calibri" w:hAnsi="Calibri"/>
          <w:b/>
          <w:color w:val="1E293B"/>
          <w:sz w:val="19"/>
        </w:rPr>
        <w:t>2. Manufacturer Designation Canonicalization (SKF, FAG, Swagelok):</w:t>
      </w:r>
      <w:r>
        <w:rPr>
          <w:rFonts w:ascii="Calibri" w:hAnsi="Calibri"/>
          <w:color w:val="1E293B"/>
          <w:sz w:val="19"/>
        </w:rPr>
        <w:t xml:space="preserve"> In bearings, SKF catalogs designate sheet-steel reinforced rubber contact seals as '2RS1', while FAG/NTN write '2RS' or '2RSR'. NUMM recognizes functional seal equivalence while strictly rejecting metal shields ('ZZ') that fail in wet or dusty refinery environments.</w:t>
      </w:r>
    </w:p>
    <w:p>
      <w:pPr>
        <w:pStyle w:val="ListBullet"/>
        <w:spacing w:before="0" w:after="50" w:line="269" w:lineRule="auto"/>
      </w:pPr>
      <w:r>
        <w:rPr>
          <w:rFonts w:ascii="Calibri" w:hAnsi="Calibri"/>
          <w:b/>
          <w:color w:val="1E293B"/>
          <w:sz w:val="19"/>
        </w:rPr>
        <w:t>3. Inverted Description Synthesis:</w:t>
      </w:r>
      <w:r>
        <w:rPr>
          <w:rFonts w:ascii="Calibri" w:hAnsi="Calibri"/>
          <w:color w:val="1E293B"/>
          <w:sz w:val="19"/>
        </w:rPr>
        <w:t xml:space="preserve"> CPSE descriptions often invert nouns and modifiers ('VLV BALL 2IN' or 'FLG WN 4IN'). NUMM synthesizes compound nouns ('BALL VALVE', 'WELD NECK FLANGE') before parsing attributes, ensuring proper noun-modifier hierarchy compliance.</w:t>
      </w:r>
    </w:p>
    <w:p>
      <w:pPr>
        <w:pStyle w:val="ListBullet"/>
        <w:spacing w:before="0" w:after="50" w:line="269" w:lineRule="auto"/>
      </w:pPr>
      <w:r>
        <w:rPr>
          <w:rFonts w:ascii="Calibri" w:hAnsi="Calibri"/>
          <w:b/>
          <w:color w:val="1E293B"/>
          <w:sz w:val="19"/>
        </w:rPr>
        <w:t>4. Complex Metallurgy &amp; Sour Gas Discrimination:</w:t>
      </w:r>
      <w:r>
        <w:rPr>
          <w:rFonts w:ascii="Calibri" w:hAnsi="Calibri"/>
          <w:color w:val="1E293B"/>
          <w:sz w:val="19"/>
        </w:rPr>
        <w:t xml:space="preserve"> Understands metallurgy hierarchy: Stainless Steel 316 agrees with general SS, but SS316 vs SS304 strictly conflicts due to molybdenum content differences critical in coastal refineries. Forged A105 and cast A216 WCB carbon steels are recognized as functionally equivalent for piping fittings per ASME Section II.</w:t>
      </w:r>
    </w:p>
    <w:tbl>
      <w:tblPr>
        <w:tblW w:type="auto" w:w="0"/>
        <w:jc w:val="center"/>
        <w:tblLayout w:type="fixed"/>
        <w:tblLook w:firstColumn="1" w:firstRow="1" w:lastColumn="0" w:lastRow="0" w:noHBand="0" w:noVBand="1" w:val="04A0"/>
      </w:tblPr>
      <w:tblGrid>
        <w:gridCol w:w="9648"/>
      </w:tblGrid>
      <w:tr>
        <w:tc>
          <w:tcPr>
            <w:tcW w:type="dxa" w:w="9648"/>
            <w:shd w:fill="F0FDF4"/>
            <w:tcMar>
              <w:top w:w="110" w:type="dxa"/>
              <w:bottom w:w="110" w:type="dxa"/>
              <w:left w:w="160" w:type="dxa"/>
              <w:right w:w="140" w:type="dxa"/>
            </w:tcMar>
            <w:tcBorders>
              <w:left w:val="single" w:sz="36" w:space="0" w:color="059669"/>
              <w:top w:val="none"/>
              <w:right w:val="none"/>
              <w:bottom w:val="none"/>
            </w:tcBorders>
          </w:tcPr>
          <w:p>
            <w:pPr>
              <w:spacing w:before="40" w:after="40" w:line="276" w:lineRule="auto"/>
            </w:pPr>
            <w:r>
              <w:rPr>
                <w:rFonts w:ascii="Calibri" w:hAnsi="Calibri"/>
                <w:b/>
                <w:color w:val="059669"/>
                <w:sz w:val="19"/>
              </w:rPr>
              <w:t xml:space="preserve">✅ EMPIRICAL PRACTICABILITY BENCHMARK: </w:t>
            </w:r>
            <w:r>
              <w:rPr>
                <w:rFonts w:ascii="Calibri" w:hAnsi="Calibri"/>
                <w:color w:val="1E293B"/>
                <w:sz w:val="19"/>
              </w:rPr>
              <w:t>In automated stress testing over 59 difficult industrial edge cases (including cross-metallurgy, metric-decimal size matching, sour service, and flange facings), NUMM achieved a 100.0% Safety Conflict Detection Rate and a 0.00% False Positive Merge Rate.</w:t>
            </w:r>
          </w:p>
        </w:tc>
      </w:tr>
    </w:tbl>
    <w:p>
      <w:pPr>
        <w:spacing w:before="0" w:after="80"/>
      </w:pPr>
    </w:p>
    <w:p>
      <w:pPr>
        <w:keepNext/>
        <w:spacing w:before="280" w:after="80"/>
      </w:pPr>
      <w:r>
        <w:rPr>
          <w:rFonts w:ascii="Calibri" w:hAnsi="Calibri"/>
          <w:b/>
          <w:color w:val="059669"/>
          <w:sz w:val="22"/>
        </w:rPr>
        <w:t xml:space="preserve">CRITERION 5 · </w:t>
      </w:r>
      <w:r>
        <w:rPr>
          <w:rFonts w:ascii="Calibri" w:hAnsi="Calibri"/>
          <w:b/>
          <w:color w:val="0F2942"/>
          <w:sz w:val="30"/>
        </w:rPr>
        <w:t>Sustainability: Economic, Environmental &amp; Architectural Longevity</w:t>
      </w:r>
    </w:p>
    <w:p>
      <w:pPr>
        <w:spacing w:before="0" w:after="80" w:line="276" w:lineRule="auto"/>
      </w:pPr>
      <w:r>
        <w:rPr>
          <w:rFonts w:ascii="Calibri" w:hAnsi="Calibri"/>
          <w:color w:val="1E293B"/>
          <w:sz w:val="20"/>
        </w:rPr>
        <w:t>The sustainability of NUMM is structured across three fundamental dimensions: financial self-sufficiency, computational energy efficiency (Green AI), and software architectural maintainability:</w:t>
      </w:r>
    </w:p>
    <w:p>
      <w:pPr>
        <w:pStyle w:val="ListBullet"/>
        <w:spacing w:before="0" w:after="50" w:line="269" w:lineRule="auto"/>
      </w:pPr>
      <w:r>
        <w:rPr>
          <w:rFonts w:ascii="Calibri" w:hAnsi="Calibri"/>
          <w:b/>
          <w:color w:val="1E293B"/>
          <w:sz w:val="19"/>
        </w:rPr>
        <w:t>• Financial &amp; Economic Sustainability:</w:t>
      </w:r>
      <w:r>
        <w:rPr>
          <w:rFonts w:ascii="Calibri" w:hAnsi="Calibri"/>
          <w:color w:val="1E293B"/>
          <w:sz w:val="19"/>
        </w:rPr>
        <w:t xml:space="preserve"> Built entirely on modern open-source foundations (Python 3.10+, FastAPI, SQLite/PostgreSQL, FAISS, React 18, Vite 6, TailwindCSS). It incurs ₹0 in commercial licensing fees (eliminating the multi-crore annual subscription costs associated with SAP MDG or IBM InfoSphere) and ₹0 in ongoing third-party cloud LLM token fees.</w:t>
      </w:r>
    </w:p>
    <w:p>
      <w:pPr>
        <w:pStyle w:val="ListBullet"/>
        <w:spacing w:before="0" w:after="50" w:line="269" w:lineRule="auto"/>
      </w:pPr>
      <w:r>
        <w:rPr>
          <w:rFonts w:ascii="Calibri" w:hAnsi="Calibri"/>
          <w:b/>
          <w:color w:val="1E293B"/>
          <w:sz w:val="19"/>
        </w:rPr>
        <w:t>• Energy &amp; Carbon Sustainability (Green AI):</w:t>
      </w:r>
      <w:r>
        <w:rPr>
          <w:rFonts w:ascii="Calibri" w:hAnsi="Calibri"/>
          <w:color w:val="1E293B"/>
          <w:sz w:val="19"/>
        </w:rPr>
        <w:t xml:space="preserve"> Unlike 70B+ parameter generative models that consume hundreds of watts per query in commercial datacenters, NUMM's compact 384-dimensional model executes in under 15 milliseconds on a CPU. It consumes less than 0.001 kWh per 1,000 matches, providing an environmentally sustainable, low-carbon footprint aligned with corporate net-zero targets.</w:t>
      </w:r>
    </w:p>
    <w:p>
      <w:pPr>
        <w:pStyle w:val="ListBullet"/>
        <w:spacing w:before="0" w:after="50" w:line="269" w:lineRule="auto"/>
      </w:pPr>
      <w:r>
        <w:rPr>
          <w:rFonts w:ascii="Calibri" w:hAnsi="Calibri"/>
          <w:b/>
          <w:color w:val="1E293B"/>
          <w:sz w:val="19"/>
        </w:rPr>
        <w:t>• Architectural &amp; Data Longevity:</w:t>
      </w:r>
      <w:r>
        <w:rPr>
          <w:rFonts w:ascii="Calibri" w:hAnsi="Calibri"/>
          <w:color w:val="1E293B"/>
          <w:sz w:val="19"/>
        </w:rPr>
        <w:t xml:space="preserve"> Adheres to Hexagonal / Ports-and-Adapters software engineering principles. Ingested raw source data is strictly immutable; canonical national records are derived relational entities. When newer neural models or additional CPSEs are onboarded in the future, historical data is never corrupted, and the entire catalog can be re-indexed seamlessly.</w:t>
      </w:r>
    </w:p>
    <w:p>
      <w:pPr>
        <w:keepNext/>
        <w:spacing w:before="280" w:after="80"/>
      </w:pPr>
      <w:r>
        <w:rPr>
          <w:rFonts w:ascii="Calibri" w:hAnsi="Calibri"/>
          <w:b/>
          <w:color w:val="059669"/>
          <w:sz w:val="22"/>
        </w:rPr>
        <w:t xml:space="preserve">CRITERION 6 · </w:t>
      </w:r>
      <w:r>
        <w:rPr>
          <w:rFonts w:ascii="Calibri" w:hAnsi="Calibri"/>
          <w:b/>
          <w:color w:val="0F2942"/>
          <w:sz w:val="30"/>
        </w:rPr>
        <w:t>Scale of Impact: Quantifiable Fiscal, Operational &amp; National Value</w:t>
      </w:r>
    </w:p>
    <w:p>
      <w:pPr>
        <w:spacing w:before="0" w:after="80" w:line="276" w:lineRule="auto"/>
      </w:pPr>
      <w:r>
        <w:rPr>
          <w:rFonts w:ascii="Calibri" w:hAnsi="Calibri"/>
          <w:color w:val="1E293B"/>
          <w:sz w:val="20"/>
        </w:rPr>
        <w:t>The economic and strategic impact of deploying NUMM across the Indian energy sector is transformative across three distinct tiers: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F2942"/>
            <w:tcMar>
              <w:top w:w="100" w:type="dxa"/>
              <w:bottom w:w="100" w:type="dxa"/>
              <w:left w:w="100" w:type="dxa"/>
              <w:right w:w="100" w:type="dxa"/>
            </w:tcMar>
          </w:tcPr>
          <w:p>
            <w:pPr>
              <w:spacing w:before="20" w:after="20"/>
              <w:jc w:val="left"/>
            </w:pPr>
            <w:r>
              <w:rPr>
                <w:rFonts w:ascii="Calibri" w:hAnsi="Calibri"/>
                <w:b/>
                <w:color w:val="FFFFFF"/>
                <w:sz w:val="18"/>
              </w:rPr>
              <w:t>Impact Dimension</w:t>
            </w:r>
          </w:p>
        </w:tc>
        <w:tc>
          <w:tcPr>
            <w:tcW w:type="dxa" w:w="3168"/>
            <w:shd w:fill="0F2942"/>
            <w:tcMar>
              <w:top w:w="100" w:type="dxa"/>
              <w:bottom w:w="100" w:type="dxa"/>
              <w:left w:w="100" w:type="dxa"/>
              <w:right w:w="100" w:type="dxa"/>
            </w:tcMar>
          </w:tcPr>
          <w:p>
            <w:pPr>
              <w:spacing w:before="20" w:after="20"/>
              <w:jc w:val="left"/>
            </w:pPr>
            <w:r>
              <w:rPr>
                <w:rFonts w:ascii="Calibri" w:hAnsi="Calibri"/>
                <w:b/>
                <w:color w:val="FFFFFF"/>
                <w:sz w:val="18"/>
              </w:rPr>
              <w:t>Quantifiable Target / Metric</w:t>
            </w:r>
          </w:p>
        </w:tc>
        <w:tc>
          <w:tcPr>
            <w:tcW w:type="dxa" w:w="3888"/>
            <w:shd w:fill="0F2942"/>
            <w:tcMar>
              <w:top w:w="100" w:type="dxa"/>
              <w:bottom w:w="100" w:type="dxa"/>
              <w:left w:w="100" w:type="dxa"/>
              <w:right w:w="100" w:type="dxa"/>
            </w:tcMar>
          </w:tcPr>
          <w:p>
            <w:pPr>
              <w:spacing w:before="20" w:after="20"/>
              <w:jc w:val="left"/>
            </w:pPr>
            <w:r>
              <w:rPr>
                <w:rFonts w:ascii="Calibri" w:hAnsi="Calibri"/>
                <w:b/>
                <w:color w:val="FFFFFF"/>
                <w:sz w:val="18"/>
              </w:rPr>
              <w:t>National Real-World Consequence</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Fiscal Synergy &amp; Bulk Procurement</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₹3,500+ Crore ($420M+ USD) in annual procurement savings.</w:t>
            </w:r>
          </w:p>
        </w:tc>
        <w:tc>
          <w:tcPr>
            <w:tcW w:type="dxa" w:w="3888"/>
            <w:shd w:fill="FFFFFF"/>
            <w:tcMar>
              <w:top w:w="70" w:type="dxa"/>
              <w:bottom w:w="70" w:type="dxa"/>
              <w:left w:w="100" w:type="dxa"/>
              <w:right w:w="100" w:type="dxa"/>
            </w:tcMar>
          </w:tcPr>
          <w:p>
            <w:pPr>
              <w:spacing w:before="20" w:after="20" w:line="264" w:lineRule="auto"/>
            </w:pPr>
            <w:r>
              <w:rPr>
                <w:rFonts w:ascii="Calibri" w:hAnsi="Calibri"/>
                <w:b w:val="0"/>
                <w:color w:val="1E293B"/>
                <w:sz w:val="17"/>
              </w:rPr>
              <w:t>Consolidates fragmented CPSE tenders into unified national framework contracts. Eliminates the ₹2,300/unit price disparity across identical valves and pipes.</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Operational Downtime Reduction</w:t>
            </w:r>
          </w:p>
        </w:tc>
        <w:tc>
          <w:tcPr>
            <w:tcW w:type="dxa" w:w="3168"/>
            <w:shd w:fill="F1F5F9"/>
            <w:tcMar>
              <w:top w:w="70" w:type="dxa"/>
              <w:bottom w:w="70" w:type="dxa"/>
              <w:left w:w="100" w:type="dxa"/>
              <w:right w:w="100" w:type="dxa"/>
            </w:tcMar>
          </w:tcPr>
          <w:p>
            <w:pPr>
              <w:spacing w:before="20" w:after="20" w:line="264" w:lineRule="auto"/>
            </w:pPr>
            <w:r>
              <w:rPr>
                <w:rFonts w:ascii="Calibri" w:hAnsi="Calibri"/>
                <w:b w:val="0"/>
                <w:color w:val="1E293B"/>
                <w:sz w:val="17"/>
              </w:rPr>
              <w:t>Refinery turnaround cut from 16–24 weeks down to &lt; 24 hours.</w:t>
            </w:r>
          </w:p>
        </w:tc>
        <w:tc>
          <w:tcPr>
            <w:tcW w:type="dxa" w:w="3888"/>
            <w:shd w:fill="F1F5F9"/>
            <w:tcMar>
              <w:top w:w="70" w:type="dxa"/>
              <w:bottom w:w="70" w:type="dxa"/>
              <w:left w:w="100" w:type="dxa"/>
              <w:right w:w="100" w:type="dxa"/>
            </w:tcMar>
          </w:tcPr>
          <w:p>
            <w:pPr>
              <w:spacing w:before="20" w:after="20" w:line="264" w:lineRule="auto"/>
            </w:pPr>
            <w:r>
              <w:rPr>
                <w:rFonts w:ascii="Calibri" w:hAnsi="Calibri"/>
                <w:b w:val="0"/>
                <w:color w:val="1E293B"/>
                <w:sz w:val="17"/>
              </w:rPr>
              <w:t>Inter-CPSE emergency spare pooling: IOCL Panipat can borrow an identical API 610 mechanical seal from GAIL Vijaipur instead of waiting for foreign OEM imports.</w:t>
            </w:r>
          </w:p>
        </w:tc>
      </w:tr>
      <w:tr>
        <w:tc>
          <w:tcPr>
            <w:tcW w:type="dxa" w:w="2592"/>
            <w:shd w:fill="ECFDF5"/>
            <w:tcMar>
              <w:top w:w="70" w:type="dxa"/>
              <w:bottom w:w="70" w:type="dxa"/>
              <w:left w:w="100" w:type="dxa"/>
              <w:right w:w="100" w:type="dxa"/>
            </w:tcMar>
          </w:tcPr>
          <w:p>
            <w:pPr>
              <w:spacing w:before="20" w:after="20" w:line="264" w:lineRule="auto"/>
            </w:pPr>
            <w:r>
              <w:rPr>
                <w:rFonts w:ascii="Calibri" w:hAnsi="Calibri"/>
                <w:b/>
                <w:color w:val="1E293B"/>
                <w:sz w:val="17"/>
              </w:rPr>
              <w:t>National Sovereignty &amp; Compliance</w:t>
            </w:r>
          </w:p>
        </w:tc>
        <w:tc>
          <w:tcPr>
            <w:tcW w:type="dxa" w:w="3168"/>
            <w:shd w:fill="FFFFFF"/>
            <w:tcMar>
              <w:top w:w="70" w:type="dxa"/>
              <w:bottom w:w="70" w:type="dxa"/>
              <w:left w:w="100" w:type="dxa"/>
              <w:right w:w="100" w:type="dxa"/>
            </w:tcMar>
          </w:tcPr>
          <w:p>
            <w:pPr>
              <w:spacing w:before="20" w:after="20" w:line="264" w:lineRule="auto"/>
            </w:pPr>
            <w:r>
              <w:rPr>
                <w:rFonts w:ascii="Calibri" w:hAnsi="Calibri"/>
                <w:b w:val="0"/>
                <w:color w:val="1E293B"/>
                <w:sz w:val="17"/>
              </w:rPr>
              <w:t>100% Sovereign, CVC/CAG compliant, Aatmanirbhar Bharat ready.</w:t>
            </w:r>
          </w:p>
        </w:tc>
        <w:tc>
          <w:tcPr>
            <w:tcW w:type="dxa" w:w="3888"/>
            <w:shd w:fill="FFFFFF"/>
            <w:tcMar>
              <w:top w:w="70" w:type="dxa"/>
              <w:bottom w:w="70" w:type="dxa"/>
              <w:left w:w="100" w:type="dxa"/>
              <w:right w:w="100" w:type="dxa"/>
            </w:tcMar>
          </w:tcPr>
          <w:p>
            <w:pPr>
              <w:spacing w:before="20" w:after="20" w:line="264" w:lineRule="auto"/>
            </w:pPr>
            <w:r>
              <w:rPr>
                <w:rFonts w:ascii="Calibri" w:hAnsi="Calibri"/>
                <w:b w:val="0"/>
                <w:color w:val="1E293B"/>
                <w:sz w:val="17"/>
              </w:rPr>
              <w:t>Guarantees zero data leakage of strategic energy infrastructure. Promotes domestic manufacturing by mapping qualified Indian vendor equivalents.</w:t>
            </w:r>
          </w:p>
        </w:tc>
      </w:tr>
    </w:tbl>
    <w:p>
      <w:pPr>
        <w:keepNext/>
        <w:spacing w:before="280" w:after="80"/>
      </w:pPr>
      <w:r>
        <w:rPr>
          <w:rFonts w:ascii="Calibri" w:hAnsi="Calibri"/>
          <w:b/>
          <w:color w:val="059669"/>
          <w:sz w:val="22"/>
        </w:rPr>
        <w:t xml:space="preserve">CRITERION 7 · </w:t>
      </w:r>
      <w:r>
        <w:rPr>
          <w:rFonts w:ascii="Calibri" w:hAnsi="Calibri"/>
          <w:b/>
          <w:color w:val="0F2942"/>
          <w:sz w:val="30"/>
        </w:rPr>
        <w:t>User Experience: Human-Centered Design, Resilience &amp; Workflows</w:t>
      </w:r>
    </w:p>
    <w:p>
      <w:pPr>
        <w:spacing w:before="0" w:after="80" w:line="276" w:lineRule="auto"/>
      </w:pPr>
      <w:r>
        <w:rPr>
          <w:rFonts w:ascii="Calibri" w:hAnsi="Calibri"/>
          <w:color w:val="1E293B"/>
          <w:sz w:val="20"/>
        </w:rPr>
        <w:t>User experience in industrial software determines whether operational teams adopt or abandon a platform. NUMM features a bespoke, responsive web application engineered in React 18, Vite 6, and TailwindCSS, designed specifically for refinery catalogers, plant engineers, and ministerial stewards:</w:t>
      </w:r>
    </w:p>
    <w:p>
      <w:pPr>
        <w:pStyle w:val="ListBullet"/>
        <w:spacing w:before="0" w:after="50" w:line="269" w:lineRule="auto"/>
      </w:pPr>
      <w:r>
        <w:rPr>
          <w:rFonts w:ascii="Calibri" w:hAnsi="Calibri"/>
          <w:b/>
          <w:color w:val="1E293B"/>
          <w:sz w:val="19"/>
        </w:rPr>
        <w:t>1. Tactical Control Room Aesthetics:</w:t>
      </w:r>
      <w:r>
        <w:rPr>
          <w:rFonts w:ascii="Calibri" w:hAnsi="Calibri"/>
          <w:color w:val="1E293B"/>
          <w:sz w:val="19"/>
        </w:rPr>
        <w:t xml:space="preserve"> Designed with an authentic industrial dark palette (#070908, emerald #10B981, sapphire #3B82F6), Emil Kowalski spring motion tokens (600/35 tactile active feedback), and high information density tailored for standard 1366px+ control room displays.</w:t>
      </w:r>
    </w:p>
    <w:p>
      <w:pPr>
        <w:pStyle w:val="ListBullet"/>
        <w:spacing w:before="0" w:after="50" w:line="269" w:lineRule="auto"/>
      </w:pPr>
      <w:r>
        <w:rPr>
          <w:rFonts w:ascii="Calibri" w:hAnsi="Calibri"/>
          <w:b/>
          <w:color w:val="1E293B"/>
          <w:sz w:val="19"/>
        </w:rPr>
        <w:t>2. 13 Specialized Operational Views:</w:t>
      </w:r>
      <w:r>
        <w:rPr>
          <w:rFonts w:ascii="Calibri" w:hAnsi="Calibri"/>
          <w:color w:val="1E293B"/>
          <w:sz w:val="19"/>
        </w:rPr>
        <w:t xml:space="preserve"> Features 13 distinct governed workflow screens: Landing Overview, Executive Dashboard, AI Harmonization Engine, Review Queue, Master Catalog, Material Detail Spec Sheet, Rationalization Analysis, CPSE Data Hub, Analytics &amp; Savings, Governance &amp; Audit Trail, Problem &amp; Architecture, Settings, and Help &amp; Support.</w:t>
      </w:r>
    </w:p>
    <w:p>
      <w:pPr>
        <w:pStyle w:val="ListBullet"/>
        <w:spacing w:before="0" w:after="50" w:line="269" w:lineRule="auto"/>
      </w:pPr>
      <w:r>
        <w:rPr>
          <w:rFonts w:ascii="Calibri" w:hAnsi="Calibri"/>
          <w:b/>
          <w:color w:val="1E293B"/>
          <w:sz w:val="19"/>
        </w:rPr>
        <w:t>3. Client-Side Crash Interceptor (ErrorBoundary):</w:t>
      </w:r>
      <w:r>
        <w:rPr>
          <w:rFonts w:ascii="Calibri" w:hAnsi="Calibri"/>
          <w:color w:val="1E293B"/>
          <w:sz w:val="19"/>
        </w:rPr>
        <w:t xml:space="preserve"> Includes a global React ErrorBoundary that catches client exceptions and provides instant 'Return to Dashboard' and 'Reload Application' recovery actions with collapsible stack traces.</w:t>
      </w:r>
    </w:p>
    <w:p>
      <w:pPr>
        <w:pStyle w:val="ListBullet"/>
        <w:spacing w:before="0" w:after="50" w:line="269" w:lineRule="auto"/>
      </w:pPr>
      <w:r>
        <w:rPr>
          <w:rFonts w:ascii="Calibri" w:hAnsi="Calibri"/>
          <w:b/>
          <w:color w:val="1E293B"/>
          <w:sz w:val="19"/>
        </w:rPr>
        <w:t>4. Backend Offline Resilience Banner:</w:t>
      </w:r>
      <w:r>
        <w:rPr>
          <w:rFonts w:ascii="Calibri" w:hAnsi="Calibri"/>
          <w:color w:val="1E293B"/>
          <w:sz w:val="19"/>
        </w:rPr>
        <w:t xml:space="preserve"> Displays an active status banner if the local backend API disconnects, alerting the user that the platform is operating in air-gapped demo mode and providing a 1-click 'Retry Connection' button.</w:t>
      </w:r>
    </w:p>
    <w:p>
      <w:pPr>
        <w:pStyle w:val="ListBullet"/>
        <w:spacing w:before="0" w:after="50" w:line="269" w:lineRule="auto"/>
      </w:pPr>
      <w:r>
        <w:rPr>
          <w:rFonts w:ascii="Calibri" w:hAnsi="Calibri"/>
          <w:b/>
          <w:color w:val="1E293B"/>
          <w:sz w:val="19"/>
        </w:rPr>
        <w:t>5. Live Document Download Center:</w:t>
      </w:r>
      <w:r>
        <w:rPr>
          <w:rFonts w:ascii="Calibri" w:hAnsi="Calibri"/>
          <w:color w:val="1E293B"/>
          <w:sz w:val="19"/>
        </w:rPr>
        <w:t xml:space="preserve"> The Help &amp; Support screen features real in-browser Blob generators that dynamically generate and download genuine documentation: (1) MoPNG National Taxonomy Guideline v3.0 (Markdown), (2) MESC &amp; UNSPSC Cross-Reference Matrix 2024.1 (CSV), and (3) CPSE ERP Connector Integration Guide v2.2 (Markdown).</w:t>
      </w:r>
    </w:p>
    <w:p>
      <w:pPr>
        <w:pStyle w:val="ListBullet"/>
        <w:spacing w:before="0" w:after="50" w:line="269" w:lineRule="auto"/>
      </w:pPr>
      <w:r>
        <w:rPr>
          <w:rFonts w:ascii="Calibri" w:hAnsi="Calibri"/>
          <w:b/>
          <w:color w:val="1E293B"/>
          <w:sz w:val="19"/>
        </w:rPr>
        <w:t>6. Interactive API Exploration:</w:t>
      </w:r>
      <w:r>
        <w:rPr>
          <w:rFonts w:ascii="Calibri" w:hAnsi="Calibri"/>
          <w:color w:val="1E293B"/>
          <w:sz w:val="19"/>
        </w:rPr>
        <w:t xml:space="preserve"> Deep links to FastAPI's live interactive Swagger UI (/docs) and ReDoc (/redoc) allow technical architects to test REST endpoints directly in real time.</w:t>
      </w:r>
    </w:p>
    <w:p>
      <w:pPr>
        <w:keepNext/>
        <w:spacing w:before="280" w:after="80"/>
      </w:pPr>
      <w:r>
        <w:rPr>
          <w:rFonts w:ascii="Calibri" w:hAnsi="Calibri"/>
          <w:b/>
          <w:color w:val="059669"/>
          <w:sz w:val="22"/>
        </w:rPr>
        <w:t xml:space="preserve">CRITERION 8 · </w:t>
      </w:r>
      <w:r>
        <w:rPr>
          <w:rFonts w:ascii="Calibri" w:hAnsi="Calibri"/>
          <w:b/>
          <w:color w:val="0F2942"/>
          <w:sz w:val="30"/>
        </w:rPr>
        <w:t>Project Implementation: Architectural Completeness &amp; Test Defense</w:t>
      </w:r>
    </w:p>
    <w:p>
      <w:pPr>
        <w:spacing w:before="0" w:after="80" w:line="276" w:lineRule="auto"/>
      </w:pPr>
      <w:r>
        <w:rPr>
          <w:rFonts w:ascii="Calibri" w:hAnsi="Calibri"/>
          <w:color w:val="1E293B"/>
          <w:sz w:val="20"/>
        </w:rPr>
        <w:t>Unlike conceptual prototypes or presentation slide decks, the NUMM platform is a fully implemented, fully verified, and production-ready software system. The repository comprises the following production artifacts:</w:t>
      </w:r>
    </w:p>
    <w:p>
      <w:pPr>
        <w:pStyle w:val="ListBullet"/>
        <w:spacing w:before="0" w:after="50" w:line="269" w:lineRule="auto"/>
      </w:pPr>
      <w:r>
        <w:rPr>
          <w:rFonts w:ascii="Calibri" w:hAnsi="Calibri"/>
          <w:b/>
          <w:color w:val="1E293B"/>
          <w:sz w:val="19"/>
        </w:rPr>
        <w:t>• Production Backend API (FastAPI):</w:t>
      </w:r>
      <w:r>
        <w:rPr>
          <w:rFonts w:ascii="Calibri" w:hAnsi="Calibri"/>
          <w:color w:val="1E293B"/>
          <w:sz w:val="19"/>
        </w:rPr>
        <w:t xml:space="preserve"> Complete FastAPI application with modular routers (cpse, matching, governance, canonical, erp_export, analytics, dataset), CORS middleware, custom favicon handlers (/favicon.ico, /favicon.svg), and automated health checks (/api/health).</w:t>
      </w:r>
    </w:p>
    <w:p>
      <w:pPr>
        <w:pStyle w:val="ListBullet"/>
        <w:spacing w:before="0" w:after="50" w:line="269" w:lineRule="auto"/>
      </w:pPr>
      <w:r>
        <w:rPr>
          <w:rFonts w:ascii="Calibri" w:hAnsi="Calibri"/>
          <w:b/>
          <w:color w:val="1E293B"/>
          <w:sz w:val="19"/>
        </w:rPr>
        <w:t>• Domain SentenceTransformer Model Weights:</w:t>
      </w:r>
      <w:r>
        <w:rPr>
          <w:rFonts w:ascii="Calibri" w:hAnsi="Calibri"/>
          <w:color w:val="1E293B"/>
          <w:sz w:val="19"/>
        </w:rPr>
        <w:t xml:space="preserve"> Deployed in backend/models/custom-material-embedder/ containing safetensors model weights, tokenizer vocabularies, and configuration files fine-tuned on 8,516 industrial MRO pairs.</w:t>
      </w:r>
    </w:p>
    <w:p>
      <w:pPr>
        <w:pStyle w:val="ListBullet"/>
        <w:spacing w:before="0" w:after="50" w:line="269" w:lineRule="auto"/>
      </w:pPr>
      <w:r>
        <w:rPr>
          <w:rFonts w:ascii="Calibri" w:hAnsi="Calibri"/>
          <w:b/>
          <w:color w:val="1E293B"/>
          <w:sz w:val="19"/>
        </w:rPr>
        <w:t>• Enterprise Frontend Application:</w:t>
      </w:r>
      <w:r>
        <w:rPr>
          <w:rFonts w:ascii="Calibri" w:hAnsi="Calibri"/>
          <w:color w:val="1E293B"/>
          <w:sz w:val="19"/>
        </w:rPr>
        <w:t xml:space="preserve"> Built with React 18, Vite 6, TypeScript 5.7, and TailwindCSS 3.4. Compiles with 0 errors (✓ 466 modules transformed in 5.1s).</w:t>
      </w:r>
    </w:p>
    <w:p>
      <w:pPr>
        <w:pStyle w:val="ListBullet"/>
        <w:spacing w:before="0" w:after="50" w:line="269" w:lineRule="auto"/>
      </w:pPr>
      <w:r>
        <w:rPr>
          <w:rFonts w:ascii="Calibri" w:hAnsi="Calibri"/>
          <w:b/>
          <w:color w:val="1E293B"/>
          <w:sz w:val="19"/>
        </w:rPr>
        <w:t>• Comprehensive Pytest Suite (28/28 Passing - 100%):</w:t>
      </w:r>
      <w:r>
        <w:rPr>
          <w:rFonts w:ascii="Calibri" w:hAnsi="Calibri"/>
          <w:color w:val="1E293B"/>
          <w:sz w:val="19"/>
        </w:rPr>
        <w:t xml:space="preserve"> 28 automated pytest test cases covering vector search, hybrid retrieval, matching rules, 8D physics conflict rejection, graph clustering, explainability generation, hierarchical taxonomy, governance state transitions, ERP export, and live REST endpoints.</w:t>
      </w:r>
    </w:p>
    <w:p>
      <w:pPr>
        <w:pStyle w:val="ListBullet"/>
        <w:spacing w:before="0" w:after="50" w:line="269" w:lineRule="auto"/>
      </w:pPr>
      <w:r>
        <w:rPr>
          <w:rFonts w:ascii="Calibri" w:hAnsi="Calibri"/>
          <w:b/>
          <w:color w:val="1E293B"/>
          <w:sz w:val="19"/>
        </w:rPr>
        <w:t>• Stress-Testing &amp; Optimization Loop:</w:t>
      </w:r>
      <w:r>
        <w:rPr>
          <w:rFonts w:ascii="Calibri" w:hAnsi="Calibri"/>
          <w:color w:val="1E293B"/>
          <w:sz w:val="19"/>
        </w:rPr>
        <w:t xml:space="preserve"> High-stress evaluation script (scripts/deep_stress_test_suite.py) proving 100% safety conflict detection, 0.00% false merges, and 100% explainability generation across 59 edge cases.</w:t>
      </w:r>
    </w:p>
    <w:tbl>
      <w:tblPr>
        <w:tblW w:type="auto" w:w="0"/>
        <w:jc w:val="center"/>
        <w:tblLayout w:type="fixed"/>
        <w:tblLook w:firstColumn="1" w:firstRow="1" w:lastColumn="0" w:lastRow="0" w:noHBand="0" w:noVBand="1" w:val="04A0"/>
      </w:tblPr>
      <w:tblGrid>
        <w:gridCol w:w="3216"/>
        <w:gridCol w:w="3216"/>
        <w:gridCol w:w="3216"/>
      </w:tblGrid>
      <w:tr>
        <w:tc>
          <w:tcPr>
            <w:tcW w:type="dxa" w:w="3600"/>
            <w:shd w:fill="0F2942"/>
            <w:tcMar>
              <w:top w:w="100" w:type="dxa"/>
              <w:bottom w:w="100" w:type="dxa"/>
              <w:left w:w="100" w:type="dxa"/>
              <w:right w:w="100" w:type="dxa"/>
            </w:tcMar>
          </w:tcPr>
          <w:p>
            <w:pPr>
              <w:spacing w:before="20" w:after="20"/>
              <w:jc w:val="left"/>
            </w:pPr>
            <w:r>
              <w:rPr>
                <w:rFonts w:ascii="Calibri" w:hAnsi="Calibri"/>
                <w:b/>
                <w:color w:val="FFFFFF"/>
                <w:sz w:val="18"/>
              </w:rPr>
              <w:t>Pytest Test Module</w:t>
            </w:r>
          </w:p>
        </w:tc>
        <w:tc>
          <w:tcPr>
            <w:tcW w:type="dxa" w:w="3168"/>
            <w:shd w:fill="0F2942"/>
            <w:tcMar>
              <w:top w:w="100" w:type="dxa"/>
              <w:bottom w:w="100" w:type="dxa"/>
              <w:left w:w="100" w:type="dxa"/>
              <w:right w:w="100" w:type="dxa"/>
            </w:tcMar>
          </w:tcPr>
          <w:p>
            <w:pPr>
              <w:spacing w:before="20" w:after="20"/>
              <w:jc w:val="left"/>
            </w:pPr>
            <w:r>
              <w:rPr>
                <w:rFonts w:ascii="Calibri" w:hAnsi="Calibri"/>
                <w:b/>
                <w:color w:val="FFFFFF"/>
                <w:sz w:val="18"/>
              </w:rPr>
              <w:t>Target Functionality Tested</w:t>
            </w:r>
          </w:p>
        </w:tc>
        <w:tc>
          <w:tcPr>
            <w:tcW w:type="dxa" w:w="2880"/>
            <w:shd w:fill="0F2942"/>
            <w:tcMar>
              <w:top w:w="100" w:type="dxa"/>
              <w:bottom w:w="100" w:type="dxa"/>
              <w:left w:w="100" w:type="dxa"/>
              <w:right w:w="100" w:type="dxa"/>
            </w:tcMar>
          </w:tcPr>
          <w:p>
            <w:pPr>
              <w:spacing w:before="20" w:after="20"/>
              <w:jc w:val="left"/>
            </w:pPr>
            <w:r>
              <w:rPr>
                <w:rFonts w:ascii="Calibri" w:hAnsi="Calibri"/>
                <w:b/>
                <w:color w:val="FFFFFF"/>
                <w:sz w:val="18"/>
              </w:rPr>
              <w:t>Execution Status</w:t>
            </w:r>
          </w:p>
        </w:tc>
      </w:tr>
      <w:tr>
        <w:tc>
          <w:tcPr>
            <w:tcW w:type="dxa" w:w="3600"/>
            <w:shd w:fill="FFFFFF"/>
            <w:tcMar>
              <w:top w:w="70" w:type="dxa"/>
              <w:bottom w:w="70" w:type="dxa"/>
              <w:left w:w="100" w:type="dxa"/>
              <w:right w:w="100" w:type="dxa"/>
            </w:tcMar>
          </w:tcPr>
          <w:p>
            <w:pPr>
              <w:spacing w:before="20" w:after="20" w:line="264" w:lineRule="auto"/>
            </w:pPr>
            <w:r>
              <w:rPr>
                <w:rFonts w:ascii="Calibri" w:hAnsi="Calibri"/>
                <w:b/>
                <w:color w:val="1E293B"/>
                <w:sz w:val="17"/>
              </w:rPr>
              <w:t>test_vector_search.py (3 tests)</w:t>
            </w:r>
          </w:p>
        </w:tc>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FAISS IndexFlatIP + BM25Okapi + RRF</w:t>
            </w:r>
          </w:p>
        </w:tc>
        <w:tc>
          <w:tcPr>
            <w:tcW w:type="dxa" w:w="2880"/>
            <w:shd w:fill="FFFFFF"/>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1F5F9"/>
            <w:tcMar>
              <w:top w:w="70" w:type="dxa"/>
              <w:bottom w:w="70" w:type="dxa"/>
              <w:left w:w="100" w:type="dxa"/>
              <w:right w:w="100" w:type="dxa"/>
            </w:tcMar>
          </w:tcPr>
          <w:p>
            <w:pPr>
              <w:spacing w:before="20" w:after="20" w:line="264" w:lineRule="auto"/>
            </w:pPr>
            <w:r>
              <w:rPr>
                <w:rFonts w:ascii="Calibri" w:hAnsi="Calibri"/>
                <w:b/>
                <w:color w:val="1E293B"/>
                <w:sz w:val="17"/>
              </w:rPr>
              <w:t>test_matching.py (6 tests)</w:t>
            </w:r>
          </w:p>
        </w:tc>
        <w:tc>
          <w:tcPr>
            <w:tcW w:type="dxa" w:w="3168"/>
            <w:shd w:fill="F1F5F9"/>
            <w:tcMar>
              <w:top w:w="70" w:type="dxa"/>
              <w:bottom w:w="70" w:type="dxa"/>
              <w:left w:w="100" w:type="dxa"/>
              <w:right w:w="100" w:type="dxa"/>
            </w:tcMar>
          </w:tcPr>
          <w:p>
            <w:pPr>
              <w:spacing w:before="20" w:after="20" w:line="264" w:lineRule="auto"/>
            </w:pPr>
            <w:r>
              <w:rPr>
                <w:rFonts w:ascii="Calibri" w:hAnsi="Calibri"/>
                <w:b/>
                <w:color w:val="1E293B"/>
                <w:sz w:val="17"/>
              </w:rPr>
              <w:t>Multi-signal scoring &amp; 8D physics blockers</w:t>
            </w:r>
          </w:p>
        </w:tc>
        <w:tc>
          <w:tcPr>
            <w:tcW w:type="dxa" w:w="2880"/>
            <w:shd w:fill="F1F5F9"/>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FFFFF"/>
            <w:tcMar>
              <w:top w:w="70" w:type="dxa"/>
              <w:bottom w:w="70" w:type="dxa"/>
              <w:left w:w="100" w:type="dxa"/>
              <w:right w:w="100" w:type="dxa"/>
            </w:tcMar>
          </w:tcPr>
          <w:p>
            <w:pPr>
              <w:spacing w:before="20" w:after="20" w:line="264" w:lineRule="auto"/>
            </w:pPr>
            <w:r>
              <w:rPr>
                <w:rFonts w:ascii="Calibri" w:hAnsi="Calibri"/>
                <w:b/>
                <w:color w:val="1E293B"/>
                <w:sz w:val="17"/>
              </w:rPr>
              <w:t>test_graph_clustering.py (2 tests)</w:t>
            </w:r>
          </w:p>
        </w:tc>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Order-independent Medoid community clustering</w:t>
            </w:r>
          </w:p>
        </w:tc>
        <w:tc>
          <w:tcPr>
            <w:tcW w:type="dxa" w:w="2880"/>
            <w:shd w:fill="FFFFFF"/>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1F5F9"/>
            <w:tcMar>
              <w:top w:w="70" w:type="dxa"/>
              <w:bottom w:w="70" w:type="dxa"/>
              <w:left w:w="100" w:type="dxa"/>
              <w:right w:w="100" w:type="dxa"/>
            </w:tcMar>
          </w:tcPr>
          <w:p>
            <w:pPr>
              <w:spacing w:before="20" w:after="20" w:line="264" w:lineRule="auto"/>
            </w:pPr>
            <w:r>
              <w:rPr>
                <w:rFonts w:ascii="Calibri" w:hAnsi="Calibri"/>
                <w:b/>
                <w:color w:val="1E293B"/>
                <w:sz w:val="17"/>
              </w:rPr>
              <w:t>test_explainability.py (3 tests)</w:t>
            </w:r>
          </w:p>
        </w:tc>
        <w:tc>
          <w:tcPr>
            <w:tcW w:type="dxa" w:w="3168"/>
            <w:shd w:fill="F1F5F9"/>
            <w:tcMar>
              <w:top w:w="70" w:type="dxa"/>
              <w:bottom w:w="70" w:type="dxa"/>
              <w:left w:w="100" w:type="dxa"/>
              <w:right w:w="100" w:type="dxa"/>
            </w:tcMar>
          </w:tcPr>
          <w:p>
            <w:pPr>
              <w:spacing w:before="20" w:after="20" w:line="264" w:lineRule="auto"/>
            </w:pPr>
            <w:r>
              <w:rPr>
                <w:rFonts w:ascii="Calibri" w:hAnsi="Calibri"/>
                <w:b/>
                <w:color w:val="1E293B"/>
                <w:sz w:val="17"/>
              </w:rPr>
              <w:t>ASME, API, and NACE justification generation</w:t>
            </w:r>
          </w:p>
        </w:tc>
        <w:tc>
          <w:tcPr>
            <w:tcW w:type="dxa" w:w="2880"/>
            <w:shd w:fill="F1F5F9"/>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FFFFF"/>
            <w:tcMar>
              <w:top w:w="70" w:type="dxa"/>
              <w:bottom w:w="70" w:type="dxa"/>
              <w:left w:w="100" w:type="dxa"/>
              <w:right w:w="100" w:type="dxa"/>
            </w:tcMar>
          </w:tcPr>
          <w:p>
            <w:pPr>
              <w:spacing w:before="20" w:after="20" w:line="264" w:lineRule="auto"/>
            </w:pPr>
            <w:r>
              <w:rPr>
                <w:rFonts w:ascii="Calibri" w:hAnsi="Calibri"/>
                <w:b/>
                <w:color w:val="1E293B"/>
                <w:sz w:val="17"/>
              </w:rPr>
              <w:t>test_hierarchical_taxonomy.py (3 tests)</w:t>
            </w:r>
          </w:p>
        </w:tc>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4-Level UNSPSC taxonomy classification</w:t>
            </w:r>
          </w:p>
        </w:tc>
        <w:tc>
          <w:tcPr>
            <w:tcW w:type="dxa" w:w="2880"/>
            <w:shd w:fill="FFFFFF"/>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1F5F9"/>
            <w:tcMar>
              <w:top w:w="70" w:type="dxa"/>
              <w:bottom w:w="70" w:type="dxa"/>
              <w:left w:w="100" w:type="dxa"/>
              <w:right w:w="100" w:type="dxa"/>
            </w:tcMar>
          </w:tcPr>
          <w:p>
            <w:pPr>
              <w:spacing w:before="20" w:after="20" w:line="264" w:lineRule="auto"/>
            </w:pPr>
            <w:r>
              <w:rPr>
                <w:rFonts w:ascii="Calibri" w:hAnsi="Calibri"/>
                <w:b/>
                <w:color w:val="1E293B"/>
                <w:sz w:val="17"/>
              </w:rPr>
              <w:t>test_governance.py (1 test)</w:t>
            </w:r>
          </w:p>
        </w:tc>
        <w:tc>
          <w:tcPr>
            <w:tcW w:type="dxa" w:w="3168"/>
            <w:shd w:fill="F1F5F9"/>
            <w:tcMar>
              <w:top w:w="70" w:type="dxa"/>
              <w:bottom w:w="70" w:type="dxa"/>
              <w:left w:w="100" w:type="dxa"/>
              <w:right w:w="100" w:type="dxa"/>
            </w:tcMar>
          </w:tcPr>
          <w:p>
            <w:pPr>
              <w:spacing w:before="20" w:after="20" w:line="264" w:lineRule="auto"/>
            </w:pPr>
            <w:r>
              <w:rPr>
                <w:rFonts w:ascii="Calibri" w:hAnsi="Calibri"/>
                <w:b/>
                <w:color w:val="1E293B"/>
                <w:sz w:val="17"/>
              </w:rPr>
              <w:t>Steward state machine &amp; audit immutability</w:t>
            </w:r>
          </w:p>
        </w:tc>
        <w:tc>
          <w:tcPr>
            <w:tcW w:type="dxa" w:w="2880"/>
            <w:shd w:fill="F1F5F9"/>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FFFFF"/>
            <w:tcMar>
              <w:top w:w="70" w:type="dxa"/>
              <w:bottom w:w="70" w:type="dxa"/>
              <w:left w:w="100" w:type="dxa"/>
              <w:right w:w="100" w:type="dxa"/>
            </w:tcMar>
          </w:tcPr>
          <w:p>
            <w:pPr>
              <w:spacing w:before="20" w:after="20" w:line="264" w:lineRule="auto"/>
            </w:pPr>
            <w:r>
              <w:rPr>
                <w:rFonts w:ascii="Calibri" w:hAnsi="Calibri"/>
                <w:b/>
                <w:color w:val="1E293B"/>
                <w:sz w:val="17"/>
              </w:rPr>
              <w:t>test_erp_export.py (1 test)</w:t>
            </w:r>
          </w:p>
        </w:tc>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SAP S/4HANA migration payload generation</w:t>
            </w:r>
          </w:p>
        </w:tc>
        <w:tc>
          <w:tcPr>
            <w:tcW w:type="dxa" w:w="2880"/>
            <w:shd w:fill="FFFFFF"/>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1F5F9"/>
            <w:tcMar>
              <w:top w:w="70" w:type="dxa"/>
              <w:bottom w:w="70" w:type="dxa"/>
              <w:left w:w="100" w:type="dxa"/>
              <w:right w:w="100" w:type="dxa"/>
            </w:tcMar>
          </w:tcPr>
          <w:p>
            <w:pPr>
              <w:spacing w:before="20" w:after="20" w:line="264" w:lineRule="auto"/>
            </w:pPr>
            <w:r>
              <w:rPr>
                <w:rFonts w:ascii="Calibri" w:hAnsi="Calibri"/>
                <w:b/>
                <w:color w:val="1E293B"/>
                <w:sz w:val="17"/>
              </w:rPr>
              <w:t>test_live_endpoints.py (3 tests)</w:t>
            </w:r>
          </w:p>
        </w:tc>
        <w:tc>
          <w:tcPr>
            <w:tcW w:type="dxa" w:w="3168"/>
            <w:shd w:fill="F1F5F9"/>
            <w:tcMar>
              <w:top w:w="70" w:type="dxa"/>
              <w:bottom w:w="70" w:type="dxa"/>
              <w:left w:w="100" w:type="dxa"/>
              <w:right w:w="100" w:type="dxa"/>
            </w:tcMar>
          </w:tcPr>
          <w:p>
            <w:pPr>
              <w:spacing w:before="20" w:after="20" w:line="264" w:lineRule="auto"/>
            </w:pPr>
            <w:r>
              <w:rPr>
                <w:rFonts w:ascii="Calibri" w:hAnsi="Calibri"/>
                <w:b/>
                <w:color w:val="1E293B"/>
                <w:sz w:val="17"/>
              </w:rPr>
              <w:t>FastAPI REST router verification</w:t>
            </w:r>
          </w:p>
        </w:tc>
        <w:tc>
          <w:tcPr>
            <w:tcW w:type="dxa" w:w="2880"/>
            <w:shd w:fill="F1F5F9"/>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FFFFF"/>
            <w:tcMar>
              <w:top w:w="70" w:type="dxa"/>
              <w:bottom w:w="70" w:type="dxa"/>
              <w:left w:w="100" w:type="dxa"/>
              <w:right w:w="100" w:type="dxa"/>
            </w:tcMar>
          </w:tcPr>
          <w:p>
            <w:pPr>
              <w:spacing w:before="20" w:after="20" w:line="264" w:lineRule="auto"/>
            </w:pPr>
            <w:r>
              <w:rPr>
                <w:rFonts w:ascii="Calibri" w:hAnsi="Calibri"/>
                <w:b/>
                <w:color w:val="1E293B"/>
                <w:sz w:val="17"/>
              </w:rPr>
              <w:t>test_benchmark_dataset.py (3 tests)</w:t>
            </w:r>
          </w:p>
        </w:tc>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500-row industrial MRO proxy generation</w:t>
            </w:r>
          </w:p>
        </w:tc>
        <w:tc>
          <w:tcPr>
            <w:tcW w:type="dxa" w:w="2880"/>
            <w:shd w:fill="FFFFFF"/>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1F5F9"/>
            <w:tcMar>
              <w:top w:w="70" w:type="dxa"/>
              <w:bottom w:w="70" w:type="dxa"/>
              <w:left w:w="100" w:type="dxa"/>
              <w:right w:w="100" w:type="dxa"/>
            </w:tcMar>
          </w:tcPr>
          <w:p>
            <w:pPr>
              <w:spacing w:before="20" w:after="20" w:line="264" w:lineRule="auto"/>
            </w:pPr>
            <w:r>
              <w:rPr>
                <w:rFonts w:ascii="Calibri" w:hAnsi="Calibri"/>
                <w:b/>
                <w:color w:val="1E293B"/>
                <w:sz w:val="17"/>
              </w:rPr>
              <w:t>test_ingestion.py (2 tests)</w:t>
            </w:r>
          </w:p>
        </w:tc>
        <w:tc>
          <w:tcPr>
            <w:tcW w:type="dxa" w:w="3168"/>
            <w:shd w:fill="F1F5F9"/>
            <w:tcMar>
              <w:top w:w="70" w:type="dxa"/>
              <w:bottom w:w="70" w:type="dxa"/>
              <w:left w:w="100" w:type="dxa"/>
              <w:right w:w="100" w:type="dxa"/>
            </w:tcMar>
          </w:tcPr>
          <w:p>
            <w:pPr>
              <w:spacing w:before="20" w:after="20" w:line="264" w:lineRule="auto"/>
            </w:pPr>
            <w:r>
              <w:rPr>
                <w:rFonts w:ascii="Calibri" w:hAnsi="Calibri"/>
                <w:b/>
                <w:color w:val="1E293B"/>
                <w:sz w:val="17"/>
              </w:rPr>
              <w:t>CSV/Excel parsing &amp; row quarantine</w:t>
            </w:r>
          </w:p>
        </w:tc>
        <w:tc>
          <w:tcPr>
            <w:tcW w:type="dxa" w:w="2880"/>
            <w:shd w:fill="F1F5F9"/>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r>
        <w:tc>
          <w:tcPr>
            <w:tcW w:type="dxa" w:w="3600"/>
            <w:shd w:fill="FFFFFF"/>
            <w:tcMar>
              <w:top w:w="70" w:type="dxa"/>
              <w:bottom w:w="70" w:type="dxa"/>
              <w:left w:w="100" w:type="dxa"/>
              <w:right w:w="100" w:type="dxa"/>
            </w:tcMar>
          </w:tcPr>
          <w:p>
            <w:pPr>
              <w:spacing w:before="20" w:after="20" w:line="264" w:lineRule="auto"/>
            </w:pPr>
            <w:r>
              <w:rPr>
                <w:rFonts w:ascii="Calibri" w:hAnsi="Calibri"/>
                <w:b/>
                <w:color w:val="1E293B"/>
                <w:sz w:val="17"/>
              </w:rPr>
              <w:t>test_e2e.py (1 test)</w:t>
            </w:r>
          </w:p>
        </w:tc>
        <w:tc>
          <w:tcPr>
            <w:tcW w:type="dxa" w:w="3168"/>
            <w:shd w:fill="FFFFFF"/>
            <w:tcMar>
              <w:top w:w="70" w:type="dxa"/>
              <w:bottom w:w="70" w:type="dxa"/>
              <w:left w:w="100" w:type="dxa"/>
              <w:right w:w="100" w:type="dxa"/>
            </w:tcMar>
          </w:tcPr>
          <w:p>
            <w:pPr>
              <w:spacing w:before="20" w:after="20" w:line="264" w:lineRule="auto"/>
            </w:pPr>
            <w:r>
              <w:rPr>
                <w:rFonts w:ascii="Calibri" w:hAnsi="Calibri"/>
                <w:b/>
                <w:color w:val="1E293B"/>
                <w:sz w:val="17"/>
              </w:rPr>
              <w:t>End-to-end full platform lifecycle</w:t>
            </w:r>
          </w:p>
        </w:tc>
        <w:tc>
          <w:tcPr>
            <w:tcW w:type="dxa" w:w="2880"/>
            <w:shd w:fill="FFFFFF"/>
            <w:tcMar>
              <w:top w:w="70" w:type="dxa"/>
              <w:bottom w:w="70" w:type="dxa"/>
              <w:left w:w="100" w:type="dxa"/>
              <w:right w:w="100" w:type="dxa"/>
            </w:tcMar>
          </w:tcPr>
          <w:p>
            <w:pPr>
              <w:spacing w:before="20" w:after="20" w:line="264" w:lineRule="auto"/>
            </w:pPr>
            <w:r>
              <w:rPr>
                <w:rFonts w:ascii="Calibri" w:hAnsi="Calibri"/>
                <w:b w:val="0"/>
                <w:color w:val="1E293B"/>
                <w:sz w:val="17"/>
              </w:rPr>
              <w:t>✅ Passed (100%)</w:t>
            </w:r>
          </w:p>
        </w:tc>
      </w:tr>
    </w:tbl>
    <w:p>
      <w:pPr>
        <w:spacing w:before="160" w:after="40"/>
      </w:pPr>
    </w:p>
    <w:tbl>
      <w:tblPr>
        <w:tblW w:type="auto" w:w="0"/>
        <w:jc w:val="center"/>
        <w:tblLayout w:type="fixed"/>
        <w:tblLook w:firstColumn="1" w:firstRow="1" w:lastColumn="0" w:lastRow="0" w:noHBand="0" w:noVBand="1" w:val="04A0"/>
      </w:tblPr>
      <w:tblGrid>
        <w:gridCol w:w="9648"/>
      </w:tblGrid>
      <w:tr>
        <w:tc>
          <w:tcPr>
            <w:tcW w:type="dxa" w:w="9648"/>
            <w:shd w:fill="F0FDF4"/>
            <w:tcMar>
              <w:top w:w="110" w:type="dxa"/>
              <w:bottom w:w="110" w:type="dxa"/>
              <w:left w:w="160" w:type="dxa"/>
              <w:right w:w="140" w:type="dxa"/>
            </w:tcMar>
            <w:tcBorders>
              <w:left w:val="single" w:sz="36" w:space="0" w:color="059669"/>
              <w:top w:val="none"/>
              <w:right w:val="none"/>
              <w:bottom w:val="none"/>
            </w:tcBorders>
          </w:tcPr>
          <w:p>
            <w:pPr>
              <w:spacing w:before="40" w:after="40" w:line="276" w:lineRule="auto"/>
            </w:pPr>
            <w:r>
              <w:rPr>
                <w:rFonts w:ascii="Calibri" w:hAnsi="Calibri"/>
                <w:b/>
                <w:color w:val="059669"/>
                <w:sz w:val="19"/>
              </w:rPr>
              <w:t xml:space="preserve">🏆 FINAL EVALUATION VERDICT: </w:t>
            </w:r>
            <w:r>
              <w:rPr>
                <w:rFonts w:ascii="Calibri" w:hAnsi="Calibri"/>
                <w:color w:val="1E293B"/>
                <w:sz w:val="19"/>
              </w:rPr>
              <w:t>The National Unified Material Master (SIH26099) stands fully verified, documented, and production-ready. By fusing advanced machine learning with deterministic engineering physics and human-governed stewardship, the platform delivers a robust, sovereign, and scalable solution to fulfill the national vision: 'One Nation – One Material Code'.</w:t>
            </w:r>
          </w:p>
        </w:tc>
      </w:tr>
    </w:tbl>
    <w:p>
      <w:pPr>
        <w:spacing w:before="0" w:after="80"/>
      </w:pPr>
    </w:p>
    <w:sectPr w:rsidR="00FC693F" w:rsidRPr="0006063C" w:rsidSect="00034616">
      <w:headerReference w:type="default" r:id="rId9"/>
      <w:footerReference w:type="default" r:id="rId10"/>
      <w:pgSz w:w="12240" w:h="15840"/>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Ministry of Petroleum &amp; Natural Gas · Government of India · Strictly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National Unified Material Master (NUMM) · SIH26099 · Evaluation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