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DESIGN PRODUCT REQUIREMENTS DOCUMENT</w:t>
      </w:r>
    </w:p>
    <w:p>
      <w:pPr>
        <w:jc w:val="center"/>
      </w:pPr>
      <w:r>
        <w:rPr>
          <w:b/>
          <w:sz w:val="30"/>
        </w:rPr>
        <w:t>National Unified Material Master — UX/UI &amp; Design System</w:t>
      </w:r>
    </w:p>
    <w:p>
      <w:pPr>
        <w:jc w:val="center"/>
      </w:pPr>
      <w:r>
        <w:rPr>
          <w:b/>
        </w:rPr>
        <w:t>Smart India Hackathon 2026 | SIH26099 | Design PRD v2.0 — Detailed | 02 September 2026</w:t>
      </w:r>
    </w:p>
    <w:p>
      <w:pPr>
        <w:pStyle w:val="Heading1"/>
      </w:pPr>
      <w:r>
        <w:t>1. Design Objective</w:t>
      </w:r>
    </w:p>
    <w:p>
      <w:r>
        <w:t>The interface must make a complex AI + engineering data workflow understandable to enterprise users. A reviewer should be able to answer four questions quickly: What is this material? Why did the system match it? What technical differences exist? What happens if I approve the recommendation?</w:t>
      </w:r>
    </w:p>
    <w:p>
      <w:pPr>
        <w:pStyle w:val="Heading1"/>
      </w:pPr>
      <w:r>
        <w:t>2. Design Principles</w:t>
      </w:r>
    </w:p>
    <w:p>
      <w:pPr>
        <w:pStyle w:val="ListBullet"/>
        <w:spacing w:after="40"/>
      </w:pPr>
      <w:r>
        <w:t>Canonical identity first: CNMC is the main visual anchor.</w:t>
      </w:r>
    </w:p>
    <w:p>
      <w:pPr>
        <w:pStyle w:val="ListBullet"/>
        <w:spacing w:after="40"/>
      </w:pPr>
      <w:r>
        <w:t>Traceability always available: local CPSE codes remain visible.</w:t>
      </w:r>
    </w:p>
    <w:p>
      <w:pPr>
        <w:pStyle w:val="ListBullet"/>
        <w:spacing w:after="40"/>
      </w:pPr>
      <w:r>
        <w:t>Evidence before decision: show reasons and conflicts before approval controls.</w:t>
      </w:r>
    </w:p>
    <w:p>
      <w:pPr>
        <w:pStyle w:val="ListBullet"/>
        <w:spacing w:after="40"/>
      </w:pPr>
      <w:r>
        <w:t>Progressive disclosure: simple summary first, technical evidence on expansion.</w:t>
      </w:r>
    </w:p>
    <w:p>
      <w:pPr>
        <w:pStyle w:val="ListBullet"/>
        <w:spacing w:after="40"/>
      </w:pPr>
      <w:r>
        <w:t>Governance clarity: proposed, approved and retired states must be unmistakable.</w:t>
      </w:r>
    </w:p>
    <w:p>
      <w:pPr>
        <w:pStyle w:val="ListBullet"/>
        <w:spacing w:after="40"/>
      </w:pPr>
      <w:r>
        <w:t>Safe actions: merge/retire require explicit confirmation and impact preview.</w:t>
      </w:r>
    </w:p>
    <w:p>
      <w:pPr>
        <w:pStyle w:val="ListBullet"/>
        <w:spacing w:after="40"/>
      </w:pPr>
      <w:r>
        <w:t>Enterprise density: use tables and filters efficiently without overwhelming the primary decision.</w:t>
      </w:r>
    </w:p>
    <w:p>
      <w:pPr>
        <w:pStyle w:val="Heading1"/>
      </w:pPr>
      <w:r>
        <w:t>3.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Navigation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Primary actions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Overview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 status and KPIs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Search, drill down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CPSE Data Hub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Imports and data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Upload, inspect batch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Harmonization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AI processing workspace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Compare, group,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 Master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Canonical records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Search, inspect, manage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Review Queue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Human decisions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Approve/reject/edit/split/merge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Rationalization &amp; Migration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Legacy actions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Review, validate, export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National/CPSE insights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Filter, compare, drill down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Rules and 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Inspect versions/history</w:t>
            </w:r>
          </w:p>
        </w:tc>
      </w:tr>
    </w:tbl>
    <w:p/>
    <w:p>
      <w:pPr>
        <w:pStyle w:val="Heading1"/>
      </w:pPr>
      <w:r>
        <w:t>4.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Element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Strong hierarchy: CNMC &gt; canonical description &gt; attributes &gt; source 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Text labels + icons; never colour alone.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Tables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Sticky headers, sorting, filtering, row expansion for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for KPI summaries and canonical identity.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Drawers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for technical evidence and audit history.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Dialogs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for merge/retire confirmations and approval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Support CNMC, local code, description, category and attribute terms.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Responsive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Desktop-first enterprise workflow; maintain usable tablet layout.</w:t>
            </w:r>
          </w:p>
        </w:tc>
      </w:tr>
    </w:tbl>
    <w:p/>
    <w:p>
      <w:pPr>
        <w:pStyle w:val="Heading1"/>
      </w:pPr>
      <w:r>
        <w:t>5. Screen Specifications</w:t>
      </w:r>
    </w:p>
    <w:p>
      <w:pPr>
        <w:pStyle w:val="Heading2"/>
      </w:pPr>
      <w:r>
        <w:t>5.1 National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Zone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Top KPIs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Total source codes, canonical materials, mapping coverage, review backlog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Duplicate section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Duplicate/near-duplicate counts + trend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CNMC section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Approved/proposed/retired national identities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MAP/MERGE/RETIRE/REVIEW 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Procurement insight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Cross-CPSE demand/value where history exists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 comparison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Sortable CPSE table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Drill-down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Every KPI links to the underlying filtered records</w:t>
            </w:r>
          </w:p>
        </w:tc>
      </w:tr>
    </w:tbl>
    <w:p/>
    <w:p>
      <w:pPr>
        <w:pStyle w:val="Heading2"/>
      </w:pPr>
      <w:r>
        <w:t>5.2 Material Search</w:t>
      </w:r>
    </w:p>
    <w:p>
      <w:pPr>
        <w:pStyle w:val="ListBullet"/>
        <w:spacing w:after="40"/>
      </w:pPr>
      <w:r>
        <w:t>Global search accepts CNMC, local CPSE code, standardized description and technical attributes.</w:t>
      </w:r>
    </w:p>
    <w:p>
      <w:pPr>
        <w:pStyle w:val="ListBullet"/>
        <w:spacing w:after="40"/>
      </w:pPr>
      <w:r>
        <w:t>Result cards show canonical identity plus relationship to the searched source record.</w:t>
      </w:r>
    </w:p>
    <w:p>
      <w:pPr>
        <w:pStyle w:val="ListBullet"/>
        <w:spacing w:after="40"/>
      </w:pPr>
      <w:r>
        <w:t>Filters include CPSE, category, lifecycle, relationship type and confidence.</w:t>
      </w:r>
    </w:p>
    <w:p>
      <w:pPr>
        <w:pStyle w:val="ListBullet"/>
        <w:spacing w:after="40"/>
      </w:pPr>
      <w:r>
        <w:t>Search result must distinguish canonical records from source records.</w:t>
      </w:r>
    </w:p>
    <w:p>
      <w:pPr>
        <w:pStyle w:val="Heading2"/>
      </w:pPr>
      <w:r>
        <w:t>5.3 Harmonization Workspace</w:t>
      </w:r>
    </w:p>
    <w:p>
      <w:r>
        <w:t>Recommended layout: Source Material | AI Analysis | Candidate National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Panel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Elements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CPSE, local code, raw description, raw specifications, raw UOM, source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AI Analysis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Normalized description, extracted attributes, classification candidates, scores, conflicts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Identity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Existing CNMC candidates, proposed canonical record, mapping impact, approval state</w:t>
            </w:r>
          </w:p>
        </w:tc>
      </w:tr>
    </w:tbl>
    <w:p/>
    <w:p>
      <w:pPr>
        <w:pStyle w:val="Heading2"/>
      </w:pPr>
      <w:r>
        <w:t>5.4 Evidence Drawer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Evidence type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UI treatment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Semantic similarity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Score + plain-language label; avoid implying calibrated probability.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Attribute agreement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Match/Conflict/Missing rows.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 conflict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Prominent warning with exact source values.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text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Raw descriptions side by side.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Model/rule 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Expandable metadata for audit.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Clear explanation of why relationship was proposed.</w:t>
            </w:r>
          </w:p>
        </w:tc>
      </w:tr>
    </w:tbl>
    <w:p/>
    <w:p>
      <w:pPr>
        <w:pStyle w:val="Heading2"/>
      </w:pPr>
      <w:r>
        <w:t>5.5 Review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Column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Risk/uncertainty ordering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code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Trace to CPSE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CNMC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Potential national identity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Relationship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Identical/Duplicate/Near-Duplicate/Functional/Related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Confidence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High/Medium/Low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 attribute warning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Review ageing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Review/Approve/Reject</w:t>
            </w:r>
          </w:p>
        </w:tc>
      </w:tr>
    </w:tbl>
    <w:p/>
    <w:p>
      <w:pPr>
        <w:pStyle w:val="Heading1"/>
      </w:pPr>
      <w:r>
        <w:t>6. National Material Detail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Section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Identity Header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CNMC, canonical description, lifecycle,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Technical Profile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Noun, modifier, dimensions, material/grade, standard, UOM and attributes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classification + candidate alternatives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 Mapping Matrix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Every local code, CPSE, source description, relationship and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Group members and relationship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Recommended actions and impact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Procurement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Historical demand/value when available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Approval history, actor, timestamp, versions</w:t>
            </w:r>
          </w:p>
        </w:tc>
      </w:tr>
    </w:tbl>
    <w:p/>
    <w:p>
      <w:pPr>
        <w:pStyle w:val="Heading1"/>
      </w:pPr>
      <w:r>
        <w:t>7. Mapping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CNMC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CPSE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Local Code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Local Description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CNMC-00018427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CPSE A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MAT-10482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HEX BOLT M10 X 50 SS304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Identical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View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CNMC-00018427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CPSE B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45000821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SS HEX HEAD BOLT 10MM×50MM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Duplicate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View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CNMC-00018427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CPSE C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HPL-B-8831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BOLT HEX M10 50 SS304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Near-Duplicate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Review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Review</w:t>
            </w:r>
          </w:p>
        </w:tc>
      </w:tr>
    </w:tbl>
    <w:p/>
    <w:p>
      <w:pPr>
        <w:pStyle w:val="Heading1"/>
      </w:pPr>
      <w:r>
        <w:t>8. Relationship Visualization</w:t>
      </w:r>
    </w:p>
    <w:p>
      <w:pPr>
        <w:pStyle w:val="ListBullet"/>
        <w:spacing w:after="40"/>
      </w:pPr>
      <w:r>
        <w:t>Use a clear relationship badge beside every mapping.</w:t>
      </w:r>
    </w:p>
    <w:p>
      <w:pPr>
        <w:pStyle w:val="ListBullet"/>
        <w:spacing w:after="40"/>
      </w:pPr>
      <w:r>
        <w:t>Identical and Duplicate should visually communicate strong common identity.</w:t>
      </w:r>
    </w:p>
    <w:p>
      <w:pPr>
        <w:pStyle w:val="ListBullet"/>
        <w:spacing w:after="40"/>
      </w:pPr>
      <w:r>
        <w:t>Near-Duplicate should visibly signal review.</w:t>
      </w:r>
    </w:p>
    <w:p>
      <w:pPr>
        <w:pStyle w:val="ListBullet"/>
        <w:spacing w:after="40"/>
      </w:pPr>
      <w:r>
        <w:t>Functional Equivalence should use distinct terminology such as 'Functional Equivalent' or 'Alternative', never 'Same Material'.</w:t>
      </w:r>
    </w:p>
    <w:p>
      <w:pPr>
        <w:pStyle w:val="ListBullet"/>
        <w:spacing w:after="40"/>
      </w:pPr>
      <w:r>
        <w:t>Related should remain informational and should not suggest automatic mapping.</w:t>
      </w:r>
    </w:p>
    <w:p>
      <w:pPr>
        <w:pStyle w:val="Heading1"/>
      </w:pPr>
      <w:r>
        <w:t>9. CNMC Creation Flow</w:t>
      </w:r>
    </w:p>
    <w:p>
      <w:pPr>
        <w:pStyle w:val="ListNumber"/>
        <w:spacing w:after="40"/>
      </w:pPr>
      <w:r>
        <w:t>Select candidate equivalence group.</w:t>
      </w:r>
    </w:p>
    <w:p>
      <w:pPr>
        <w:pStyle w:val="ListNumber"/>
        <w:spacing w:after="40"/>
      </w:pPr>
      <w:r>
        <w:t>Review source records and technical conflicts.</w:t>
      </w:r>
    </w:p>
    <w:p>
      <w:pPr>
        <w:pStyle w:val="ListNumber"/>
        <w:spacing w:after="40"/>
      </w:pPr>
      <w:r>
        <w:t>Review generated canonical description.</w:t>
      </w:r>
    </w:p>
    <w:p>
      <w:pPr>
        <w:pStyle w:val="ListNumber"/>
        <w:spacing w:after="40"/>
      </w:pPr>
      <w:r>
        <w:t>Review classification.</w:t>
      </w:r>
    </w:p>
    <w:p>
      <w:pPr>
        <w:pStyle w:val="ListNumber"/>
        <w:spacing w:after="40"/>
      </w:pPr>
      <w:r>
        <w:t>Preview proposed CNMC.</w:t>
      </w:r>
    </w:p>
    <w:p>
      <w:pPr>
        <w:pStyle w:val="ListNumber"/>
        <w:spacing w:after="40"/>
      </w:pPr>
      <w:r>
        <w:t>Show impact: CPSE count, local codes, procurement history if available.</w:t>
      </w:r>
    </w:p>
    <w:p>
      <w:pPr>
        <w:pStyle w:val="ListNumber"/>
        <w:spacing w:after="40"/>
      </w:pPr>
      <w:r>
        <w:t>Submit for governance approval.</w:t>
      </w:r>
    </w:p>
    <w:p>
      <w:pPr>
        <w:pStyle w:val="ListNumber"/>
        <w:spacing w:after="40"/>
      </w:pPr>
      <w:r>
        <w:t>After approval, show active CNMC and mapping matrix.</w:t>
      </w:r>
    </w:p>
    <w:p>
      <w:pPr>
        <w:pStyle w:val="Heading1"/>
      </w:pPr>
      <w:r>
        <w:t>10. Rationalization &amp; Migration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UI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Queue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Action type + priority + source/target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Impact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Affected CPSEs and local codes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Technical check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Conflicts, missing data, active usage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Preview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Before → after mapping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Authorized confirmation + rationale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Versioned migration file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Reconciliation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Exported/applied/confirmed/failed state</w:t>
            </w:r>
          </w:p>
        </w:tc>
      </w:tr>
    </w:tbl>
    <w:p/>
    <w:p>
      <w:pPr>
        <w:pStyle w:val="Heading1"/>
      </w:pPr>
      <w:r>
        <w:t>11. Interaction Rules</w:t>
      </w:r>
    </w:p>
    <w:p>
      <w:pPr>
        <w:pStyle w:val="ListBullet"/>
        <w:spacing w:after="40"/>
      </w:pPr>
      <w:r>
        <w:t>Approve button must display the consequence of approval.</w:t>
      </w:r>
    </w:p>
    <w:p>
      <w:pPr>
        <w:pStyle w:val="ListBullet"/>
        <w:spacing w:after="40"/>
      </w:pPr>
      <w:r>
        <w:t>Merge/retire require confirmation dialog with affected records.</w:t>
      </w:r>
    </w:p>
    <w:p>
      <w:pPr>
        <w:pStyle w:val="ListBullet"/>
        <w:spacing w:after="40"/>
      </w:pPr>
      <w:r>
        <w:t>Reject requires a reason for governance traceability.</w:t>
      </w:r>
    </w:p>
    <w:p>
      <w:pPr>
        <w:pStyle w:val="ListBullet"/>
        <w:spacing w:after="40"/>
      </w:pPr>
      <w:r>
        <w:t>Split must allow selection of members to retain in each group.</w:t>
      </w:r>
    </w:p>
    <w:p>
      <w:pPr>
        <w:pStyle w:val="ListBullet"/>
        <w:spacing w:after="40"/>
      </w:pPr>
      <w:r>
        <w:t>Edit canonical attributes must show source vs edited value.</w:t>
      </w:r>
    </w:p>
    <w:p>
      <w:pPr>
        <w:pStyle w:val="ListBullet"/>
        <w:spacing w:after="40"/>
      </w:pPr>
      <w:r>
        <w:t>Bulk approval should only be available for configured low-risk cases.</w:t>
      </w:r>
    </w:p>
    <w:p>
      <w:pPr>
        <w:pStyle w:val="ListBullet"/>
        <w:spacing w:after="40"/>
      </w:pPr>
      <w:r>
        <w:t>Every action should show current status before the user commits.</w:t>
      </w:r>
    </w:p>
    <w:p>
      <w:pPr>
        <w:pStyle w:val="Heading1"/>
      </w:pPr>
      <w:r>
        <w:t>12. Accessibility &amp; Enterprise Safety</w:t>
      </w:r>
    </w:p>
    <w:p>
      <w:pPr>
        <w:pStyle w:val="ListBullet"/>
        <w:spacing w:after="40"/>
      </w:pPr>
      <w:r>
        <w:t>Keyboard navigation for tables, dialogs and primary controls.</w:t>
      </w:r>
    </w:p>
    <w:p>
      <w:pPr>
        <w:pStyle w:val="ListBullet"/>
        <w:spacing w:after="40"/>
      </w:pPr>
      <w:r>
        <w:t>Do not rely on colour alone.</w:t>
      </w:r>
    </w:p>
    <w:p>
      <w:pPr>
        <w:pStyle w:val="ListBullet"/>
        <w:spacing w:after="40"/>
      </w:pPr>
      <w:r>
        <w:t>Use readable contrast and sufficiently large click targets.</w:t>
      </w:r>
    </w:p>
    <w:p>
      <w:pPr>
        <w:pStyle w:val="ListBullet"/>
        <w:spacing w:after="40"/>
      </w:pPr>
      <w:r>
        <w:t>Show timestamps and effective dates for decisions.</w:t>
      </w:r>
    </w:p>
    <w:p>
      <w:pPr>
        <w:pStyle w:val="ListBullet"/>
        <w:spacing w:after="40"/>
      </w:pPr>
      <w:r>
        <w:t>Use plain-language warnings for technical conflicts.</w:t>
      </w:r>
    </w:p>
    <w:p>
      <w:pPr>
        <w:pStyle w:val="ListBullet"/>
        <w:spacing w:after="40"/>
      </w:pPr>
      <w:r>
        <w:t>Never present an AI score as a guarantee or certification.</w:t>
      </w:r>
    </w:p>
    <w:p>
      <w:pPr>
        <w:pStyle w:val="Heading1"/>
      </w:pPr>
      <w:r>
        <w:t>13. Design Acceptance Criteria</w:t>
      </w:r>
    </w:p>
    <w:p>
      <w:pPr>
        <w:pStyle w:val="ListNumber"/>
        <w:spacing w:after="40"/>
      </w:pPr>
      <w:r>
        <w:t>User can reach a CNMC from a local CPSE code and see the complete mapping chain.</w:t>
      </w:r>
    </w:p>
    <w:p>
      <w:pPr>
        <w:pStyle w:val="ListNumber"/>
        <w:spacing w:after="40"/>
      </w:pPr>
      <w:r>
        <w:t>Reviewer can compare source and canonical technical attributes without leaving the review screen.</w:t>
      </w:r>
    </w:p>
    <w:p>
      <w:pPr>
        <w:pStyle w:val="ListNumber"/>
        <w:spacing w:after="40"/>
      </w:pPr>
      <w:r>
        <w:t>Critical conflicts are obvious and block unsafe automated actions.</w:t>
      </w:r>
    </w:p>
    <w:p>
      <w:pPr>
        <w:pStyle w:val="ListNumber"/>
        <w:spacing w:after="40"/>
      </w:pPr>
      <w:r>
        <w:t>Functional-equivalence cases are visually distinct from identical material identity.</w:t>
      </w:r>
    </w:p>
    <w:p>
      <w:pPr>
        <w:pStyle w:val="ListNumber"/>
        <w:spacing w:after="40"/>
      </w:pPr>
      <w:r>
        <w:t>Merge/retire actions display impact before confirmation.</w:t>
      </w:r>
    </w:p>
    <w:p>
      <w:pPr>
        <w:pStyle w:val="ListNumber"/>
        <w:spacing w:after="40"/>
      </w:pPr>
      <w:r>
        <w:t>Migration preview clearly shows source → target.</w:t>
      </w:r>
    </w:p>
    <w:p>
      <w:pPr>
        <w:pStyle w:val="ListNumber"/>
        <w:spacing w:after="40"/>
      </w:pPr>
      <w:r>
        <w:t>Dashboard KPIs drill into the records that produced them.</w:t>
      </w:r>
    </w:p>
    <w:p>
      <w:pPr>
        <w:pStyle w:val="ListNumber"/>
        <w:spacing w:after="40"/>
      </w:pPr>
      <w:r>
        <w:t>Audit history is accessible from every governed national record.</w:t>
      </w:r>
    </w:p>
    <w:p>
      <w:pPr>
        <w:pStyle w:val="Heading1"/>
      </w:pPr>
      <w:r>
        <w:t>14. Suggested Prototype Screens</w:t>
      </w:r>
    </w:p>
    <w:p>
      <w:pPr>
        <w:pStyle w:val="ListNumber"/>
        <w:spacing w:after="40"/>
      </w:pPr>
      <w:r>
        <w:t>Login / role-aware landing</w:t>
      </w:r>
    </w:p>
    <w:p>
      <w:pPr>
        <w:pStyle w:val="ListNumber"/>
        <w:spacing w:after="40"/>
      </w:pPr>
      <w:r>
        <w:t>National dashboard</w:t>
      </w:r>
    </w:p>
    <w:p>
      <w:pPr>
        <w:pStyle w:val="ListNumber"/>
        <w:spacing w:after="40"/>
      </w:pPr>
      <w:r>
        <w:t>CPSE data import wizard</w:t>
      </w:r>
    </w:p>
    <w:p>
      <w:pPr>
        <w:pStyle w:val="ListNumber"/>
        <w:spacing w:after="40"/>
      </w:pPr>
      <w:r>
        <w:t>Import validation results</w:t>
      </w:r>
    </w:p>
    <w:p>
      <w:pPr>
        <w:pStyle w:val="ListNumber"/>
        <w:spacing w:after="40"/>
      </w:pPr>
      <w:r>
        <w:t>Material harmonization workspace</w:t>
      </w:r>
    </w:p>
    <w:p>
      <w:pPr>
        <w:pStyle w:val="ListNumber"/>
        <w:spacing w:after="40"/>
      </w:pPr>
      <w:r>
        <w:t>Candidate match comparison</w:t>
      </w:r>
    </w:p>
    <w:p>
      <w:pPr>
        <w:pStyle w:val="ListNumber"/>
        <w:spacing w:after="40"/>
      </w:pPr>
      <w:r>
        <w:t>Equivalence group workspace</w:t>
      </w:r>
    </w:p>
    <w:p>
      <w:pPr>
        <w:pStyle w:val="ListNumber"/>
        <w:spacing w:after="40"/>
      </w:pPr>
      <w:r>
        <w:t>CNMC proposal modal</w:t>
      </w:r>
    </w:p>
    <w:p>
      <w:pPr>
        <w:pStyle w:val="ListNumber"/>
        <w:spacing w:after="40"/>
      </w:pPr>
      <w:r>
        <w:t>National material detail</w:t>
      </w:r>
    </w:p>
    <w:p>
      <w:pPr>
        <w:pStyle w:val="ListNumber"/>
        <w:spacing w:after="40"/>
      </w:pPr>
      <w:r>
        <w:t>CPSE mapping matrix</w:t>
      </w:r>
    </w:p>
    <w:p>
      <w:pPr>
        <w:pStyle w:val="ListNumber"/>
        <w:spacing w:after="40"/>
      </w:pPr>
      <w:r>
        <w:t>Review queue</w:t>
      </w:r>
    </w:p>
    <w:p>
      <w:pPr>
        <w:pStyle w:val="ListNumber"/>
        <w:spacing w:after="40"/>
      </w:pPr>
      <w:r>
        <w:t>Rationalization queue</w:t>
      </w:r>
    </w:p>
    <w:p>
      <w:pPr>
        <w:pStyle w:val="ListNumber"/>
        <w:spacing w:after="40"/>
      </w:pPr>
      <w:r>
        <w:t>Migration preview/export</w:t>
      </w:r>
    </w:p>
    <w:p>
      <w:pPr>
        <w:pStyle w:val="ListNumber"/>
        <w:spacing w:after="40"/>
      </w:pPr>
      <w:r>
        <w:t>Analytics dashboard</w:t>
      </w:r>
    </w:p>
    <w:p>
      <w:pPr>
        <w:pStyle w:val="ListNumber"/>
        <w:spacing w:after="40"/>
      </w:pPr>
      <w:r>
        <w:t>Audit/governance history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SIH26099 — Detailed Design PRD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