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TECHNICAL PRODUCT REQUIREMENTS DOCUMENT</w:t>
      </w:r>
    </w:p>
    <w:p>
      <w:pPr>
        <w:jc w:val="center"/>
      </w:pPr>
      <w:r>
        <w:rPr>
          <w:b/>
          <w:sz w:val="30"/>
        </w:rPr>
        <w:t>National Unified Material Master — AI, Data &amp; Integration Architecture</w:t>
      </w:r>
    </w:p>
    <w:p>
      <w:pPr>
        <w:jc w:val="center"/>
      </w:pPr>
      <w:r>
        <w:rPr>
          <w:b/>
        </w:rPr>
        <w:t>Smart India Hackathon 2026 | SIH26099 | TPRD v3.0 — Detailed | 02 September 2026</w:t>
      </w:r>
    </w:p>
    <w:p>
      <w:pPr>
        <w:pStyle w:val="Heading1"/>
      </w:pPr>
      <w:r>
        <w:t>1. Technical Vision</w:t>
      </w:r>
    </w:p>
    <w:p>
      <w:r>
        <w:t>The technical architecture shall implement a governed national identity layer rather than a simple similarity-search application. The platform separates source CPSE records from canonical national records, combines semantic retrieval with technical attribute constraints, and places governance controls between AI recommendations and production changes.</w:t>
      </w:r>
    </w:p>
    <w:p>
      <w:pPr>
        <w:pStyle w:val="Heading1"/>
      </w:pPr>
      <w:r>
        <w:t>2. Logical Architecture</w:t>
      </w:r>
    </w:p>
    <w:p>
      <w:r>
        <w:t>CPSE SAP/ERP/Files → Ingestion Gateway → Validation &amp; Provenance → Normalization → Attribute Extraction → Standardization → Embedding/Indexing → Candidate Retrieval → Attribute-Aware Matching → Equivalence Engine → Canonical Material/CNMC Service → Review &amp; Governance → Rationalization → Migration/Export → ERP/SAP adapters.</w:t>
      </w:r>
    </w:p>
    <w:p>
      <w:pPr>
        <w:pStyle w:val="Heading1"/>
      </w:pPr>
      <w:r>
        <w:t>3. Technology Stack —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Recommended MVP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Production evolution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React / Next.js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Enterprise web frontend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FastAPI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Containerized API services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Relational 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SQLite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PostgreSQL/managed relational DB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Vector retrieval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FAISS or ChromaDB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Dedicated vector DB or pgvector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Embeddings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sentence-transformers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Versioned domain-tuned embedding service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Data processing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Pandas + openpyxl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Batch/stream processing as scale requires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Model/rules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Python rules + scoring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Versioned model/rules service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Auth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Application RBAC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Enterprise SSO/OIDC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Deployment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Docker/local demo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Container orchestration/cloud/on-prem CPSE environment</w:t>
            </w:r>
          </w:p>
        </w:tc>
      </w:tr>
    </w:tbl>
    <w:p/>
    <w:p>
      <w:pPr>
        <w:pStyle w:val="Heading1"/>
      </w:pPr>
      <w:r>
        <w:t>4. Domain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Service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Responsibilities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 Registry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CPSE/source-system configuration.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Ingestion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File/API ingestion, schema mapping, validation.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Provenance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batch, original values and lineage.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Normalization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Text/UOM/dimension normalization.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Attribute Extraction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Technical parameter extraction and confidence.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Standardization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Canonical description/specification.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Matching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retrieval and scoring.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Equivalence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Relationship classification and grouping.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Classification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Taxonomy recommendation.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CNMC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National code proposal/allocation/lifecycle.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Mapping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CPSE-to-CNMC relationships.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Legacy action generation.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Migration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Approved export/payload generation.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Governance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Approval, audit, version and role controls.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Analytics Service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National/CPSE metrics and procurement aggregation.</w:t>
            </w:r>
          </w:p>
        </w:tc>
      </w:tr>
    </w:tbl>
    <w:p/>
    <w:p>
      <w:pPr>
        <w:pStyle w:val="Heading1"/>
      </w:pPr>
      <w:r>
        <w:t>5. Data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Table/Entity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Important 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name,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source_system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cpse_id, system_type,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import_batch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source_id, filename, created_at, row_count,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cpse_material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cpse_id, source_code, raw_description, raw_specs, raw_uom, normalized_text,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material_attribute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material_id, attribute, value, normalized_value, source_span, confidence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canonical_material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cnmc, canonical_description, attributes_json, classification, lifecycle, version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equivalence_group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relationship_type, confidence, status, canonical_material_id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equivalence_member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group_id, cpse_material_id, evidence_json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cpse_mapping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cpse_material_id, canonical_material_id, status, effective_from, effective_to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rationalization_action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source_material_id, action, target_cnmc, rationale, 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migration_record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action_id, source_code, target_cnmc, payload, validation_status, migration_status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review_decision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object_type, object_id, actor, action, reason, before_json, after_json,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audit_event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id, actor, action, object_type, object_id, model_version, rule_version, timestamp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procurement_record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cpse_id, source_code, period, quantity, value</w:t>
            </w:r>
          </w:p>
        </w:tc>
      </w:tr>
    </w:tbl>
    <w:p/>
    <w:p>
      <w:pPr>
        <w:pStyle w:val="Heading1"/>
      </w:pPr>
      <w:r>
        <w:t>6. AI/ML Pipeline</w:t>
      </w:r>
    </w:p>
    <w:p>
      <w:pPr>
        <w:pStyle w:val="Heading2"/>
      </w:pPr>
      <w:r>
        <w:t>6.1 Preprocessing</w:t>
      </w:r>
    </w:p>
    <w:p>
      <w:pPr>
        <w:pStyle w:val="ListNumber"/>
        <w:spacing w:after="40"/>
      </w:pPr>
      <w:r>
        <w:t>Unicode and whitespace normalization.</w:t>
      </w:r>
    </w:p>
    <w:p>
      <w:pPr>
        <w:pStyle w:val="ListNumber"/>
        <w:spacing w:after="40"/>
      </w:pPr>
      <w:r>
        <w:t>Case/punctuation normalization.</w:t>
      </w:r>
    </w:p>
    <w:p>
      <w:pPr>
        <w:pStyle w:val="ListNumber"/>
        <w:spacing w:after="40"/>
      </w:pPr>
      <w:r>
        <w:t>Engineering abbreviation expansion using versioned dictionary.</w:t>
      </w:r>
    </w:p>
    <w:p>
      <w:pPr>
        <w:pStyle w:val="ListNumber"/>
        <w:spacing w:after="40"/>
      </w:pPr>
      <w:r>
        <w:t>Dimension/UOM parsing and conversion where safe.</w:t>
      </w:r>
    </w:p>
    <w:p>
      <w:pPr>
        <w:pStyle w:val="ListNumber"/>
        <w:spacing w:after="40"/>
      </w:pPr>
      <w:r>
        <w:t>Tokenization of noun/modifier/technical segments.</w:t>
      </w:r>
    </w:p>
    <w:p>
      <w:pPr>
        <w:pStyle w:val="ListNumber"/>
        <w:spacing w:after="40"/>
      </w:pPr>
      <w:r>
        <w:t>Critical-attribute detection.</w:t>
      </w:r>
    </w:p>
    <w:p>
      <w:pPr>
        <w:pStyle w:val="Heading2"/>
      </w:pPr>
      <w:r>
        <w:t>6.2 Attribute Extraction</w:t>
      </w:r>
    </w:p>
    <w:p>
      <w:pPr>
        <w:pStyle w:val="ListBullet"/>
        <w:spacing w:after="40"/>
      </w:pPr>
      <w:r>
        <w:t>Prefer deterministic extraction for dimensions, UOM, common standards and recognizable technical patterns.</w:t>
      </w:r>
    </w:p>
    <w:p>
      <w:pPr>
        <w:pStyle w:val="ListBullet"/>
        <w:spacing w:after="40"/>
      </w:pPr>
      <w:r>
        <w:t>Use ML/NLP for less structured attributes.</w:t>
      </w:r>
    </w:p>
    <w:p>
      <w:pPr>
        <w:pStyle w:val="ListBullet"/>
        <w:spacing w:after="40"/>
      </w:pPr>
      <w:r>
        <w:t>Every extracted attribute carries provenance/confidence.</w:t>
      </w:r>
    </w:p>
    <w:p>
      <w:pPr>
        <w:pStyle w:val="ListBullet"/>
        <w:spacing w:after="40"/>
      </w:pPr>
      <w:r>
        <w:t>Do not invent missing specifications; represent them as missing/unknown.</w:t>
      </w:r>
    </w:p>
    <w:p>
      <w:pPr>
        <w:pStyle w:val="Heading2"/>
      </w:pPr>
      <w:r>
        <w:t>6.3 Candidate Retrieval</w:t>
      </w:r>
    </w:p>
    <w:p>
      <w:pPr>
        <w:pStyle w:val="ListNumber"/>
        <w:spacing w:after="40"/>
      </w:pPr>
      <w:r>
        <w:t>Create embedding for normalized description.</w:t>
      </w:r>
    </w:p>
    <w:p>
      <w:pPr>
        <w:pStyle w:val="ListNumber"/>
        <w:spacing w:after="40"/>
      </w:pPr>
      <w:r>
        <w:t>Search vector index for top-N candidates.</w:t>
      </w:r>
    </w:p>
    <w:p>
      <w:pPr>
        <w:pStyle w:val="ListNumber"/>
        <w:spacing w:after="40"/>
      </w:pPr>
      <w:r>
        <w:t>Apply metadata filters such as active status/category/CPSE.</w:t>
      </w:r>
    </w:p>
    <w:p>
      <w:pPr>
        <w:pStyle w:val="ListNumber"/>
        <w:spacing w:after="40"/>
      </w:pPr>
      <w:r>
        <w:t>Run lexical overlap and structured attribute comparisons.</w:t>
      </w:r>
    </w:p>
    <w:p>
      <w:pPr>
        <w:pStyle w:val="ListNumber"/>
        <w:spacing w:after="40"/>
      </w:pPr>
      <w:r>
        <w:t>Apply hard constraints for critical attributes.</w:t>
      </w:r>
    </w:p>
    <w:p>
      <w:pPr>
        <w:pStyle w:val="ListNumber"/>
        <w:spacing w:after="40"/>
      </w:pPr>
      <w:r>
        <w:t>Rerank candidates and classify relationship.</w:t>
      </w:r>
    </w:p>
    <w:p>
      <w:pPr>
        <w:pStyle w:val="Heading2"/>
      </w:pPr>
      <w:r>
        <w:t>6.4 Suggested Scoring Model</w:t>
      </w:r>
    </w:p>
    <w:p>
      <w:r>
        <w:t>A transparent MVP score may combine semantic similarity, lexical similarity, attribute agreement, category agreement and contradiction penalties. Exact weights should be configuration/versioned parameters and must be tuned against a labeled validation 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Signal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Example role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Semantic similarity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Find paraphrases and reordered descriptions.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Lexical similarity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Reward shared engineering terms/codes.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Attribute agreement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Confirm dimensions, grade, material, standard, etc.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UOM compatibility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Detect exact or convertible unit agreement.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 contradiction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Strong negative signal/blocking rule.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Category/function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Support broader functional-equivalence decision.</w:t>
            </w:r>
          </w:p>
        </w:tc>
      </w:tr>
    </w:tbl>
    <w:p/>
    <w:p>
      <w:pPr>
        <w:pStyle w:val="Heading1"/>
      </w:pPr>
      <w:r>
        <w:t>7. Relationship Decision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Relationship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Decision logic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IDENTICAL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High semantic + high critical-attribute agreement + no blocking conflict.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DUPLICATE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Equivalent identity represented by redundant source records/codes.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NEAR-DUPLICATE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High similarity but one/more important fields differ or are incomplete.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FUNCTIONALLY EQUIVALENT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Function/use is equivalent under configured business rules despite technical differences.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RELATED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Candidate is contextually similar but evidence is insufficient.</w:t>
            </w:r>
          </w:p>
        </w:tc>
      </w:tr>
    </w:tbl>
    <w:p/>
    <w:p>
      <w:r>
        <w:t>Critical point: a vector similarity threshold must never be the only condition for creating a national identity.</w:t>
      </w:r>
    </w:p>
    <w:p>
      <w:pPr>
        <w:pStyle w:val="Heading1"/>
      </w:pPr>
      <w:r>
        <w:t>8. CNMC Algorithm</w:t>
      </w:r>
    </w:p>
    <w:p>
      <w:pPr>
        <w:pStyle w:val="ListNumber"/>
        <w:spacing w:after="40"/>
      </w:pPr>
      <w:r>
        <w:t>Collect approved members of an equivalence group.</w:t>
      </w:r>
    </w:p>
    <w:p>
      <w:pPr>
        <w:pStyle w:val="ListNumber"/>
        <w:spacing w:after="40"/>
      </w:pPr>
      <w:r>
        <w:t>Generate canonical attribute set from validated values.</w:t>
      </w:r>
    </w:p>
    <w:p>
      <w:pPr>
        <w:pStyle w:val="ListNumber"/>
        <w:spacing w:after="40"/>
      </w:pPr>
      <w:r>
        <w:t>Detect attribute conflicts and unresolved fields.</w:t>
      </w:r>
    </w:p>
    <w:p>
      <w:pPr>
        <w:pStyle w:val="ListNumber"/>
        <w:spacing w:after="40"/>
      </w:pPr>
      <w:r>
        <w:t>Generate standardized description.</w:t>
      </w:r>
    </w:p>
    <w:p>
      <w:pPr>
        <w:pStyle w:val="ListNumber"/>
        <w:spacing w:after="40"/>
      </w:pPr>
      <w:r>
        <w:t>Check whether an existing approved canonical material already represents the same identity.</w:t>
      </w:r>
    </w:p>
    <w:p>
      <w:pPr>
        <w:pStyle w:val="ListNumber"/>
        <w:spacing w:after="40"/>
      </w:pPr>
      <w:r>
        <w:t>If none exists, allocate a collision-safe CNMC proposal.</w:t>
      </w:r>
    </w:p>
    <w:p>
      <w:pPr>
        <w:pStyle w:val="ListNumber"/>
        <w:spacing w:after="40"/>
      </w:pPr>
      <w:r>
        <w:t>Persist allocation and rule/model versions.</w:t>
      </w:r>
    </w:p>
    <w:p>
      <w:pPr>
        <w:pStyle w:val="ListNumber"/>
        <w:spacing w:after="40"/>
      </w:pPr>
      <w:r>
        <w:t>Activate only after governance approval.</w:t>
      </w:r>
    </w:p>
    <w:p>
      <w:pPr>
        <w:pStyle w:val="Heading1"/>
      </w:pPr>
      <w:r>
        <w:t>9. API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Method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Endpoint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/api/cpse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Register CPSE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/api/cpse/{cpse_id}/imports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Upload/import material catalog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/api/imports/{batch_id}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Batch status/errors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/api/materials/{id}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Source material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/api/materials/{id}/harmonize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Normalize/extract/standardize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/api/materials/{id}/matches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Candidate matches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/api/equivalence-groups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Create group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/api/equivalence-groups/{id}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Group +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/api/cnmc/proposals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Propose CNMC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/api/cnmc/{cnmc}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Canonical material + mappings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/api/mappings/{id}/review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Approve/reject/edit mapping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/api/rationalization/actions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Action queue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POST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/api/rationalization/{id}/approve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Approve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/api/migration/export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Generate migration export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/api/analytics/national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National analytics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GET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/api/health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Health/version information</w:t>
            </w:r>
          </w:p>
        </w:tc>
      </w:tr>
    </w:tbl>
    <w:p/>
    <w:p>
      <w:pPr>
        <w:pStyle w:val="Heading1"/>
      </w:pPr>
      <w:r>
        <w:t>10. Integration Contract</w:t>
      </w:r>
    </w:p>
    <w:p>
      <w:r>
        <w:t>The integration layer must translate each CPSE's local ERP representation into a canonical contract. The core platform should not assume that every CPSE uses the same SAP version, material field names or code format.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Inbound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Outbound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CPSE_ID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CPSE_ID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SOURCE_SYSTEM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SOURCE_SYSTEM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SOURCE_MATERIAL_CODE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SOURCE_MATERIAL_CODE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DESCRIPTION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CNMC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SPECIFICATIONS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CANONICAL_DESCRIPTION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UOM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ATTRIBUTES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STATUS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CLASSIFICATION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EFFECTIVE_DATE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MAPPING_STATUS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OPTIONAL PROCUREMENT DATA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RATIONALIZATION_ACTION / VERSION / EFFECTIVE_DATE</w:t>
            </w:r>
          </w:p>
        </w:tc>
      </w:tr>
    </w:tbl>
    <w:p/>
    <w:p>
      <w:pPr>
        <w:pStyle w:val="Heading1"/>
      </w:pPr>
      <w:r>
        <w:t>11. Migration Safety</w:t>
      </w:r>
    </w:p>
    <w:p>
      <w:pPr>
        <w:pStyle w:val="ListBullet"/>
        <w:spacing w:after="40"/>
      </w:pPr>
      <w:r>
        <w:t>Never directly mutate source ERP records from an AI recommendation.</w:t>
      </w:r>
    </w:p>
    <w:p>
      <w:pPr>
        <w:pStyle w:val="ListBullet"/>
        <w:spacing w:after="40"/>
      </w:pPr>
      <w:r>
        <w:t>Only approved mappings enter migration output.</w:t>
      </w:r>
    </w:p>
    <w:p>
      <w:pPr>
        <w:pStyle w:val="ListBullet"/>
        <w:spacing w:after="40"/>
      </w:pPr>
      <w:r>
        <w:t>Migration export must contain source code, target CNMC, action, effective date, version and validation status.</w:t>
      </w:r>
    </w:p>
    <w:p>
      <w:pPr>
        <w:pStyle w:val="ListBullet"/>
        <w:spacing w:after="40"/>
      </w:pPr>
      <w:r>
        <w:t>Provide before/after preview.</w:t>
      </w:r>
    </w:p>
    <w:p>
      <w:pPr>
        <w:pStyle w:val="ListBullet"/>
        <w:spacing w:after="40"/>
      </w:pPr>
      <w:r>
        <w:t>Support reconciliation status such as PENDING, EXPORTED, APPLIED, FAILED and CONFIRMED.</w:t>
      </w:r>
    </w:p>
    <w:p>
      <w:pPr>
        <w:pStyle w:val="Heading1"/>
      </w:pPr>
      <w:r>
        <w:t>12. Security &amp; Governance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Control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Implementation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RBAC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Separate reviewer, national approver, admin, ERP admin and auditor permissions.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Audit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Immutable append-only events for governance changes.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Versioning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Store canonical/rule/model/taxonomy versions.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Source integrity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Raw CPSE data retained as source-of-record.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Input 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File type/size/schema validation and sanitization.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API security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HTTPS + authentication/authorization in deployed environment.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Secrets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Environment/secret manager; never hard-code credentials.</w:t>
            </w:r>
          </w:p>
        </w:tc>
      </w:tr>
    </w:tbl>
    <w:p/>
    <w:p>
      <w:pPr>
        <w:pStyle w:val="Heading1"/>
      </w:pPr>
      <w:r>
        <w:t>13. Evaluation &amp; Test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Test Set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Purpose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  <w:sz w:val="15"/>
              </w:rPr>
              <w:t>Primary metrics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Classification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Taxonomy recommendation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Top-1, Top-3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Duplicate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Same-material recognition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Precision, Recall, F1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Hard non-match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Avoid false merges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False-positive rate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Near-duplicate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 routing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Review precision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Functional-equivalence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Broader relationship detection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Precision + reviewer agreement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CNMC grouping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Canonical grouping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Group purity, split/merge errors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5"/>
              </w:rPr>
              <w:t>Migration set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Export integrity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5"/>
              </w:rPr>
              <w:t>Schema validation + round trip</w:t>
            </w:r>
          </w:p>
        </w:tc>
      </w:tr>
    </w:tbl>
    <w:p/>
    <w:p>
      <w:pPr>
        <w:pStyle w:val="Heading1"/>
      </w:pPr>
      <w:r>
        <w:t>14. Performance Targets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Operation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MVP target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Single harmonization request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≤2 seconds warm path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500-row batch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≤60 seconds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Vector retrieval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Target ≤500 ms typical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Import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≥1,000 records in MVP demonstration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Migration export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Valid XLSX/CSV produced for approved actions</w:t>
            </w:r>
          </w:p>
        </w:tc>
      </w:tr>
    </w:tbl>
    <w:p/>
    <w:p>
      <w:pPr>
        <w:pStyle w:val="Heading1"/>
      </w:pPr>
      <w:r>
        <w:t>15. Failure Modes &amp; Fallbacks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Failure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  <w:sz w:val="15"/>
              </w:rPr>
              <w:t>Expected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Missing critical attribute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Mark missing; lower confidence; route to Review.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Critical contradiction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Block automatic identical mapping.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LLM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Core deterministic/embedding pipeline continues.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Vector index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Return controlled failure and preserve manual workflow.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Taxonomy unavailable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Classification feature degrades independently.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Malformed row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Reject row with error; continue valid rows.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5"/>
              </w:rPr>
              <w:t>CNMC collision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5"/>
              </w:rPr>
              <w:t>Reject allocation and generate a new collision-safe candidate.</w:t>
            </w:r>
          </w:p>
        </w:tc>
      </w:tr>
    </w:tbl>
    <w:p/>
    <w:p>
      <w:pPr>
        <w:pStyle w:val="Heading1"/>
      </w:pPr>
      <w:r>
        <w:t>16. Deployment &amp; Operations</w:t>
      </w:r>
    </w:p>
    <w:p>
      <w:pPr>
        <w:pStyle w:val="ListBullet"/>
        <w:spacing w:after="40"/>
      </w:pPr>
      <w:r>
        <w:t>Containerize frontend/API/model/index components.</w:t>
      </w:r>
    </w:p>
    <w:p>
      <w:pPr>
        <w:pStyle w:val="ListBullet"/>
        <w:spacing w:after="40"/>
      </w:pPr>
      <w:r>
        <w:t>Keep model and embedding versions in configuration.</w:t>
      </w:r>
    </w:p>
    <w:p>
      <w:pPr>
        <w:pStyle w:val="ListBullet"/>
        <w:spacing w:after="40"/>
      </w:pPr>
      <w:r>
        <w:t>Provide health endpoints and import job status.</w:t>
      </w:r>
    </w:p>
    <w:p>
      <w:pPr>
        <w:pStyle w:val="ListBullet"/>
        <w:spacing w:after="40"/>
      </w:pPr>
      <w:r>
        <w:t>Log batch-level and request-level errors without exposing sensitive source data unnecessarily.</w:t>
      </w:r>
    </w:p>
    <w:p>
      <w:pPr>
        <w:pStyle w:val="ListBullet"/>
        <w:spacing w:after="40"/>
      </w:pPr>
      <w:r>
        <w:t>Back up relational master/governance data and preserve audit history.</w:t>
      </w:r>
    </w:p>
    <w:p>
      <w:pPr>
        <w:pStyle w:val="ListBullet"/>
        <w:spacing w:after="40"/>
      </w:pPr>
      <w:r>
        <w:t>Separate development/test datasets from production CPSE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SIH26099 — Detailed Technical PRD v3.0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