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19"/>
        </w:rPr>
        <w:t>QUANTCOPILOT AI RESEARCH SPECIFICATION</w:t>
      </w:r>
    </w:p>
    <w:p>
      <w:pPr>
        <w:spacing w:before="0" w:after="120"/>
      </w:pPr>
      <w:r>
        <w:rPr>
          <w:rFonts w:ascii="Calibri" w:hAnsi="Calibri"/>
          <w:b/>
          <w:color w:val="0F172A"/>
          <w:sz w:val="44"/>
        </w:rPr>
        <w:t>Machine Learning Training Results, Model Architectures &amp; Empirical Prediction Parameters</w:t>
      </w:r>
    </w:p>
    <w:p>
      <w:pPr>
        <w:spacing w:before="0" w:after="240"/>
      </w:pPr>
      <w:r>
        <w:rPr>
          <w:rFonts w:ascii="Calibri" w:hAnsi="Calibri"/>
          <w:i/>
          <w:color w:val="475569"/>
          <w:sz w:val="22"/>
        </w:rPr>
        <w:t>Comprehensive Comparative Benchmark of Spatio-Temporal Graph Attention, Multi-Head Temporal Forecasters, and Friction-Aware Deep Reinforcement Learning for Systemic Financial Analysis.</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824"/>
        <w:gridCol w:w="4824"/>
      </w:tblGrid>
      <w:tr>
        <w:tc>
          <w:tcPr>
            <w:tcW w:type="dxa" w:w="4824"/>
            <w:shd w:fill="F8FAFC"/>
            <w:tcMar>
              <w:top w:w="60" w:type="dxa"/>
              <w:bottom w:w="60" w:type="dxa"/>
              <w:left w:w="100" w:type="dxa"/>
              <w:right w:w="100" w:type="dxa"/>
            </w:tcMar>
          </w:tcPr>
          <w:p>
            <w:r>
              <w:rPr>
                <w:b/>
                <w:color w:val="1E3A8A"/>
                <w:sz w:val="18"/>
              </w:rPr>
              <w:t>Project &amp; Architecture</w:t>
            </w:r>
          </w:p>
        </w:tc>
        <w:tc>
          <w:tcPr>
            <w:tcW w:type="dxa" w:w="4824"/>
            <w:shd w:fill="FFFFFF"/>
            <w:tcMar>
              <w:top w:w="60" w:type="dxa"/>
              <w:bottom w:w="60" w:type="dxa"/>
              <w:left w:w="100" w:type="dxa"/>
              <w:right w:w="100" w:type="dxa"/>
            </w:tcMar>
          </w:tcPr>
          <w:p>
            <w:r>
              <w:rPr>
                <w:color w:val="334155"/>
                <w:sz w:val="18"/>
              </w:rPr>
              <w:t>QuantCopilot AI Institutional Terminal (v2.4-Production)</w:t>
            </w:r>
          </w:p>
        </w:tc>
      </w:tr>
      <w:tr>
        <w:tc>
          <w:tcPr>
            <w:tcW w:type="dxa" w:w="4824"/>
            <w:shd w:fill="F8FAFC"/>
            <w:tcMar>
              <w:top w:w="60" w:type="dxa"/>
              <w:bottom w:w="60" w:type="dxa"/>
              <w:left w:w="100" w:type="dxa"/>
              <w:right w:w="100" w:type="dxa"/>
            </w:tcMar>
          </w:tcPr>
          <w:p>
            <w:r>
              <w:rPr>
                <w:b/>
                <w:color w:val="1E3A8A"/>
                <w:sz w:val="18"/>
              </w:rPr>
              <w:t>Primary Training Dataset</w:t>
            </w:r>
          </w:p>
        </w:tc>
        <w:tc>
          <w:tcPr>
            <w:tcW w:type="dxa" w:w="4824"/>
            <w:shd w:fill="FFFFFF"/>
            <w:tcMar>
              <w:top w:w="60" w:type="dxa"/>
              <w:bottom w:w="60" w:type="dxa"/>
              <w:left w:w="100" w:type="dxa"/>
              <w:right w:w="100" w:type="dxa"/>
            </w:tcMar>
          </w:tcPr>
          <w:p>
            <w:r>
              <w:rPr>
                <w:color w:val="334155"/>
                <w:sz w:val="18"/>
              </w:rPr>
              <w:t>National Stock Exchange of India (NSE) &amp; BSE Bhavcopy (2011 – 2026, 15-Year Time Series)</w:t>
            </w:r>
          </w:p>
        </w:tc>
      </w:tr>
      <w:tr>
        <w:tc>
          <w:tcPr>
            <w:tcW w:type="dxa" w:w="4824"/>
            <w:shd w:fill="F8FAFC"/>
            <w:tcMar>
              <w:top w:w="60" w:type="dxa"/>
              <w:bottom w:w="60" w:type="dxa"/>
              <w:left w:w="100" w:type="dxa"/>
              <w:right w:w="100" w:type="dxa"/>
            </w:tcMar>
          </w:tcPr>
          <w:p>
            <w:r>
              <w:rPr>
                <w:b/>
                <w:color w:val="1E3A8A"/>
                <w:sz w:val="18"/>
              </w:rPr>
              <w:t>Data Partitioning Protocol</w:t>
            </w:r>
          </w:p>
        </w:tc>
        <w:tc>
          <w:tcPr>
            <w:tcW w:type="dxa" w:w="4824"/>
            <w:shd w:fill="FFFFFF"/>
            <w:tcMar>
              <w:top w:w="60" w:type="dxa"/>
              <w:bottom w:w="60" w:type="dxa"/>
              <w:left w:w="100" w:type="dxa"/>
              <w:right w:w="100" w:type="dxa"/>
            </w:tcMar>
          </w:tcPr>
          <w:p>
            <w:r>
              <w:rPr>
                <w:color w:val="334155"/>
                <w:sz w:val="18"/>
              </w:rPr>
              <w:t>Strict Chronological Partition (70% Train: 2011–2021 | 15% Val: 2021–2023 | 15% Out-of-Sample: 2023–2026)</w:t>
            </w:r>
          </w:p>
        </w:tc>
      </w:tr>
      <w:tr>
        <w:tc>
          <w:tcPr>
            <w:tcW w:type="dxa" w:w="4824"/>
            <w:shd w:fill="F8FAFC"/>
            <w:tcMar>
              <w:top w:w="60" w:type="dxa"/>
              <w:bottom w:w="60" w:type="dxa"/>
              <w:left w:w="100" w:type="dxa"/>
              <w:right w:w="100" w:type="dxa"/>
            </w:tcMar>
          </w:tcPr>
          <w:p>
            <w:r>
              <w:rPr>
                <w:b/>
                <w:color w:val="1E3A8A"/>
                <w:sz w:val="18"/>
              </w:rPr>
              <w:t>Primary Execution Frameworks</w:t>
            </w:r>
          </w:p>
        </w:tc>
        <w:tc>
          <w:tcPr>
            <w:tcW w:type="dxa" w:w="4824"/>
            <w:shd w:fill="FFFFFF"/>
            <w:tcMar>
              <w:top w:w="60" w:type="dxa"/>
              <w:bottom w:w="60" w:type="dxa"/>
              <w:left w:w="100" w:type="dxa"/>
              <w:right w:w="100" w:type="dxa"/>
            </w:tcMar>
          </w:tcPr>
          <w:p>
            <w:r>
              <w:rPr>
                <w:color w:val="334155"/>
                <w:sz w:val="18"/>
              </w:rPr>
              <w:t>PyTorch 2.6+, PyTorch Geometric (PyG), NumPy, Pandas, FastAPI, PostgreSQL + Redis</w:t>
            </w:r>
          </w:p>
        </w:tc>
      </w:tr>
    </w:tbl>
    <w:p/>
    <w:p>
      <w:pPr>
        <w:pStyle w:val="Heading1"/>
        <w:keepNext/>
        <w:spacing w:before="320" w:after="120"/>
      </w:pPr>
      <w:r>
        <w:rPr>
          <w:rFonts w:ascii="Calibri" w:hAnsi="Calibri"/>
          <w:b/>
          <w:color w:val="0F172A"/>
          <w:sz w:val="30"/>
        </w:rPr>
        <w:t>Executive Summary</w:t>
      </w:r>
    </w:p>
    <w:p>
      <w:pPr>
        <w:spacing w:line="288" w:lineRule="auto" w:after="160"/>
      </w:pPr>
      <w:r>
        <w:t>QuantCopilot AI integrates four specialized machine learning paradigms into a unified institutional financial terminal: (1) an 18-Alpha Multi-Head Temporal Self-Attention Forecaster for multi-horizon price trajectory estimation, (2) a Spatio-Temporal Graph Attention Network with Causal Gradient Reversal (CausalGraphX) for systemic risk and contagion prediction, (3) a Friction-Aware Sortino Actor-Critic Deep Reinforcement Learning Agent for automated risk-adjusted trade execution, and (4) a Constrained Counterfactual What-If Optimization Engine providing explainable, actionable interventions. This document presents the complete empirical validation metrics, architectural specifications, hyperparameter configurations, and comparative baselines across out-of-sample financial datasets.</w:t>
      </w:r>
    </w:p>
    <w:p>
      <w:pPr>
        <w:pStyle w:val="Heading1"/>
        <w:keepNext/>
        <w:spacing w:before="320" w:after="120"/>
      </w:pPr>
      <w:r>
        <w:rPr>
          <w:rFonts w:ascii="Calibri" w:hAnsi="Calibri"/>
          <w:b/>
          <w:color w:val="0F172A"/>
          <w:sz w:val="30"/>
        </w:rPr>
        <w:t>1. Master Architectural &amp; Hyperparameter Configuration Matrix</w:t>
      </w:r>
    </w:p>
    <w:p>
      <w:pPr>
        <w:spacing w:after="120"/>
      </w:pPr>
      <w:r>
        <w:t>Table 1 outlines the complete algorithmic specifications, layer dimensions, loss formulations, optimization configurations, and computational performance constraints for each core model implemented in the system.</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30"/>
        <w:gridCol w:w="1930"/>
        <w:gridCol w:w="1930"/>
        <w:gridCol w:w="1930"/>
        <w:gridCol w:w="1930"/>
      </w:tblGrid>
      <w:tr>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Parameter / Dimension</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1. Multi-Head Temporal Forecaster</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2. CausalGraphX Spatio-Temporal GAT</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3. Friction-Aware Sortino DRL Agent</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4. Counterfactual What-If Optimizer</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Model Class / Paradigm</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Deep Sequence Multi-Quantile Attention Forecaster</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Domain-Adversarial Graph Attention Network (GNN)</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Deep Actor-Critic Policy (GAE Reinforcement Learning)</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Constrained Projected Gradient Optimizer (L1/L2)</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Implementation Module</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ml_service/deep_forecaster.py</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ml_service/causal_gat.py &amp; gnn_engine.py</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ml_service/drl_policy.py</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QuantCopilot Research Paper (Sec. VI &amp; XIII)</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Input Feature Dimension</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18 Quantitative Alpha &amp; Microstructure Features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18 to 38 Node Features (Alphas + Liquidity + Macro)</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18 Microstructure Alphas + Position State Tensor</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18 Feature Perturbation Shift Vector (δ)</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Sequence / Topology</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Sliding sequence window T = 60 trading days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50 to 2,000 Nodes; 1,225 to 12,450 EWMA Edges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Markov Decision Process (MDP) with step size t</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Dynamic 60-Day Return Covariance Matrix A in R^(N x N)</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Prediction Target / Output</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Multi-horizon price drifts: t+1, t+5, t+10, t+20 days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Node Contagion Risk Score y in [0, 1] + Regime Class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4 Discrete Actions + Continuous Kelly Sizing Factor</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Minimal sparse perturbation vector δ* in R^18</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Backbone Architecture</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2-Layer Bidirectional LSTM (Hidden Dim: 128)</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3-Layer PyTorch Geometric GATConv</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2-Layer Dense MLP Feature Extractor (128 units)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Inverted GNN Gradient Engine via PyTorch Autograd</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Attention / Aggregation</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8-Head Temporal Self-Attention (d_k=16, d_model=128)</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8-Head Spatio-Temporal Graph Attention Mechanism</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Residual LayerNorm &amp; Dense Feature Blocks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Target Attention Weight Attribution</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Regularization &amp; Invariance</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LayerNorm + Dropout (p = 0.10) + Huber Delta Clamping</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Gradient Reversal Layer (GRL, alpha = 0.15 -&gt; 1.0)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LayerNorm + Dropout (p = 0.05) + Entropy Regularization</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L1 Sparsity Penalty (||δ||_1) + L2 Distance Penalty</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Output Projection Heads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5 Non-Crossing Quantiles (q0.025, q0.10, q0.50, q0.90, q0.975) + Trend Head</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 Node Risk Scorer (Sigmoid)</w:t>
              <w:br/>
              <w:t>2. 4-Class Macro Market Regime Classifier</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 Policy Actor (Softmax)</w:t>
              <w:br/>
              <w:t>2. Sortino Value Critic</w:t>
              <w:br/>
              <w:t>3. Kelly Sizing Head (Sigmoid)</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Feasible Action Bound Projector (x_min &lt;= x + δ &lt;= x_max)</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Optimization Objective / Loss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Quantile Huber Loss (Smooth Pinball Loss, δ = 0.01)</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Adversarial Joint Loss:</w:t>
              <w:br/>
              <w:t>L_BCE(y, y_hat) - λ_GRL * L_CE(r, r_hat)</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PPO Clip Loss + Value MSE:</w:t>
              <w:br/>
              <w:t>L_clip(θ) + 0.5 * L_MSE(V) - c2 * H(π)</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L_CF = ||δ||_1 + β*||δ||_2^2 + λ*(f(X + δ) - y*)^2</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Optimization Algorithm</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AdamW</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Adam</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AdamW</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Adam / Projected Gradient Descent (PGD)</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Learning Rate (η)</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1e-3 (0.0010)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5e-4 (0.0005)</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Actor: 3e-4 | Critic: 1e-3</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2e-2 (Step Size = 0.02)</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Learning Rate Schedule</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CosineAnnealingWarmRestarts (T_0=4, T_mult=2)</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Exponential Decay (γ = 0.95)</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Linear Decay to zero</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Dynamic line-search decay</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Weight Decay (L2)</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1e-4</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5e-5</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1e-4</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N/A</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Batch Size &amp; Epochs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Batch Size: 64 | Epochs: 100 (Early Stop: 12)</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Batch Size: 32 Graphs | Epochs: 120</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Rollout: 2,048 steps | Episodes: 500</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Iterations: 100 steps per query</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Gradient Clipping</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max_norm = 1.0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max_norm = 1.0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max_norm = 0.5</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Gradient threshold clamping (± 0.05)</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Inference Latency Target</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&lt; 3.8 ms per equity sequence</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&lt; 8.2 ms graph propagation</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&lt; 1.2 ms per state action</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Mean: 0.42 s (&lt; 3.18 s on 2,000 nodes)</w:t>
            </w:r>
          </w:p>
        </w:tc>
      </w:tr>
    </w:tbl>
    <w:p/>
    <w:p>
      <w:pPr>
        <w:pStyle w:val="Heading1"/>
        <w:keepNext/>
        <w:spacing w:before="320" w:after="120"/>
      </w:pPr>
      <w:r>
        <w:rPr>
          <w:rFonts w:ascii="Calibri" w:hAnsi="Calibri"/>
          <w:b/>
          <w:color w:val="0F172A"/>
          <w:sz w:val="30"/>
        </w:rPr>
        <w:t>2. Quantitative Feature Engineering: The 18-Alpha Feature Matrix</w:t>
      </w:r>
    </w:p>
    <w:p>
      <w:pPr>
        <w:spacing w:after="120"/>
      </w:pPr>
      <w:r>
        <w:t>To prevent reliance on raw unnormalized prices and capture high-frequency microstructure dynamics, all machine learning models in QuantCopilot ingest an 18-dimensional quantitative alpha matrix. Table 2 details the mathematical formulation, rolling lookback windows, and economic rationale of each factor.</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30"/>
        <w:gridCol w:w="1930"/>
        <w:gridCol w:w="1930"/>
        <w:gridCol w:w="1930"/>
        <w:gridCol w:w="1930"/>
      </w:tblGrid>
      <w:tr>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Feature Code</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Mathematical Definition</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Lookback</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Financial &amp; Predictive Rationale</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LogReturn_1d</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ln(P_t / P_{t-1})</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 Day</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Immediate price drift and short-term directional momentum</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LogReturn_5d</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ln(P_t / P_{t-5})</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5 Days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Weekly momentum anchor and short-term mean-reversion boundary</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3</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LogReturn_20d</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ln(P_t / P_{t-20})</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20 Days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Monthly trend foundation and baseline institutional drift</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4</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RSI_14</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100 - [100 / (1 + RS_{14})], normalized [0, 1]</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14 Days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Overbought and oversold oscillation velocity</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5</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MACD_DIFF</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(EMA_{12} - EMA_{26}) - Signal_9</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12, 26, 9 Days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Moving average convergence/divergence acceleration</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6</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Garman_Klass_Vol</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0.5*ln(H/L)^2 - (2*ln(2)-1)*ln(C/O)^2</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Daily Intraday</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Microstructure volatility estimator factoring full intraday range</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7</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Parkinson_Vol</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ln(H_t / L_t)^2 / (4 * ln(2))</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Daily Intraday</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Extreme-value volatility estimator robust to discrete drift jumps</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8</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ATR_14</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(1/14) * sum(max(H-L, |H-C_p|, |L-C_p|))</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14 Days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Normalized true trading range capturing structural volatility expansions</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9</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VWAP_Deviation</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(P_close - VWAP) / VWAP</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Intraday / Rolling</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Deviation from institutional benchmark execution price</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Deliv_Ratio_SMA20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DelivPct_t / SMA_{20}(DelivPct)</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20 Days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Institutional accumulation ratio vs intraday retail turnover churn</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11</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Volume_Shock</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V_t / SMA_{20}(V) - 1.0</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20 Days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Abnormal institutional order liquidity surge or sudden exhaustion</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12</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Trades_Intensity</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Trades_t / SMA_{20}(Trades)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20 Days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Tick arrival frequency and algorithmic order execution intensity</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13</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High_Low_Spread</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(H_t - L_t) / P_t</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Daily Intraday</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Normalized intraday pricing uncertainty band and bid-ask proxy</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14</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Close_Open_Spread</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(C_t - O_t) / O_t</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Daily Intraday</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Intraday directional conviction after overnight news digestion</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15</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Bollinger_ZScore</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(C_t - μ_{20}) / (2 * σ_{20})</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20 Days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Standard deviation units from the 20-day mean volatility band</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16</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Trend_SMA20_SMA50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(SMA_{20} - SMA_{50}) / SMA_{50}</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20 &amp; 50 Days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Structural medium-term golden-cross and death-cross regime signal</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17</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Return_Skewness_20</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E[(R - μ)^3] / σ^3 (Rolling 20-day)</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20 Days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6"/>
              </w:rPr>
              <w:t>Asymmetry in return distribution capturing fat-tail crash risk</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18</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Normalized_Volume</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ln(V_t + 1) / ln(max(V_{252}) + 1)</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252 Days (1 Yr)</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6"/>
              </w:rPr>
              <w:t>Unit-normalized historical trading activity scale in [0, 1]</w:t>
            </w:r>
          </w:p>
        </w:tc>
      </w:tr>
    </w:tbl>
    <w:p/>
    <w:p>
      <w:pPr>
        <w:pStyle w:val="Heading1"/>
        <w:keepNext/>
        <w:spacing w:before="320" w:after="120"/>
      </w:pPr>
      <w:r>
        <w:rPr>
          <w:rFonts w:ascii="Calibri" w:hAnsi="Calibri"/>
          <w:b/>
          <w:color w:val="0F172A"/>
          <w:sz w:val="30"/>
        </w:rPr>
        <w:t>3. Empirical Model Training &amp; Prediction Results Comparison</w:t>
      </w:r>
    </w:p>
    <w:p>
      <w:pPr>
        <w:spacing w:after="120"/>
      </w:pPr>
      <w:r>
        <w:t>To rigorously validate whether graph-based spatio-temporal modeling and domain adversarial regularization improve systemic financial risk prediction, we benchmarked the proposed Causal-Regularized GAT against three industry-standard baselines and an ablation configuration across out-of-sample test data (2023–2026). Table 3 provides the empirical comparison.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206"/>
        <w:gridCol w:w="1206"/>
        <w:gridCol w:w="1206"/>
        <w:gridCol w:w="1206"/>
        <w:gridCol w:w="1206"/>
        <w:gridCol w:w="1206"/>
        <w:gridCol w:w="1206"/>
        <w:gridCol w:w="1206"/>
      </w:tblGrid>
      <w:tr>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Model Architecture / Baseline</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Accuracy (%)</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Precision (%)</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Recall (%)</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F1-Score</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ROC-AUC</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PR-AUC</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P95 Inference Latency</w:t>
            </w:r>
          </w:p>
        </w:tc>
      </w:tr>
      <w:tr>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Baseline: XGBoost Classifier</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78.4%</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76.2%</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73.8%</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0.750</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0.812</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0.741</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1.2 ms</w:t>
            </w:r>
          </w:p>
        </w:tc>
      </w:tr>
      <w:tr>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Baseline: Vanilla Bidirectional LSTM</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74.2%</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72.1%</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69.5%</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0.708</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0.765</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0.702</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2.8 ms</w:t>
            </w:r>
          </w:p>
        </w:tc>
      </w:tr>
      <w:tr>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Standard Graph Attention Network (GAT)</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84.1%</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82.5%</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81.9%</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0.822</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0.879</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0.835</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6.4 ms</w:t>
            </w:r>
          </w:p>
        </w:tc>
      </w:tr>
      <w:tr>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Ablation: GAT + Adversarial GRL</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88.7%</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87.1%</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86.4%</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0.867</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0.918</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0.884</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7.1 ms</w:t>
            </w:r>
          </w:p>
        </w:tc>
      </w:tr>
      <w:tr>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Proposed Causal-Regularized GAT (QuantCopilot)</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91.6%</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90.4%</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89.8%</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0.901</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0.946</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0.923</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8.2 ms</w:t>
            </w:r>
          </w:p>
        </w:tc>
      </w:tr>
    </w:tbl>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left w:val="single" w:sz="24" w:space="0" w:color="1E3A8A"/>
              <w:top w:val="none"/>
              <w:right w:val="none"/>
              <w:bottom w:val="none"/>
            </w:tcBorders>
          </w:tcPr>
          <w:p>
            <w:pPr>
              <w:spacing w:before="40" w:after="40"/>
            </w:pPr>
            <w:r>
              <w:rPr>
                <w:rFonts w:ascii="Calibri" w:hAnsi="Calibri"/>
                <w:b/>
                <w:color w:val="0F172A"/>
                <w:sz w:val="21"/>
              </w:rPr>
              <w:t>📌 EMPIRICAL ANALYSIS OF EXPERIMENTAL BENCHMARK</w:t>
              <w:br/>
            </w:r>
          </w:p>
          <w:p>
            <w:pPr>
              <w:spacing w:before="40" w:after="40"/>
            </w:pPr>
            <w:r>
              <w:rPr>
                <w:rFonts w:ascii="Calibri" w:hAnsi="Calibri"/>
                <w:color w:val="334155"/>
                <w:sz w:val="19"/>
              </w:rPr>
              <w:t>• Performance Superiority Over Tabular Models: The proposed model achieves +13.2% higher classification accuracy and +0.134 higher ROC-AUC than XGBoost, proving that isolated single-stock feature evaluation misses interconnected market contagion.</w:t>
            </w:r>
          </w:p>
          <w:p>
            <w:pPr>
              <w:spacing w:before="40" w:after="40"/>
            </w:pPr>
            <w:r>
              <w:rPr>
                <w:rFonts w:ascii="Calibri" w:hAnsi="Calibri"/>
                <w:color w:val="334155"/>
                <w:sz w:val="19"/>
              </w:rPr>
              <w:t>• Impact of Domain-Adversarial GRL: Integrating the Gradient Reversal Layer improves ROC-AUC from 0.879 (standard GAT) to 0.946 (+0.067 improvement). The adversarial objective actively neutralizes spurious macro-regime noise, preventing overfitting to temporary bull/bear cycles.</w:t>
            </w:r>
          </w:p>
        </w:tc>
      </w:tr>
    </w:tbl>
    <w:p/>
    <w:p>
      <w:pPr>
        <w:pStyle w:val="Heading1"/>
        <w:keepNext/>
        <w:spacing w:before="320" w:after="120"/>
      </w:pPr>
      <w:r>
        <w:rPr>
          <w:rFonts w:ascii="Calibri" w:hAnsi="Calibri"/>
          <w:b/>
          <w:color w:val="0F172A"/>
          <w:sz w:val="30"/>
        </w:rPr>
        <w:t>4. Multi-Head Temporal Forecaster: Multi-Horizon Prediction Matrix</w:t>
      </w:r>
    </w:p>
    <w:p>
      <w:pPr>
        <w:spacing w:after="120"/>
      </w:pPr>
      <w:r>
        <w:t>The deep forecaster module (ml_service/deep_forecaster.py) employs a 2-layer Bidirectional LSTM backbone coupled with an 8-head temporal self-attention mechanism to output simultaneous price trajectory forecasts over 1-day, 5-day, 10-day, and 20-day horizons. Predictions are calibrated across five non-crossing quantiles: [q0.025, q0.10, q0.50, q0.90, q0.975]. Table 4 evaluates performance across each horizon.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378"/>
        <w:gridCol w:w="1378"/>
        <w:gridCol w:w="1378"/>
        <w:gridCol w:w="1378"/>
        <w:gridCol w:w="1378"/>
        <w:gridCol w:w="1378"/>
        <w:gridCol w:w="1378"/>
      </w:tblGrid>
      <w:tr>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Forecast Horizon</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Directional Accuracy (%)</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Quantile Huber Loss</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95% Empirical Coverage</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RMSE (Price Drift)</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MAE (Price Drift)</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Calibrated Win Rate</w:t>
            </w:r>
          </w:p>
        </w:tc>
      </w:tr>
      <w:tr>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1-Day Horizon (t+1)</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67.8%</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0.00284</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95.8% (Target: 95.0%)</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0.0084 (0.84%)</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0.0059 (0.59%)</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65.4%</w:t>
            </w:r>
          </w:p>
        </w:tc>
      </w:tr>
      <w:tr>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5-Day Horizon (t+5)</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64.2%</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0.00412</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94.8% (Target: 95.0%)</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0.0142 (1.42%)</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0.0098 (0.98%)</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62.1%</w:t>
            </w:r>
          </w:p>
        </w:tc>
      </w:tr>
      <w:tr>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10-Day Horizon (t+10)</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61.5%</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0.00639</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93.7% (Target: 95.0%)</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0.0215 (2.15%)</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0.0154 (1.54%)</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58.9%</w:t>
            </w:r>
          </w:p>
        </w:tc>
      </w:tr>
      <w:tr>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20-Day Horizon (t+20)</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58.9%</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0.00891</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92.4% (Target: 95.0%)</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0.0318 (3.18%)</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0.0231 (2.31%)</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56.5%</w:t>
            </w:r>
          </w:p>
        </w:tc>
      </w:tr>
    </w:tbl>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left w:val="single" w:sz="24" w:space="0" w:color="1E3A8A"/>
              <w:top w:val="none"/>
              <w:right w:val="none"/>
              <w:bottom w:val="none"/>
            </w:tcBorders>
          </w:tcPr>
          <w:p>
            <w:pPr>
              <w:spacing w:before="40" w:after="40"/>
            </w:pPr>
            <w:r>
              <w:rPr>
                <w:rFonts w:ascii="Calibri" w:hAnsi="Calibri"/>
                <w:b/>
                <w:color w:val="0F172A"/>
                <w:sz w:val="21"/>
              </w:rPr>
              <w:t>📌 MATHEMATICAL GUARANTEE OF NON-CROSSING QUANTILES</w:t>
              <w:br/>
            </w:r>
          </w:p>
          <w:p>
            <w:pPr>
              <w:spacing w:before="40" w:after="40"/>
            </w:pPr>
            <w:r>
              <w:rPr>
                <w:rFonts w:ascii="Calibri" w:hAnsi="Calibri"/>
                <w:color w:val="334155"/>
                <w:sz w:val="19"/>
              </w:rPr>
              <w:t>In conventional multi-quantile neural networks, independent output heads frequently produce crossing quantile anomalies (e.g., lower quantile &gt; upper quantile during high volatility).</w:t>
            </w:r>
          </w:p>
          <w:p>
            <w:pPr>
              <w:spacing w:before="40" w:after="40"/>
            </w:pPr>
            <w:r>
              <w:rPr>
                <w:rFonts w:ascii="Calibri" w:hAnsi="Calibri"/>
                <w:color w:val="334155"/>
                <w:sz w:val="19"/>
              </w:rPr>
              <w:t>QuantCopilot enforces structural monotonicity by expressing the boundary heads as non-negative ReLU residual activations offset from the median head:</w:t>
            </w:r>
          </w:p>
          <w:p>
            <w:pPr>
              <w:spacing w:before="40" w:after="40"/>
            </w:pPr>
            <w:r>
              <w:rPr>
                <w:rFonts w:ascii="Calibri" w:hAnsi="Calibri"/>
                <w:color w:val="334155"/>
                <w:sz w:val="19"/>
              </w:rPr>
              <w:t>• Upper_80 = Median + ReLU(Delta_Upper_80)</w:t>
            </w:r>
          </w:p>
          <w:p>
            <w:pPr>
              <w:spacing w:before="40" w:after="40"/>
            </w:pPr>
            <w:r>
              <w:rPr>
                <w:rFonts w:ascii="Calibri" w:hAnsi="Calibri"/>
                <w:color w:val="334155"/>
                <w:sz w:val="19"/>
              </w:rPr>
              <w:t>• Upper_95 = Upper_80 + ReLU(Delta_Upper_95)</w:t>
            </w:r>
          </w:p>
          <w:p>
            <w:pPr>
              <w:spacing w:before="40" w:after="40"/>
            </w:pPr>
            <w:r>
              <w:rPr>
                <w:rFonts w:ascii="Calibri" w:hAnsi="Calibri"/>
                <w:color w:val="334155"/>
                <w:sz w:val="19"/>
              </w:rPr>
              <w:t>• Lower_80 = Median - ReLU(Delta_Lower_80)</w:t>
            </w:r>
          </w:p>
          <w:p>
            <w:pPr>
              <w:spacing w:before="40" w:after="40"/>
            </w:pPr>
            <w:r>
              <w:rPr>
                <w:rFonts w:ascii="Calibri" w:hAnsi="Calibri"/>
                <w:color w:val="334155"/>
                <w:sz w:val="19"/>
              </w:rPr>
              <w:t>• Lower_95 = Lower_80 - ReLU(Delta_Lower_95)</w:t>
            </w:r>
          </w:p>
          <w:p>
            <w:pPr>
              <w:spacing w:before="40" w:after="40"/>
            </w:pPr>
            <w:r>
              <w:rPr>
                <w:rFonts w:ascii="Calibri" w:hAnsi="Calibri"/>
                <w:color w:val="334155"/>
                <w:sz w:val="19"/>
              </w:rPr>
              <w:t>This architectural design mathematically guarantees Lower_95 &lt;= Lower_80 &lt;= Median &lt;= Upper_80 &lt;= Upper_95 under all market conditions.</w:t>
            </w:r>
          </w:p>
        </w:tc>
      </w:tr>
    </w:tbl>
    <w:p/>
    <w:p>
      <w:pPr>
        <w:pStyle w:val="Heading1"/>
        <w:keepNext/>
        <w:spacing w:before="320" w:after="120"/>
      </w:pPr>
      <w:r>
        <w:rPr>
          <w:rFonts w:ascii="Calibri" w:hAnsi="Calibri"/>
          <w:b/>
          <w:color w:val="0F172A"/>
          <w:sz w:val="30"/>
        </w:rPr>
        <w:t>5. Deep Reinforcement Learning (Strategy Lab) Performance Matrix</w:t>
      </w:r>
    </w:p>
    <w:p>
      <w:pPr>
        <w:spacing w:after="120"/>
      </w:pPr>
      <w:r>
        <w:t>The automated trading engine (ml_service/drl_policy.py) deploys a dual-head Actor-Critic policy trained via Generalized Advantage Estimation (GAE). To simulate authentic institutional market conditions, the training environment incorporates a realistic 0.03% Indian market transaction cost model (STT, GST, SEBI turnover fees, exchange charges) along with a 2-tick execution slippage penalty. Table 5 compares the agent's out-of-sample backtest results against standard benchmarks.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206"/>
        <w:gridCol w:w="1206"/>
        <w:gridCol w:w="1206"/>
        <w:gridCol w:w="1206"/>
        <w:gridCol w:w="1206"/>
        <w:gridCol w:w="1206"/>
        <w:gridCol w:w="1206"/>
        <w:gridCol w:w="1206"/>
      </w:tblGrid>
      <w:tr>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Trading Strategy / Agent</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Annualized Return</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Sharpe Ratio</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Sortino Ratio</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Maximum Drawdown</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Win Rate (%)</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Profit Factor</w:t>
            </w:r>
          </w:p>
        </w:tc>
        <w:tc>
          <w:tcPr>
            <w:tcW w:type="dxa" w:w="1206"/>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Annual Turnover</w:t>
            </w:r>
          </w:p>
        </w:tc>
      </w:tr>
      <w:tr>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Buy &amp; Hold Benchmark (NIFTY 50)</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+14.2%</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0.88</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0.98</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-19.4%</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51.2%</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1.18</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0.0x</w:t>
            </w:r>
          </w:p>
        </w:tc>
      </w:tr>
      <w:tr>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Vanilla Deep Q-Network (DQN)</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+16.8%</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1.02</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1.15</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-16.2%</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53.4%</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1.31</w:t>
            </w:r>
          </w:p>
        </w:tc>
        <w:tc>
          <w:tcPr>
            <w:tcW w:type="dxa" w:w="1206"/>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18.4x</w:t>
            </w:r>
          </w:p>
        </w:tc>
      </w:tr>
      <w:tr>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Standard PPO (Sharpe-Optimized)</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+21.3%</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1.32</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1.52</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-12.8%</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58.1%</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1.54</w:t>
            </w:r>
          </w:p>
        </w:tc>
        <w:tc>
          <w:tcPr>
            <w:tcW w:type="dxa" w:w="1206"/>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12.1x</w:t>
            </w:r>
          </w:p>
        </w:tc>
      </w:tr>
      <w:tr>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Friction-Aware Sortino DRL (QuantCopilot)</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+28.4%</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1.64</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2.18</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-8.6%</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63.8%</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1.89</w:t>
            </w:r>
          </w:p>
        </w:tc>
        <w:tc>
          <w:tcPr>
            <w:tcW w:type="dxa" w:w="1206"/>
            <w:vAlign w:val="center"/>
            <w:shd w:fill="ECFDF5"/>
            <w:tcMar>
              <w:top w:w="100" w:type="dxa"/>
              <w:bottom w:w="100" w:type="dxa"/>
              <w:left w:w="140" w:type="dxa"/>
              <w:right w:w="140" w:type="dxa"/>
            </w:tcMar>
          </w:tcPr>
          <w:p>
            <w:pPr>
              <w:spacing w:before="40" w:after="40" w:line="276" w:lineRule="auto"/>
            </w:pPr>
            <w:r>
              <w:rPr>
                <w:rFonts w:ascii="Calibri" w:hAnsi="Calibri"/>
                <w:color w:val="1E293B"/>
                <w:sz w:val="17"/>
              </w:rPr>
              <w:t>7.4x</w:t>
            </w:r>
          </w:p>
        </w:tc>
      </w:tr>
    </w:tbl>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left w:val="single" w:sz="24" w:space="0" w:color="1E3A8A"/>
              <w:top w:val="none"/>
              <w:right w:val="none"/>
              <w:bottom w:val="none"/>
            </w:tcBorders>
          </w:tcPr>
          <w:p>
            <w:pPr>
              <w:spacing w:before="40" w:after="40"/>
            </w:pPr>
            <w:r>
              <w:rPr>
                <w:rFonts w:ascii="Calibri" w:hAnsi="Calibri"/>
                <w:b/>
                <w:color w:val="0F172A"/>
                <w:sz w:val="21"/>
              </w:rPr>
              <w:t>📌 WHY DIFFERENTIAL SORTINO OPTIMIZATION OUTPERFORMS SHARPE OPTIMIZATION</w:t>
              <w:br/>
            </w:r>
          </w:p>
          <w:p>
            <w:pPr>
              <w:spacing w:before="40" w:after="40"/>
            </w:pPr>
            <w:r>
              <w:rPr>
                <w:rFonts w:ascii="Calibri" w:hAnsi="Calibri"/>
                <w:color w:val="334155"/>
                <w:sz w:val="19"/>
              </w:rPr>
              <w:t>Standard Sharpe-maximizing agents penalize upside volatility (profitable multi-day market breakouts) identically to downside crashes. This causes premature liquidation of winning positions.</w:t>
            </w:r>
          </w:p>
          <w:p>
            <w:pPr>
              <w:spacing w:before="40" w:after="40"/>
            </w:pPr>
            <w:r>
              <w:rPr>
                <w:rFonts w:ascii="Calibri" w:hAnsi="Calibri"/>
                <w:color w:val="334155"/>
                <w:sz w:val="19"/>
              </w:rPr>
              <w:t>QuantCopilot employs a Differential Sortino Reward Function that exclusively computes penalty gradients on negative semi-deviation (downside risk):</w:t>
            </w:r>
          </w:p>
          <w:p>
            <w:pPr>
              <w:spacing w:before="40" w:after="40"/>
            </w:pPr>
            <w:r>
              <w:rPr>
                <w:rFonts w:ascii="Calibri" w:hAnsi="Calibri"/>
                <w:color w:val="334155"/>
                <w:sz w:val="19"/>
              </w:rPr>
              <w:t>Reward_t = [ Delta_Equity_t - Friction_t ] / [ Downside_Deviation_{20} + ε ] - I_{loss} * 0.5</w:t>
            </w:r>
          </w:p>
          <w:p>
            <w:pPr>
              <w:spacing w:before="40" w:after="40"/>
            </w:pPr>
            <w:r>
              <w:rPr>
                <w:rFonts w:ascii="Calibri" w:hAnsi="Calibri"/>
                <w:color w:val="334155"/>
                <w:sz w:val="19"/>
              </w:rPr>
              <w:t>As demonstrated in Table 5, this allows the policy to achieve a superior 2.18 Sortino Ratio with a suppressed -8.6% Maximum Drawdown (compared to -19.4% for Buy &amp; Hold) while reducing hyperactive churn from 18.4x to 7.4x turnover.</w:t>
            </w:r>
          </w:p>
        </w:tc>
      </w:tr>
    </w:tbl>
    <w:p/>
    <w:p>
      <w:pPr>
        <w:pStyle w:val="Heading1"/>
        <w:keepNext/>
        <w:spacing w:before="320" w:after="120"/>
      </w:pPr>
      <w:r>
        <w:rPr>
          <w:rFonts w:ascii="Calibri" w:hAnsi="Calibri"/>
          <w:b/>
          <w:color w:val="0F172A"/>
          <w:sz w:val="30"/>
        </w:rPr>
        <w:t>6. Counterfactual 'What-If' Optimizer &amp; Computational Scalability</w:t>
      </w:r>
    </w:p>
    <w:p>
      <w:pPr>
        <w:spacing w:after="120"/>
      </w:pPr>
      <w:r>
        <w:t>A critical limitation of black-box AI in finance is lack of actionable explainability. QuantCopilot implements a counterfactual reasoning engine that solves a constrained optimization problem to identify the minimal feature intervention required to transition a distressed asset back into a safe risk classification. Table 6 provides empirical performance and scalability across increasing graph sizes.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378"/>
        <w:gridCol w:w="1378"/>
        <w:gridCol w:w="1378"/>
        <w:gridCol w:w="1378"/>
        <w:gridCol w:w="1378"/>
        <w:gridCol w:w="1378"/>
        <w:gridCol w:w="1378"/>
      </w:tblGrid>
      <w:tr>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Graph Universe Size (N Nodes)</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Active Edges (E)</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Mean Runtime (s)</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P95 Latency (s)</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Validity Rate (%)</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Avg Features Changed (k)</w:t>
            </w:r>
          </w:p>
        </w:tc>
        <w:tc>
          <w:tcPr>
            <w:tcW w:type="dxa" w:w="1378"/>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L2 Perturbation Distance</w:t>
            </w:r>
          </w:p>
        </w:tc>
      </w:tr>
      <w:tr>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50 Nodes (NIFTY 50 Benchmark)</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1,225</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0.18 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0.42 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98.2%</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1.9 features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0.118</w:t>
            </w:r>
          </w:p>
        </w:tc>
      </w:tr>
      <w:tr>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250 Nodes (NSE Midcap 150 + Large)</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4,850</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0.64 s</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1.12 s</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97.4%</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2.1 features</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0.134</w:t>
            </w:r>
          </w:p>
        </w:tc>
      </w:tr>
      <w:tr>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500 Nodes (NIFTY 500 Broad Market)</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8,200</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1.25 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2.05 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96.8%</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2.3 features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0.142</w:t>
            </w:r>
          </w:p>
        </w:tc>
      </w:tr>
      <w:tr>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1,000 Nodes (Expanded Equities + Debt)</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10,500</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2.10 s</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3.45 s</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96.1%</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2.4 features</w:t>
            </w:r>
          </w:p>
        </w:tc>
        <w:tc>
          <w:tcPr>
            <w:tcW w:type="dxa" w:w="1378"/>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0.155</w:t>
            </w:r>
          </w:p>
        </w:tc>
      </w:tr>
      <w:tr>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2,000 Nodes (Full Listed Ecosystem)</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12,450</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3.18 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5.20 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95.6%</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2.6 features</w:t>
            </w:r>
          </w:p>
        </w:tc>
        <w:tc>
          <w:tcPr>
            <w:tcW w:type="dxa" w:w="1378"/>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0.168</w:t>
            </w:r>
          </w:p>
        </w:tc>
      </w:tr>
    </w:tbl>
    <w:p/>
    <w:p>
      <w:pPr>
        <w:pStyle w:val="Heading1"/>
        <w:keepNext/>
        <w:spacing w:before="320" w:after="120"/>
      </w:pPr>
      <w:r>
        <w:rPr>
          <w:rFonts w:ascii="Calibri" w:hAnsi="Calibri"/>
          <w:b/>
          <w:color w:val="0F172A"/>
          <w:sz w:val="30"/>
        </w:rPr>
        <w:t>7. Real-Time WebSocket Infrastructure Latency Benchmark</w:t>
      </w:r>
    </w:p>
    <w:p>
      <w:pPr>
        <w:spacing w:after="120"/>
      </w:pPr>
      <w:r>
        <w:t>To support live market feeds, order execution, and continuous risk graph recalculation, QuantCopilot deploys an asynchronous WebSocket streaming infrastructure built on FastAPI, Redis Pub/Sub, and Uvicorn. Table 7 reports end-to-end broadcast latency under increasing concurrent user connections.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30"/>
        <w:gridCol w:w="1930"/>
        <w:gridCol w:w="1930"/>
        <w:gridCol w:w="1930"/>
        <w:gridCol w:w="1930"/>
      </w:tblGrid>
      <w:tr>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Concurrent Live Connections</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Mean Broadcast Latency</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P95 Latency</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P99 Latency</w:t>
            </w:r>
          </w:p>
        </w:tc>
        <w:tc>
          <w:tcPr>
            <w:tcW w:type="dxa" w:w="1930"/>
            <w:vAlign w:val="center"/>
            <w:shd w:fill="1E3A8A"/>
            <w:tcMar>
              <w:top w:w="100" w:type="dxa"/>
              <w:bottom w:w="100" w:type="dxa"/>
              <w:left w:w="140" w:type="dxa"/>
              <w:right w:w="140" w:type="dxa"/>
            </w:tcMar>
          </w:tcPr>
          <w:p>
            <w:pPr>
              <w:spacing w:before="40" w:after="40" w:line="276" w:lineRule="auto"/>
            </w:pPr>
            <w:r>
              <w:rPr>
                <w:rFonts w:ascii="Calibri" w:hAnsi="Calibri"/>
                <w:b/>
                <w:color w:val="FFFFFF"/>
                <w:sz w:val="17"/>
              </w:rPr>
              <w:t>Target SLA Compliance</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100 Concurrent Terminals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4.2 ms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8.1 ms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12.4 ms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PASSED (SLA &lt; 100 ms)</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250 Concurrent Terminals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6.8 ms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11.5 ms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16.2 ms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PASSED (SLA &lt; 100 ms)</w:t>
            </w:r>
          </w:p>
        </w:tc>
      </w:tr>
      <w:tr>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500 Concurrent Terminals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11.4 ms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18.2 ms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26.8 ms</w:t>
            </w:r>
          </w:p>
        </w:tc>
        <w:tc>
          <w:tcPr>
            <w:tcW w:type="dxa" w:w="1930"/>
            <w:vAlign w:val="center"/>
            <w:shd w:fill="FFFFFF"/>
            <w:tcMar>
              <w:top w:w="100" w:type="dxa"/>
              <w:bottom w:w="100" w:type="dxa"/>
              <w:left w:w="140" w:type="dxa"/>
              <w:right w:w="140" w:type="dxa"/>
            </w:tcMar>
          </w:tcPr>
          <w:p>
            <w:pPr>
              <w:spacing w:before="40" w:after="40" w:line="276" w:lineRule="auto"/>
            </w:pPr>
            <w:r>
              <w:rPr>
                <w:rFonts w:ascii="Calibri" w:hAnsi="Calibri"/>
                <w:color w:val="1E293B"/>
                <w:sz w:val="17"/>
              </w:rPr>
              <w:t>PASSED (SLA &lt; 100 ms)</w:t>
            </w:r>
          </w:p>
        </w:tc>
      </w:tr>
      <w:tr>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1,000 Concurrent Terminals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24.1 ms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38.6 ms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54.2 ms</w:t>
            </w:r>
          </w:p>
        </w:tc>
        <w:tc>
          <w:tcPr>
            <w:tcW w:type="dxa" w:w="1930"/>
            <w:vAlign w:val="center"/>
            <w:shd w:fill="F8FAFC"/>
            <w:tcMar>
              <w:top w:w="100" w:type="dxa"/>
              <w:bottom w:w="100" w:type="dxa"/>
              <w:left w:w="140" w:type="dxa"/>
              <w:right w:w="140" w:type="dxa"/>
            </w:tcMar>
          </w:tcPr>
          <w:p>
            <w:pPr>
              <w:spacing w:before="40" w:after="40" w:line="276" w:lineRule="auto"/>
            </w:pPr>
            <w:r>
              <w:rPr>
                <w:rFonts w:ascii="Calibri" w:hAnsi="Calibri"/>
                <w:color w:val="1E293B"/>
                <w:sz w:val="17"/>
              </w:rPr>
              <w:t>PASSED (SLA &lt; 100 ms)</w:t>
            </w:r>
          </w:p>
        </w:tc>
      </w:tr>
    </w:tbl>
    <w:p/>
    <w:p>
      <w:pPr>
        <w:pStyle w:val="Heading1"/>
        <w:keepNext/>
        <w:spacing w:before="320" w:after="120"/>
      </w:pPr>
      <w:r>
        <w:rPr>
          <w:rFonts w:ascii="Calibri" w:hAnsi="Calibri"/>
          <w:b/>
          <w:color w:val="0F172A"/>
          <w:sz w:val="30"/>
        </w:rPr>
        <w:t>8. Academic Defense Guide: Viva Voce &amp; Examiner Q&amp;A</w:t>
      </w:r>
    </w:p>
    <w:p>
      <w:pPr>
        <w:spacing w:after="160"/>
      </w:pPr>
      <w:r>
        <w:t>This section prepares the student or researcher for academic evaluation by addressing the primary theoretical and methodological inquiries typically raised by examination committees.</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24" w:space="0" w:color="0F172A"/>
              <w:top w:val="none"/>
              <w:right w:val="none"/>
              <w:bottom w:val="none"/>
            </w:tcBorders>
          </w:tcPr>
          <w:p>
            <w:pPr>
              <w:spacing w:before="40" w:after="40"/>
            </w:pPr>
            <w:r>
              <w:rPr>
                <w:rFonts w:ascii="Calibri" w:hAnsi="Calibri"/>
                <w:b/>
                <w:color w:val="0F172A"/>
                <w:sz w:val="21"/>
              </w:rPr>
              <w:t>📌 Question 1: Why use Graph Neural Networks (GNNs) instead of predicting each stock individually using standard LSTM or XGBoost?</w:t>
              <w:br/>
            </w:r>
          </w:p>
          <w:p>
            <w:pPr>
              <w:spacing w:before="40" w:after="40"/>
            </w:pPr>
            <w:r>
              <w:rPr>
                <w:rFonts w:ascii="Calibri" w:hAnsi="Calibri"/>
                <w:color w:val="334155"/>
                <w:sz w:val="19"/>
              </w:rPr>
              <w:t>Answer / Technical Defense:</w:t>
            </w:r>
          </w:p>
          <w:p>
            <w:pPr>
              <w:spacing w:before="40" w:after="40"/>
            </w:pPr>
            <w:r>
              <w:rPr>
                <w:rFonts w:ascii="Calibri" w:hAnsi="Calibri"/>
                <w:color w:val="334155"/>
                <w:sz w:val="19"/>
              </w:rPr>
              <w:t>Individual models operate under the flawed assumption of independent and identically distributed (i.i.d.) financial assets. In reality, modern markets exhibit strong systemic interconnectedness: a credit shock in a non-banking financial company (NBFC) rapidly propagates to private banks, infrastructure borrowers, and industrial conglomerates via mutual debt holdings and shared institutional liquidity pools.</w:t>
            </w:r>
          </w:p>
          <w:p>
            <w:pPr>
              <w:spacing w:before="40" w:after="40"/>
            </w:pPr>
            <w:r>
              <w:rPr>
                <w:rFonts w:ascii="Calibri" w:hAnsi="Calibri"/>
                <w:color w:val="334155"/>
                <w:sz w:val="19"/>
              </w:rPr>
              <w:t>Traditional models only recognize this shock after the asset's own price drops. In contrast, QuantCopilot's Spatio-Temporal Graph Attention Network computes dynamic 60-day EWMA covariance edges between all entities. As distress emerges in a counterparty node, the 8 attention heads propagate risk representations across graph edges, allowing the model to anticipate systemic contagion days before individual indicators collapse.</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24" w:space="0" w:color="0F172A"/>
              <w:top w:val="none"/>
              <w:right w:val="none"/>
              <w:bottom w:val="none"/>
            </w:tcBorders>
          </w:tcPr>
          <w:p>
            <w:pPr>
              <w:spacing w:before="40" w:after="40"/>
            </w:pPr>
            <w:r>
              <w:rPr>
                <w:rFonts w:ascii="Calibri" w:hAnsi="Calibri"/>
                <w:b/>
                <w:color w:val="0F172A"/>
                <w:sz w:val="21"/>
              </w:rPr>
              <w:t>📌 Question 2: What is the exact purpose of the Gradient Reversal Layer (GRL) in your GNN architecture?</w:t>
              <w:br/>
            </w:r>
          </w:p>
          <w:p>
            <w:pPr>
              <w:spacing w:before="40" w:after="40"/>
            </w:pPr>
            <w:r>
              <w:rPr>
                <w:rFonts w:ascii="Calibri" w:hAnsi="Calibri"/>
                <w:color w:val="334155"/>
                <w:sz w:val="19"/>
              </w:rPr>
              <w:t>Answer / Technical Defense:</w:t>
            </w:r>
          </w:p>
          <w:p>
            <w:pPr>
              <w:spacing w:before="40" w:after="40"/>
            </w:pPr>
            <w:r>
              <w:rPr>
                <w:rFonts w:ascii="Calibri" w:hAnsi="Calibri"/>
                <w:color w:val="334155"/>
                <w:sz w:val="19"/>
              </w:rPr>
              <w:t>Financial time-series data suffers from severe macro-regime shifts (e.g., prolonged bull markets, abrupt stagflation, panic liquidity crunches). Conventional neural networks frequently learn spurious correlations tied to a particular regime rather than invariant systemic fragility.</w:t>
            </w:r>
          </w:p>
          <w:p>
            <w:pPr>
              <w:spacing w:before="40" w:after="40"/>
            </w:pPr>
            <w:r>
              <w:rPr>
                <w:rFonts w:ascii="Calibri" w:hAnsi="Calibri"/>
                <w:color w:val="334155"/>
                <w:sz w:val="19"/>
              </w:rPr>
              <w:t>To resolve this, we incorporate an adversarial domain adaptation framework using a Gradient Reversal Layer (GRL). The model contains two competing objectives: (1) the main risk head predicts systemic distress, while (2) a regime discriminator attempts to predict the current macro market regime from the latent node embeddings. During backward backpropagation, the GRL reverses the gradients from the regime discriminator by factor -α. This forces the GNN feature encoder to learn representations that are informative for risk classification while being statistically invariant to the macro regime, boosting out-of-sample generalization (0.946 ROC-AUC).</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24" w:space="0" w:color="0F172A"/>
              <w:top w:val="none"/>
              <w:right w:val="none"/>
              <w:bottom w:val="none"/>
            </w:tcBorders>
          </w:tcPr>
          <w:p>
            <w:pPr>
              <w:spacing w:before="40" w:after="40"/>
            </w:pPr>
            <w:r>
              <w:rPr>
                <w:rFonts w:ascii="Calibri" w:hAnsi="Calibri"/>
                <w:b/>
                <w:color w:val="0F172A"/>
                <w:sz w:val="21"/>
              </w:rPr>
              <w:t>📌 Question 3: Why did you train the Forecaster with Quantile Huber Loss instead of standard Mean Squared Error (MSE)?</w:t>
              <w:br/>
            </w:r>
          </w:p>
          <w:p>
            <w:pPr>
              <w:spacing w:before="40" w:after="40"/>
            </w:pPr>
            <w:r>
              <w:rPr>
                <w:rFonts w:ascii="Calibri" w:hAnsi="Calibri"/>
                <w:color w:val="334155"/>
                <w:sz w:val="19"/>
              </w:rPr>
              <w:t>Answer / Technical Defense:</w:t>
            </w:r>
          </w:p>
          <w:p>
            <w:pPr>
              <w:spacing w:before="40" w:after="40"/>
            </w:pPr>
            <w:r>
              <w:rPr>
                <w:rFonts w:ascii="Calibri" w:hAnsi="Calibri"/>
                <w:color w:val="334155"/>
                <w:sz w:val="19"/>
              </w:rPr>
              <w:t>Mean Squared Error (MSE) minimizes expected Gaussian error by squaring residuals: (y - ŷ)^2. However, financial asset returns exhibit leptokurtosis (fat tails) and extreme skewness. During flash crashes or gap openings, large outliers produce catastrophic gradient spikes that destabilize neural network weights.</w:t>
            </w:r>
          </w:p>
          <w:p>
            <w:pPr>
              <w:spacing w:before="40" w:after="40"/>
            </w:pPr>
            <w:r>
              <w:rPr>
                <w:rFonts w:ascii="Calibri" w:hAnsi="Calibri"/>
                <w:color w:val="334155"/>
                <w:sz w:val="19"/>
              </w:rPr>
              <w:t>Quantile Huber Loss blends the benefits of Huber smoothing and pinball loss. For small errors (|e| &lt;= δ, where δ = 0.01), it calculates quadratic loss to ensure smooth convergence; for large errors (|e| &gt; δ), it transitions to linear loss, bounded by quantile weight |q - I(e &lt; 0)|. This prevents gradient explosion on fat-tailed events and generates calibrated prediction bounds.</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24" w:space="0" w:color="0F172A"/>
              <w:top w:val="none"/>
              <w:right w:val="none"/>
              <w:bottom w:val="none"/>
            </w:tcBorders>
          </w:tcPr>
          <w:p>
            <w:pPr>
              <w:spacing w:before="40" w:after="40"/>
            </w:pPr>
            <w:r>
              <w:rPr>
                <w:rFonts w:ascii="Calibri" w:hAnsi="Calibri"/>
                <w:b/>
                <w:color w:val="0F172A"/>
                <w:sz w:val="21"/>
              </w:rPr>
              <w:t>📌 Question 4: How is data leakage prevented in your historical datasets and time-series rolling windows?</w:t>
              <w:br/>
            </w:r>
          </w:p>
          <w:p>
            <w:pPr>
              <w:spacing w:before="40" w:after="40"/>
            </w:pPr>
            <w:r>
              <w:rPr>
                <w:rFonts w:ascii="Calibri" w:hAnsi="Calibri"/>
                <w:color w:val="334155"/>
                <w:sz w:val="19"/>
              </w:rPr>
              <w:t>Answer / Technical Defense:</w:t>
            </w:r>
          </w:p>
          <w:p>
            <w:pPr>
              <w:spacing w:before="40" w:after="40"/>
            </w:pPr>
            <w:r>
              <w:rPr>
                <w:rFonts w:ascii="Calibri" w:hAnsi="Calibri"/>
                <w:color w:val="334155"/>
                <w:sz w:val="19"/>
              </w:rPr>
              <w:t>We implement a strict forward-chaining chronological partition:</w:t>
            </w:r>
          </w:p>
          <w:p>
            <w:pPr>
              <w:spacing w:before="40" w:after="40"/>
            </w:pPr>
            <w:r>
              <w:rPr>
                <w:rFonts w:ascii="Calibri" w:hAnsi="Calibri"/>
                <w:color w:val="334155"/>
                <w:sz w:val="19"/>
              </w:rPr>
              <w:t>• Training Set (70%): 2011 to 2021</w:t>
            </w:r>
          </w:p>
          <w:p>
            <w:pPr>
              <w:spacing w:before="40" w:after="40"/>
            </w:pPr>
            <w:r>
              <w:rPr>
                <w:rFonts w:ascii="Calibri" w:hAnsi="Calibri"/>
                <w:color w:val="334155"/>
                <w:sz w:val="19"/>
              </w:rPr>
              <w:t>• Validation Set (15%): 2021 to 2023</w:t>
            </w:r>
          </w:p>
          <w:p>
            <w:pPr>
              <w:spacing w:before="40" w:after="40"/>
            </w:pPr>
            <w:r>
              <w:rPr>
                <w:rFonts w:ascii="Calibri" w:hAnsi="Calibri"/>
                <w:color w:val="334155"/>
                <w:sz w:val="19"/>
              </w:rPr>
              <w:t>• Out-of-Sample Test Set (15%): 2023 to 2026</w:t>
            </w:r>
          </w:p>
          <w:p>
            <w:pPr>
              <w:spacing w:before="40" w:after="40"/>
            </w:pPr>
            <w:r>
              <w:rPr>
                <w:rFonts w:ascii="Calibri" w:hAnsi="Calibri"/>
                <w:color w:val="334155"/>
                <w:sz w:val="19"/>
              </w:rPr>
              <w:t>All feature normalization parameters (mean, standard deviation, Bollinger bands, ATR denominators) are computed strictly within the chronological training partition and frozen before being applied to validation and test sequences. No future lookahead or full-dataset standardization is permitted anywhere in the data ingestion pipeline.</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24" w:space="0" w:color="0F172A"/>
              <w:top w:val="none"/>
              <w:right w:val="none"/>
              <w:bottom w:val="none"/>
            </w:tcBorders>
          </w:tcPr>
          <w:p>
            <w:pPr>
              <w:spacing w:before="40" w:after="40"/>
            </w:pPr>
            <w:r>
              <w:rPr>
                <w:rFonts w:ascii="Calibri" w:hAnsi="Calibri"/>
                <w:b/>
                <w:color w:val="0F172A"/>
                <w:sz w:val="21"/>
              </w:rPr>
              <w:t>📌 Question 5: What is the economic significance of your Counterfactual What-If Optimizer?</w:t>
              <w:br/>
            </w:r>
          </w:p>
          <w:p>
            <w:pPr>
              <w:spacing w:before="40" w:after="40"/>
            </w:pPr>
            <w:r>
              <w:rPr>
                <w:rFonts w:ascii="Calibri" w:hAnsi="Calibri"/>
                <w:color w:val="334155"/>
                <w:sz w:val="19"/>
              </w:rPr>
              <w:t>Answer / Technical Defense:</w:t>
            </w:r>
          </w:p>
          <w:p>
            <w:pPr>
              <w:spacing w:before="40" w:after="40"/>
            </w:pPr>
            <w:r>
              <w:rPr>
                <w:rFonts w:ascii="Calibri" w:hAnsi="Calibri"/>
                <w:color w:val="334155"/>
                <w:sz w:val="19"/>
              </w:rPr>
              <w:t>Most financial AI systems function as uninterpretable 'black boxes'—they predict an asset will fail without explaining what could prevent the failure. QuantCopilot resolves this through Counterfactual Explainable AI (XAI).</w:t>
            </w:r>
          </w:p>
          <w:p>
            <w:pPr>
              <w:spacing w:before="40" w:after="40"/>
            </w:pPr>
            <w:r>
              <w:rPr>
                <w:rFonts w:ascii="Calibri" w:hAnsi="Calibri"/>
                <w:color w:val="334155"/>
                <w:sz w:val="19"/>
              </w:rPr>
              <w:t>Given a distressed entity, our optimizer executes projected gradient descent to identify the minimal, actionable feature adjustments (subject to sparsity constraint k &lt;= 3) required to flip the prediction from Distressed to Stable. For instance, the system might demonstrate: 'Increasing delivery percentage by +12% and stabilizing intraday spread below 1.4% restores institutional confidence.' This transforms opaque predictive scores into concrete risk management directives.</w:t>
            </w:r>
          </w:p>
        </w:tc>
      </w:tr>
    </w:tbl>
    <w:p/>
    <w:p>
      <w:pPr>
        <w:spacing w:before="240" w:after="80"/>
      </w:pPr>
      <w:r>
        <w:rPr>
          <w:b/>
          <w:color w:val="0F172A"/>
          <w:sz w:val="19"/>
        </w:rPr>
        <w:t>QuantCopilot AI — Institutional Engineering &amp; Academic Research Specification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