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2A4A"/>
          <w:sz w:val="52"/>
        </w:rPr>
        <w:t>Orbitly SalesOS — Product Specifications</w:t>
      </w:r>
    </w:p>
    <w:p>
      <w:pPr>
        <w:jc w:val="center"/>
      </w:pPr>
      <w:r>
        <w:rPr>
          <w:color w:val="64748B"/>
          <w:sz w:val="22"/>
        </w:rPr>
        <w:t>Growth Tier · Platform release v2.6 · August 2026 · Document ID: SPEC-2026-08-G</w:t>
      </w:r>
    </w:p>
    <w:p>
      <w:pPr>
        <w:pStyle w:val="Heading1"/>
      </w:pPr>
      <w:r>
        <w:rPr>
          <w:rFonts w:ascii="Calibri" w:hAnsi="Calibri"/>
          <w:color w:val="1B2A4A"/>
        </w:rPr>
        <w:t>1. Overview</w:t>
      </w:r>
    </w:p>
    <w:p>
      <w:r>
        <w:rPr>
          <w:b w:val="0"/>
          <w:i w:val="0"/>
          <w:sz w:val="22"/>
        </w:rPr>
        <w:t>Orbitly SalesOS is a revenue-intelligence platform for B2B sales organizations. It ingests every sales call (Teams, Zoom, or telephony), transcribes it, and builds a structured deal graph that connects conversations to CRM records, email threads, and billing data. Three engines operate on that graph: Conversation Intelligence (call scoring, objection and competitor extraction), Forecast Intelligence (weekly deal scoring with confidence and reasons), and Coaching &amp; Ramp (playbook-aligned manager reviews and onboarding paths). The product is delivered as a native Salesforce application; reps never leave Salesforce.</w:t>
      </w:r>
    </w:p>
    <w:p>
      <w:r>
        <w:rPr>
          <w:b w:val="0"/>
          <w:i/>
          <w:color w:val="64748B"/>
          <w:sz w:val="20"/>
        </w:rPr>
        <w:t>This document specifies the Growth tier — the recommended tier for sales organizations that need forecast scoring and contracted adoption guarantees. Metrics quoted in customer-facing materials (85%+ forecast accuracy, 3-month ramp, +12% win rate) come from the FY2026 customer cohort and are detailed in the Orbitly case study pack.</w:t>
      </w:r>
    </w:p>
    <w:p>
      <w:pPr>
        <w:pStyle w:val="Heading1"/>
      </w:pPr>
      <w:r>
        <w:rPr>
          <w:rFonts w:ascii="Calibri" w:hAnsi="Calibri"/>
          <w:color w:val="1B2A4A"/>
        </w:rPr>
        <w:t>2. Release history</w:t>
      </w:r>
    </w:p>
    <w:tbl>
      <w:tblPr>
        <w:tblStyle w:val="LightGrid-Accent1"/>
        <w:tblW w:type="auto" w:w="0"/>
        <w:tblLook w:firstColumn="1" w:firstRow="1" w:lastColumn="0" w:lastRow="0" w:noHBand="0" w:noVBand="1" w:val="04A0"/>
      </w:tblPr>
      <w:tblGrid>
        <w:gridCol w:w="3216"/>
        <w:gridCol w:w="3216"/>
        <w:gridCol w:w="3216"/>
      </w:tblGrid>
      <w:tr>
        <w:tc>
          <w:tcPr>
            <w:tcW w:type="dxa" w:w="1440"/>
          </w:tcPr>
          <w:p>
            <w:r>
              <w:rPr>
                <w:b/>
                <w:sz w:val="20"/>
              </w:rPr>
              <w:t>Release</w:t>
            </w:r>
          </w:p>
        </w:tc>
        <w:tc>
          <w:tcPr>
            <w:tcW w:type="dxa" w:w="1584"/>
          </w:tcPr>
          <w:p>
            <w:r>
              <w:rPr>
                <w:b/>
                <w:sz w:val="20"/>
              </w:rPr>
              <w:t>Date</w:t>
            </w:r>
          </w:p>
        </w:tc>
        <w:tc>
          <w:tcPr>
            <w:tcW w:type="dxa" w:w="6768"/>
          </w:tcPr>
          <w:p>
            <w:r>
              <w:rPr>
                <w:b/>
                <w:sz w:val="20"/>
              </w:rPr>
              <w:t>Headline changes</w:t>
            </w:r>
          </w:p>
        </w:tc>
      </w:tr>
      <w:tr>
        <w:tc>
          <w:tcPr>
            <w:tcW w:type="dxa" w:w="1440"/>
          </w:tcPr>
          <w:p>
            <w:r>
              <w:rPr>
                <w:sz w:val="20"/>
              </w:rPr>
              <w:t>v2.6</w:t>
            </w:r>
          </w:p>
        </w:tc>
        <w:tc>
          <w:tcPr>
            <w:tcW w:type="dxa" w:w="1584"/>
          </w:tcPr>
          <w:p>
            <w:r>
              <w:rPr>
                <w:sz w:val="20"/>
              </w:rPr>
              <w:t>Aug 2026</w:t>
            </w:r>
          </w:p>
        </w:tc>
        <w:tc>
          <w:tcPr>
            <w:tcW w:type="dxa" w:w="6768"/>
          </w:tcPr>
          <w:p>
            <w:r>
              <w:rPr>
                <w:sz w:val="20"/>
              </w:rPr>
              <w:t>SAP billing connector GA; forecast reasons v2 (per-deal factor list); Teams ingestion at 2× speed</w:t>
            </w:r>
          </w:p>
        </w:tc>
      </w:tr>
      <w:tr>
        <w:tc>
          <w:tcPr>
            <w:tcW w:type="dxa" w:w="1440"/>
          </w:tcPr>
          <w:p>
            <w:r>
              <w:rPr>
                <w:sz w:val="20"/>
              </w:rPr>
              <w:t>v2.5</w:t>
            </w:r>
          </w:p>
        </w:tc>
        <w:tc>
          <w:tcPr>
            <w:tcW w:type="dxa" w:w="1584"/>
          </w:tcPr>
          <w:p>
            <w:r>
              <w:rPr>
                <w:sz w:val="20"/>
              </w:rPr>
              <w:t>May 2026</w:t>
            </w:r>
          </w:p>
        </w:tc>
        <w:tc>
          <w:tcPr>
            <w:tcW w:type="dxa" w:w="6768"/>
          </w:tcPr>
          <w:p>
            <w:r>
              <w:rPr>
                <w:sz w:val="20"/>
              </w:rPr>
              <w:t>EU data region (Enterprise); rep-facing coaching digest; 14 new playbook scoring dimensions</w:t>
            </w:r>
          </w:p>
        </w:tc>
      </w:tr>
      <w:tr>
        <w:tc>
          <w:tcPr>
            <w:tcW w:type="dxa" w:w="1440"/>
          </w:tcPr>
          <w:p>
            <w:r>
              <w:rPr>
                <w:sz w:val="20"/>
              </w:rPr>
              <w:t>v2.4</w:t>
            </w:r>
          </w:p>
        </w:tc>
        <w:tc>
          <w:tcPr>
            <w:tcW w:type="dxa" w:w="1584"/>
          </w:tcPr>
          <w:p>
            <w:r>
              <w:rPr>
                <w:sz w:val="20"/>
              </w:rPr>
              <w:t>Feb 2026</w:t>
            </w:r>
          </w:p>
        </w:tc>
        <w:tc>
          <w:tcPr>
            <w:tcW w:type="dxa" w:w="6768"/>
          </w:tcPr>
          <w:p>
            <w:r>
              <w:rPr>
                <w:sz w:val="20"/>
              </w:rPr>
              <w:t>Adoption guarantee (Growth); pilot-gate reporting; Salesforce embedded UI refresh</w:t>
            </w:r>
          </w:p>
        </w:tc>
      </w:tr>
      <w:tr>
        <w:tc>
          <w:tcPr>
            <w:tcW w:type="dxa" w:w="1440"/>
          </w:tcPr>
          <w:p>
            <w:r>
              <w:rPr>
                <w:sz w:val="20"/>
              </w:rPr>
              <w:t>v2.3</w:t>
            </w:r>
          </w:p>
        </w:tc>
        <w:tc>
          <w:tcPr>
            <w:tcW w:type="dxa" w:w="1584"/>
          </w:tcPr>
          <w:p>
            <w:r>
              <w:rPr>
                <w:sz w:val="20"/>
              </w:rPr>
              <w:t>Nov 2025</w:t>
            </w:r>
          </w:p>
        </w:tc>
        <w:tc>
          <w:tcPr>
            <w:tcW w:type="dxa" w:w="6768"/>
          </w:tcPr>
          <w:p>
            <w:r>
              <w:rPr>
                <w:sz w:val="20"/>
              </w:rPr>
              <w:t>Zoom telephony connector; objection taxonomy v3; bulk deal rescoring API</w:t>
            </w:r>
          </w:p>
        </w:tc>
      </w:tr>
    </w:tbl>
    <w:p/>
    <w:p>
      <w:pPr>
        <w:pStyle w:val="Heading1"/>
      </w:pPr>
      <w:r>
        <w:rPr>
          <w:rFonts w:ascii="Calibri" w:hAnsi="Calibri"/>
          <w:color w:val="1B2A4A"/>
        </w:rPr>
        <w:t>3. Module specifications</w:t>
      </w:r>
    </w:p>
    <w:p>
      <w:pPr>
        <w:pStyle w:val="Heading2"/>
      </w:pPr>
      <w:r>
        <w:rPr>
          <w:rFonts w:ascii="Calibri" w:hAnsi="Calibri"/>
          <w:color w:val="1B2A4A"/>
        </w:rPr>
        <w:t>3.1 Conversation Intelligence</w:t>
      </w:r>
    </w:p>
    <w:tbl>
      <w:tblPr>
        <w:tblStyle w:val="LightGrid-Accent1"/>
        <w:tblW w:type="auto" w:w="0"/>
        <w:tblLook w:firstColumn="1" w:firstRow="1" w:lastColumn="0" w:lastRow="0" w:noHBand="0" w:noVBand="1" w:val="04A0"/>
      </w:tblPr>
      <w:tblGrid>
        <w:gridCol w:w="4824"/>
        <w:gridCol w:w="4824"/>
      </w:tblGrid>
      <w:tr>
        <w:tc>
          <w:tcPr>
            <w:tcW w:type="dxa" w:w="3744"/>
          </w:tcPr>
          <w:p>
            <w:r>
              <w:rPr>
                <w:b/>
                <w:sz w:val="20"/>
              </w:rPr>
              <w:t>Specification</w:t>
            </w:r>
          </w:p>
        </w:tc>
        <w:tc>
          <w:tcPr>
            <w:tcW w:type="dxa" w:w="6048"/>
          </w:tcPr>
          <w:p>
            <w:r>
              <w:rPr>
                <w:b/>
                <w:sz w:val="20"/>
              </w:rPr>
              <w:t>Value</w:t>
            </w:r>
          </w:p>
        </w:tc>
      </w:tr>
      <w:tr>
        <w:tc>
          <w:tcPr>
            <w:tcW w:type="dxa" w:w="3744"/>
          </w:tcPr>
          <w:p>
            <w:r>
              <w:rPr>
                <w:sz w:val="20"/>
              </w:rPr>
              <w:t>Transcription languages</w:t>
            </w:r>
          </w:p>
        </w:tc>
        <w:tc>
          <w:tcPr>
            <w:tcW w:type="dxa" w:w="6048"/>
          </w:tcPr>
          <w:p>
            <w:r>
              <w:rPr>
                <w:sz w:val="20"/>
              </w:rPr>
              <w:t>40+ languages; English, Hindi, German, French, Spanish most deployed</w:t>
            </w:r>
          </w:p>
        </w:tc>
      </w:tr>
      <w:tr>
        <w:tc>
          <w:tcPr>
            <w:tcW w:type="dxa" w:w="3744"/>
          </w:tcPr>
          <w:p>
            <w:r>
              <w:rPr>
                <w:sz w:val="20"/>
              </w:rPr>
              <w:t>Transcription word error rate</w:t>
            </w:r>
          </w:p>
        </w:tc>
        <w:tc>
          <w:tcPr>
            <w:tcW w:type="dxa" w:w="6048"/>
          </w:tcPr>
          <w:p>
            <w:r>
              <w:rPr>
                <w:sz w:val="20"/>
              </w:rPr>
              <w:t>&lt; 8% on sales-domain audio (internal eval set, FY2026)</w:t>
            </w:r>
          </w:p>
        </w:tc>
      </w:tr>
      <w:tr>
        <w:tc>
          <w:tcPr>
            <w:tcW w:type="dxa" w:w="3744"/>
          </w:tcPr>
          <w:p>
            <w:r>
              <w:rPr>
                <w:sz w:val="20"/>
              </w:rPr>
              <w:t>Objection taxonomy</w:t>
            </w:r>
          </w:p>
        </w:tc>
        <w:tc>
          <w:tcPr>
            <w:tcW w:type="dxa" w:w="6048"/>
          </w:tcPr>
          <w:p>
            <w:r>
              <w:rPr>
                <w:sz w:val="20"/>
              </w:rPr>
              <w:t>22 categories (price, timing, competitor, security, authority, …) with per-objection confidence</w:t>
            </w:r>
          </w:p>
        </w:tc>
      </w:tr>
      <w:tr>
        <w:tc>
          <w:tcPr>
            <w:tcW w:type="dxa" w:w="3744"/>
          </w:tcPr>
          <w:p>
            <w:r>
              <w:rPr>
                <w:sz w:val="20"/>
              </w:rPr>
              <w:t>Competitor detection</w:t>
            </w:r>
          </w:p>
        </w:tc>
        <w:tc>
          <w:tcPr>
            <w:tcW w:type="dxa" w:w="6048"/>
          </w:tcPr>
          <w:p>
            <w:r>
              <w:rPr>
                <w:sz w:val="20"/>
              </w:rPr>
              <w:t>Automatic; custom competitor watchlists supported per workspace</w:t>
            </w:r>
          </w:p>
        </w:tc>
      </w:tr>
      <w:tr>
        <w:tc>
          <w:tcPr>
            <w:tcW w:type="dxa" w:w="3744"/>
          </w:tcPr>
          <w:p>
            <w:r>
              <w:rPr>
                <w:sz w:val="20"/>
              </w:rPr>
              <w:t>Playbook scoring</w:t>
            </w:r>
          </w:p>
        </w:tc>
        <w:tc>
          <w:tcPr>
            <w:tcW w:type="dxa" w:w="6048"/>
          </w:tcPr>
          <w:p>
            <w:r>
              <w:rPr>
                <w:sz w:val="20"/>
              </w:rPr>
              <w:t>Up to 40 scoring dimensions per call; custom playbooks per team</w:t>
            </w:r>
          </w:p>
        </w:tc>
      </w:tr>
      <w:tr>
        <w:tc>
          <w:tcPr>
            <w:tcW w:type="dxa" w:w="3744"/>
          </w:tcPr>
          <w:p>
            <w:r>
              <w:rPr>
                <w:sz w:val="20"/>
              </w:rPr>
              <w:t>Manager review digests</w:t>
            </w:r>
          </w:p>
        </w:tc>
        <w:tc>
          <w:tcPr>
            <w:tcW w:type="dxa" w:w="6048"/>
          </w:tcPr>
          <w:p>
            <w:r>
              <w:rPr>
                <w:sz w:val="20"/>
              </w:rPr>
              <w:t>Weekly; 2-minute highlight reels ranked by coaching value</w:t>
            </w:r>
          </w:p>
        </w:tc>
      </w:tr>
      <w:tr>
        <w:tc>
          <w:tcPr>
            <w:tcW w:type="dxa" w:w="3744"/>
          </w:tcPr>
          <w:p>
            <w:r>
              <w:rPr>
                <w:sz w:val="20"/>
              </w:rPr>
              <w:t>CRM auto-capture</w:t>
            </w:r>
          </w:p>
        </w:tc>
        <w:tc>
          <w:tcPr>
            <w:tcW w:type="dxa" w:w="6048"/>
          </w:tcPr>
          <w:p>
            <w:r>
              <w:rPr>
                <w:sz w:val="20"/>
              </w:rPr>
              <w:t>Call summary, next steps, objections, competitor mentions → Salesforce fields</w:t>
            </w:r>
          </w:p>
        </w:tc>
      </w:tr>
    </w:tbl>
    <w:p/>
    <w:p>
      <w:pPr>
        <w:pStyle w:val="Heading2"/>
      </w:pPr>
      <w:r>
        <w:rPr>
          <w:rFonts w:ascii="Calibri" w:hAnsi="Calibri"/>
          <w:color w:val="1B2A4A"/>
        </w:rPr>
        <w:t>3.2 Forecast Intelligence</w:t>
      </w:r>
    </w:p>
    <w:tbl>
      <w:tblPr>
        <w:tblStyle w:val="LightGrid-Accent1"/>
        <w:tblW w:type="auto" w:w="0"/>
        <w:tblLook w:firstColumn="1" w:firstRow="1" w:lastColumn="0" w:lastRow="0" w:noHBand="0" w:noVBand="1" w:val="04A0"/>
      </w:tblPr>
      <w:tblGrid>
        <w:gridCol w:w="4824"/>
        <w:gridCol w:w="4824"/>
      </w:tblGrid>
      <w:tr>
        <w:tc>
          <w:tcPr>
            <w:tcW w:type="dxa" w:w="3744"/>
          </w:tcPr>
          <w:p>
            <w:r>
              <w:rPr>
                <w:b/>
                <w:sz w:val="20"/>
              </w:rPr>
              <w:t>Specification</w:t>
            </w:r>
          </w:p>
        </w:tc>
        <w:tc>
          <w:tcPr>
            <w:tcW w:type="dxa" w:w="6048"/>
          </w:tcPr>
          <w:p>
            <w:r>
              <w:rPr>
                <w:b/>
                <w:sz w:val="20"/>
              </w:rPr>
              <w:t>Value</w:t>
            </w:r>
          </w:p>
        </w:tc>
      </w:tr>
      <w:tr>
        <w:tc>
          <w:tcPr>
            <w:tcW w:type="dxa" w:w="3744"/>
          </w:tcPr>
          <w:p>
            <w:r>
              <w:rPr>
                <w:sz w:val="20"/>
              </w:rPr>
              <w:t>Scoring cadence</w:t>
            </w:r>
          </w:p>
        </w:tc>
        <w:tc>
          <w:tcPr>
            <w:tcW w:type="dxa" w:w="6048"/>
          </w:tcPr>
          <w:p>
            <w:r>
              <w:rPr>
                <w:sz w:val="20"/>
              </w:rPr>
              <w:t>Nightly per-deal rescoring; weekly forecast snapshot (Monday 06:00 local)</w:t>
            </w:r>
          </w:p>
        </w:tc>
      </w:tr>
      <w:tr>
        <w:tc>
          <w:tcPr>
            <w:tcW w:type="dxa" w:w="3744"/>
          </w:tcPr>
          <w:p>
            <w:r>
              <w:rPr>
                <w:sz w:val="20"/>
              </w:rPr>
              <w:t>Reported accuracy</w:t>
            </w:r>
          </w:p>
        </w:tc>
        <w:tc>
          <w:tcPr>
            <w:tcW w:type="dxa" w:w="6048"/>
          </w:tcPr>
          <w:p>
            <w:r>
              <w:rPr>
                <w:sz w:val="20"/>
              </w:rPr>
              <w:t>60% baseline → 85%+ within two quarters (customer cohort median)</w:t>
            </w:r>
          </w:p>
        </w:tc>
      </w:tr>
      <w:tr>
        <w:tc>
          <w:tcPr>
            <w:tcW w:type="dxa" w:w="3744"/>
          </w:tcPr>
          <w:p>
            <w:r>
              <w:rPr>
                <w:sz w:val="20"/>
              </w:rPr>
              <w:t>Per-deal output</w:t>
            </w:r>
          </w:p>
        </w:tc>
        <w:tc>
          <w:tcPr>
            <w:tcW w:type="dxa" w:w="6048"/>
          </w:tcPr>
          <w:p>
            <w:r>
              <w:rPr>
                <w:sz w:val="20"/>
              </w:rPr>
              <w:t>Confidence 0–100, reason factors, slippage risk flags, pull-through estimate</w:t>
            </w:r>
          </w:p>
        </w:tc>
      </w:tr>
      <w:tr>
        <w:tc>
          <w:tcPr>
            <w:tcW w:type="dxa" w:w="3744"/>
          </w:tcPr>
          <w:p>
            <w:r>
              <w:rPr>
                <w:sz w:val="20"/>
              </w:rPr>
              <w:t>Data inputs</w:t>
            </w:r>
          </w:p>
        </w:tc>
        <w:tc>
          <w:tcPr>
            <w:tcW w:type="dxa" w:w="6048"/>
          </w:tcPr>
          <w:p>
            <w:r>
              <w:rPr>
                <w:sz w:val="20"/>
              </w:rPr>
              <w:t>Calls, email threads, CRM stage history, SAP billing/fulfillment signals</w:t>
            </w:r>
          </w:p>
        </w:tc>
      </w:tr>
      <w:tr>
        <w:tc>
          <w:tcPr>
            <w:tcW w:type="dxa" w:w="3744"/>
          </w:tcPr>
          <w:p>
            <w:r>
              <w:rPr>
                <w:sz w:val="20"/>
              </w:rPr>
              <w:t>Scenario views</w:t>
            </w:r>
          </w:p>
        </w:tc>
        <w:tc>
          <w:tcPr>
            <w:tcW w:type="dxa" w:w="6048"/>
          </w:tcPr>
          <w:p>
            <w:r>
              <w:rPr>
                <w:sz w:val="20"/>
              </w:rPr>
              <w:t>Commit / best case / pipeline rollups with variance-vs-last-week</w:t>
            </w:r>
          </w:p>
        </w:tc>
      </w:tr>
      <w:tr>
        <w:tc>
          <w:tcPr>
            <w:tcW w:type="dxa" w:w="3744"/>
          </w:tcPr>
          <w:p>
            <w:r>
              <w:rPr>
                <w:sz w:val="20"/>
              </w:rPr>
              <w:t>Alerting</w:t>
            </w:r>
          </w:p>
        </w:tc>
        <w:tc>
          <w:tcPr>
            <w:tcW w:type="dxa" w:w="6048"/>
          </w:tcPr>
          <w:p>
            <w:r>
              <w:rPr>
                <w:sz w:val="20"/>
              </w:rPr>
              <w:t>Slippage and stalling alerts to owner + manager (email, Salesforce, Teams)</w:t>
            </w:r>
          </w:p>
        </w:tc>
      </w:tr>
    </w:tbl>
    <w:p/>
    <w:p>
      <w:pPr>
        <w:pStyle w:val="Heading2"/>
      </w:pPr>
      <w:r>
        <w:rPr>
          <w:rFonts w:ascii="Calibri" w:hAnsi="Calibri"/>
          <w:color w:val="1B2A4A"/>
        </w:rPr>
        <w:t>3.3 Coaching &amp; Ramp</w:t>
      </w:r>
    </w:p>
    <w:tbl>
      <w:tblPr>
        <w:tblStyle w:val="LightGrid-Accent1"/>
        <w:tblW w:type="auto" w:w="0"/>
        <w:tblLook w:firstColumn="1" w:firstRow="1" w:lastColumn="0" w:lastRow="0" w:noHBand="0" w:noVBand="1" w:val="04A0"/>
      </w:tblPr>
      <w:tblGrid>
        <w:gridCol w:w="4824"/>
        <w:gridCol w:w="4824"/>
      </w:tblGrid>
      <w:tr>
        <w:tc>
          <w:tcPr>
            <w:tcW w:type="dxa" w:w="3744"/>
          </w:tcPr>
          <w:p>
            <w:r>
              <w:rPr>
                <w:b/>
                <w:sz w:val="20"/>
              </w:rPr>
              <w:t>Specification</w:t>
            </w:r>
          </w:p>
        </w:tc>
        <w:tc>
          <w:tcPr>
            <w:tcW w:type="dxa" w:w="6048"/>
          </w:tcPr>
          <w:p>
            <w:r>
              <w:rPr>
                <w:b/>
                <w:sz w:val="20"/>
              </w:rPr>
              <w:t>Value</w:t>
            </w:r>
          </w:p>
        </w:tc>
      </w:tr>
      <w:tr>
        <w:tc>
          <w:tcPr>
            <w:tcW w:type="dxa" w:w="3744"/>
          </w:tcPr>
          <w:p>
            <w:r>
              <w:rPr>
                <w:sz w:val="20"/>
              </w:rPr>
              <w:t>Ramp compression</w:t>
            </w:r>
          </w:p>
        </w:tc>
        <w:tc>
          <w:tcPr>
            <w:tcW w:type="dxa" w:w="6048"/>
          </w:tcPr>
          <w:p>
            <w:r>
              <w:rPr>
                <w:sz w:val="20"/>
              </w:rPr>
              <w:t>Median 6 months → 3 months to full quota (cohort median)</w:t>
            </w:r>
          </w:p>
        </w:tc>
      </w:tr>
      <w:tr>
        <w:tc>
          <w:tcPr>
            <w:tcW w:type="dxa" w:w="3744"/>
          </w:tcPr>
          <w:p>
            <w:r>
              <w:rPr>
                <w:sz w:val="20"/>
              </w:rPr>
              <w:t>Onboarding paths</w:t>
            </w:r>
          </w:p>
        </w:tc>
        <w:tc>
          <w:tcPr>
            <w:tcW w:type="dxa" w:w="6048"/>
          </w:tcPr>
          <w:p>
            <w:r>
              <w:rPr>
                <w:sz w:val="20"/>
              </w:rPr>
              <w:t>Role-based paths with call milestones and auto-graded practice pitches</w:t>
            </w:r>
          </w:p>
        </w:tc>
      </w:tr>
      <w:tr>
        <w:tc>
          <w:tcPr>
            <w:tcW w:type="dxa" w:w="3744"/>
          </w:tcPr>
          <w:p>
            <w:r>
              <w:rPr>
                <w:sz w:val="20"/>
              </w:rPr>
              <w:t>Review workflow</w:t>
            </w:r>
          </w:p>
        </w:tc>
        <w:tc>
          <w:tcPr>
            <w:tcW w:type="dxa" w:w="6048"/>
          </w:tcPr>
          <w:p>
            <w:r>
              <w:rPr>
                <w:sz w:val="20"/>
              </w:rPr>
              <w:t>Manager review target &lt; 15 minutes per rep per week</w:t>
            </w:r>
          </w:p>
        </w:tc>
      </w:tr>
      <w:tr>
        <w:tc>
          <w:tcPr>
            <w:tcW w:type="dxa" w:w="3744"/>
          </w:tcPr>
          <w:p>
            <w:r>
              <w:rPr>
                <w:sz w:val="20"/>
              </w:rPr>
              <w:t>Rep-facing mode</w:t>
            </w:r>
          </w:p>
        </w:tc>
        <w:tc>
          <w:tcPr>
            <w:tcW w:type="dxa" w:w="6048"/>
          </w:tcPr>
          <w:p>
            <w:r>
              <w:rPr>
                <w:sz w:val="20"/>
              </w:rPr>
              <w:t>Self-coaching digest first; manager visibility configurable per team</w:t>
            </w:r>
          </w:p>
        </w:tc>
      </w:tr>
    </w:tbl>
    <w:p/>
    <w:p>
      <w:pPr>
        <w:pStyle w:val="Heading1"/>
      </w:pPr>
      <w:r>
        <w:rPr>
          <w:rFonts w:ascii="Calibri" w:hAnsi="Calibri"/>
          <w:color w:val="1B2A4A"/>
        </w:rPr>
        <w:t>4. Integrations</w:t>
      </w:r>
    </w:p>
    <w:tbl>
      <w:tblPr>
        <w:tblStyle w:val="LightGrid-Accent1"/>
        <w:tblW w:type="auto" w:w="0"/>
        <w:tblLook w:firstColumn="1" w:firstRow="1" w:lastColumn="0" w:lastRow="0" w:noHBand="0" w:noVBand="1" w:val="04A0"/>
      </w:tblPr>
      <w:tblGrid>
        <w:gridCol w:w="3216"/>
        <w:gridCol w:w="3216"/>
        <w:gridCol w:w="3216"/>
      </w:tblGrid>
      <w:tr>
        <w:tc>
          <w:tcPr>
            <w:tcW w:type="dxa" w:w="2448"/>
          </w:tcPr>
          <w:p>
            <w:r>
              <w:rPr>
                <w:b/>
                <w:sz w:val="20"/>
              </w:rPr>
              <w:t>System</w:t>
            </w:r>
          </w:p>
        </w:tc>
        <w:tc>
          <w:tcPr>
            <w:tcW w:type="dxa" w:w="2736"/>
          </w:tcPr>
          <w:p>
            <w:r>
              <w:rPr>
                <w:b/>
                <w:sz w:val="20"/>
              </w:rPr>
              <w:t>Mode</w:t>
            </w:r>
          </w:p>
        </w:tc>
        <w:tc>
          <w:tcPr>
            <w:tcW w:type="dxa" w:w="4608"/>
          </w:tcPr>
          <w:p>
            <w:r>
              <w:rPr>
                <w:b/>
                <w:sz w:val="20"/>
              </w:rPr>
              <w:t>Notes</w:t>
            </w:r>
          </w:p>
        </w:tc>
      </w:tr>
      <w:tr>
        <w:tc>
          <w:tcPr>
            <w:tcW w:type="dxa" w:w="2448"/>
          </w:tcPr>
          <w:p>
            <w:r>
              <w:rPr>
                <w:sz w:val="20"/>
              </w:rPr>
              <w:t>Salesforce</w:t>
            </w:r>
          </w:p>
        </w:tc>
        <w:tc>
          <w:tcPr>
            <w:tcW w:type="dxa" w:w="2736"/>
          </w:tcPr>
          <w:p>
            <w:r>
              <w:rPr>
                <w:sz w:val="20"/>
              </w:rPr>
              <w:t>Native app, bi-directional</w:t>
            </w:r>
          </w:p>
        </w:tc>
        <w:tc>
          <w:tcPr>
            <w:tcW w:type="dxa" w:w="4608"/>
          </w:tcPr>
          <w:p>
            <w:r>
              <w:rPr>
                <w:sz w:val="20"/>
              </w:rPr>
              <w:t>Embedded UI; no separate rep login. objects: Opportunity, Task, Call2, custom</w:t>
            </w:r>
          </w:p>
        </w:tc>
      </w:tr>
      <w:tr>
        <w:tc>
          <w:tcPr>
            <w:tcW w:type="dxa" w:w="2448"/>
          </w:tcPr>
          <w:p>
            <w:r>
              <w:rPr>
                <w:sz w:val="20"/>
              </w:rPr>
              <w:t>SAP (SD/FI)</w:t>
            </w:r>
          </w:p>
        </w:tc>
        <w:tc>
          <w:tcPr>
            <w:tcW w:type="dxa" w:w="2736"/>
          </w:tcPr>
          <w:p>
            <w:r>
              <w:rPr>
                <w:sz w:val="20"/>
              </w:rPr>
              <w:t>Certified connector (v2.6 GA)</w:t>
            </w:r>
          </w:p>
        </w:tc>
        <w:tc>
          <w:tcPr>
            <w:tcW w:type="dxa" w:w="4608"/>
          </w:tcPr>
          <w:p>
            <w:r>
              <w:rPr>
                <w:sz w:val="20"/>
              </w:rPr>
              <w:t>Billing + fulfillment reconciliation into forecast factors</w:t>
            </w:r>
          </w:p>
        </w:tc>
      </w:tr>
      <w:tr>
        <w:tc>
          <w:tcPr>
            <w:tcW w:type="dxa" w:w="2448"/>
          </w:tcPr>
          <w:p>
            <w:r>
              <w:rPr>
                <w:sz w:val="20"/>
              </w:rPr>
              <w:t>Microsoft Teams</w:t>
            </w:r>
          </w:p>
        </w:tc>
        <w:tc>
          <w:tcPr>
            <w:tcW w:type="dxa" w:w="2736"/>
          </w:tcPr>
          <w:p>
            <w:r>
              <w:rPr>
                <w:sz w:val="20"/>
              </w:rPr>
              <w:t>Built-in ingestion</w:t>
            </w:r>
          </w:p>
        </w:tc>
        <w:tc>
          <w:tcPr>
            <w:tcW w:type="dxa" w:w="4608"/>
          </w:tcPr>
          <w:p>
            <w:r>
              <w:rPr>
                <w:sz w:val="20"/>
              </w:rPr>
              <w:t>Auto-join or bot-join; recordings processed at 2× real time</w:t>
            </w:r>
          </w:p>
        </w:tc>
      </w:tr>
      <w:tr>
        <w:tc>
          <w:tcPr>
            <w:tcW w:type="dxa" w:w="2448"/>
          </w:tcPr>
          <w:p>
            <w:r>
              <w:rPr>
                <w:sz w:val="20"/>
              </w:rPr>
              <w:t>Zoom</w:t>
            </w:r>
          </w:p>
        </w:tc>
        <w:tc>
          <w:tcPr>
            <w:tcW w:type="dxa" w:w="2736"/>
          </w:tcPr>
          <w:p>
            <w:r>
              <w:rPr>
                <w:sz w:val="20"/>
              </w:rPr>
              <w:t>Built-in ingestion</w:t>
            </w:r>
          </w:p>
        </w:tc>
        <w:tc>
          <w:tcPr>
            <w:tcW w:type="dxa" w:w="4608"/>
          </w:tcPr>
          <w:p>
            <w:r>
              <w:rPr>
                <w:sz w:val="20"/>
              </w:rPr>
              <w:t>Cloud recording connector; telephony bridge supported</w:t>
            </w:r>
          </w:p>
        </w:tc>
      </w:tr>
      <w:tr>
        <w:tc>
          <w:tcPr>
            <w:tcW w:type="dxa" w:w="2448"/>
          </w:tcPr>
          <w:p>
            <w:r>
              <w:rPr>
                <w:sz w:val="20"/>
              </w:rPr>
              <w:t>Gmail / Outlook 365</w:t>
            </w:r>
          </w:p>
        </w:tc>
        <w:tc>
          <w:tcPr>
            <w:tcW w:type="dxa" w:w="2736"/>
          </w:tcPr>
          <w:p>
            <w:r>
              <w:rPr>
                <w:sz w:val="20"/>
              </w:rPr>
              <w:t>Email graph ingestion</w:t>
            </w:r>
          </w:p>
        </w:tc>
        <w:tc>
          <w:tcPr>
            <w:tcW w:type="dxa" w:w="4608"/>
          </w:tcPr>
          <w:p>
            <w:r>
              <w:rPr>
                <w:sz w:val="20"/>
              </w:rPr>
              <w:t>Thread-level sentiment and commitment extraction</w:t>
            </w:r>
          </w:p>
        </w:tc>
      </w:tr>
      <w:tr>
        <w:tc>
          <w:tcPr>
            <w:tcW w:type="dxa" w:w="2448"/>
          </w:tcPr>
          <w:p>
            <w:r>
              <w:rPr>
                <w:sz w:val="20"/>
              </w:rPr>
              <w:t>REST API + Webhooks</w:t>
            </w:r>
          </w:p>
        </w:tc>
        <w:tc>
          <w:tcPr>
            <w:tcW w:type="dxa" w:w="2736"/>
          </w:tcPr>
          <w:p>
            <w:r>
              <w:rPr>
                <w:sz w:val="20"/>
              </w:rPr>
              <w:t>v2, JSON</w:t>
            </w:r>
          </w:p>
        </w:tc>
        <w:tc>
          <w:tcPr>
            <w:tcW w:type="dxa" w:w="4608"/>
          </w:tcPr>
          <w:p>
            <w:r>
              <w:rPr>
                <w:sz w:val="20"/>
              </w:rPr>
              <w:t>Deal scores, call metadata, objection events; 600 req/min per workspace</w:t>
            </w:r>
          </w:p>
        </w:tc>
      </w:tr>
    </w:tbl>
    <w:p/>
    <w:p>
      <w:pPr>
        <w:pStyle w:val="Heading1"/>
      </w:pPr>
      <w:r>
        <w:rPr>
          <w:rFonts w:ascii="Calibri" w:hAnsi="Calibri"/>
          <w:color w:val="1B2A4A"/>
        </w:rPr>
        <w:t>5. Limits, retention, and SLA</w:t>
      </w:r>
    </w:p>
    <w:tbl>
      <w:tblPr>
        <w:tblStyle w:val="LightGrid-Accent1"/>
        <w:tblW w:type="auto" w:w="0"/>
        <w:tblLook w:firstColumn="1" w:firstRow="1" w:lastColumn="0" w:lastRow="0" w:noHBand="0" w:noVBand="1" w:val="04A0"/>
      </w:tblPr>
      <w:tblGrid>
        <w:gridCol w:w="2412"/>
        <w:gridCol w:w="2412"/>
        <w:gridCol w:w="2412"/>
        <w:gridCol w:w="2412"/>
      </w:tblGrid>
      <w:tr>
        <w:tc>
          <w:tcPr>
            <w:tcW w:type="dxa" w:w="3024"/>
          </w:tcPr>
          <w:p>
            <w:r>
              <w:rPr>
                <w:b/>
                <w:sz w:val="20"/>
              </w:rPr>
              <w:t>Item</w:t>
            </w:r>
          </w:p>
        </w:tc>
        <w:tc>
          <w:tcPr>
            <w:tcW w:type="dxa" w:w="2160"/>
          </w:tcPr>
          <w:p>
            <w:r>
              <w:rPr>
                <w:b/>
                <w:sz w:val="20"/>
              </w:rPr>
              <w:t>Team</w:t>
            </w:r>
          </w:p>
        </w:tc>
        <w:tc>
          <w:tcPr>
            <w:tcW w:type="dxa" w:w="2448"/>
          </w:tcPr>
          <w:p>
            <w:r>
              <w:rPr>
                <w:b/>
                <w:sz w:val="20"/>
              </w:rPr>
              <w:t>Growth</w:t>
            </w:r>
          </w:p>
        </w:tc>
        <w:tc>
          <w:tcPr>
            <w:tcW w:type="dxa" w:w="2160"/>
          </w:tcPr>
          <w:p>
            <w:r>
              <w:rPr>
                <w:b/>
                <w:sz w:val="20"/>
              </w:rPr>
              <w:t>Enterprise</w:t>
            </w:r>
          </w:p>
        </w:tc>
      </w:tr>
      <w:tr>
        <w:tc>
          <w:tcPr>
            <w:tcW w:type="dxa" w:w="3024"/>
          </w:tcPr>
          <w:p>
            <w:r>
              <w:rPr>
                <w:sz w:val="20"/>
              </w:rPr>
              <w:t>Seats (min–max)</w:t>
            </w:r>
          </w:p>
        </w:tc>
        <w:tc>
          <w:tcPr>
            <w:tcW w:type="dxa" w:w="2160"/>
          </w:tcPr>
          <w:p>
            <w:r>
              <w:rPr>
                <w:sz w:val="20"/>
              </w:rPr>
              <w:t>10–250</w:t>
            </w:r>
          </w:p>
        </w:tc>
        <w:tc>
          <w:tcPr>
            <w:tcW w:type="dxa" w:w="2448"/>
          </w:tcPr>
          <w:p>
            <w:r>
              <w:rPr>
                <w:sz w:val="20"/>
              </w:rPr>
              <w:t>25–1,000</w:t>
            </w:r>
          </w:p>
        </w:tc>
        <w:tc>
          <w:tcPr>
            <w:tcW w:type="dxa" w:w="2160"/>
          </w:tcPr>
          <w:p>
            <w:r>
              <w:rPr>
                <w:sz w:val="20"/>
              </w:rPr>
              <w:t>Unlimited</w:t>
            </w:r>
          </w:p>
        </w:tc>
      </w:tr>
      <w:tr>
        <w:tc>
          <w:tcPr>
            <w:tcW w:type="dxa" w:w="3024"/>
          </w:tcPr>
          <w:p>
            <w:r>
              <w:rPr>
                <w:sz w:val="20"/>
              </w:rPr>
              <w:t>Call audio retention</w:t>
            </w:r>
          </w:p>
        </w:tc>
        <w:tc>
          <w:tcPr>
            <w:tcW w:type="dxa" w:w="2160"/>
          </w:tcPr>
          <w:p>
            <w:r>
              <w:rPr>
                <w:sz w:val="20"/>
              </w:rPr>
              <w:t>12 months</w:t>
            </w:r>
          </w:p>
        </w:tc>
        <w:tc>
          <w:tcPr>
            <w:tcW w:type="dxa" w:w="2448"/>
          </w:tcPr>
          <w:p>
            <w:r>
              <w:rPr>
                <w:sz w:val="20"/>
              </w:rPr>
              <w:t>24 months</w:t>
            </w:r>
          </w:p>
        </w:tc>
        <w:tc>
          <w:tcPr>
            <w:tcW w:type="dxa" w:w="2160"/>
          </w:tcPr>
          <w:p>
            <w:r>
              <w:rPr>
                <w:sz w:val="20"/>
              </w:rPr>
              <w:t>36 months, customer-managed keys</w:t>
            </w:r>
          </w:p>
        </w:tc>
      </w:tr>
      <w:tr>
        <w:tc>
          <w:tcPr>
            <w:tcW w:type="dxa" w:w="3024"/>
          </w:tcPr>
          <w:p>
            <w:r>
              <w:rPr>
                <w:sz w:val="20"/>
              </w:rPr>
              <w:t>API rate limit</w:t>
            </w:r>
          </w:p>
        </w:tc>
        <w:tc>
          <w:tcPr>
            <w:tcW w:type="dxa" w:w="2160"/>
          </w:tcPr>
          <w:p>
            <w:r>
              <w:rPr>
                <w:sz w:val="20"/>
              </w:rPr>
              <w:t>200 req/min</w:t>
            </w:r>
          </w:p>
        </w:tc>
        <w:tc>
          <w:tcPr>
            <w:tcW w:type="dxa" w:w="2448"/>
          </w:tcPr>
          <w:p>
            <w:r>
              <w:rPr>
                <w:sz w:val="20"/>
              </w:rPr>
              <w:t>600 req/min</w:t>
            </w:r>
          </w:p>
        </w:tc>
        <w:tc>
          <w:tcPr>
            <w:tcW w:type="dxa" w:w="2160"/>
          </w:tcPr>
          <w:p>
            <w:r>
              <w:rPr>
                <w:sz w:val="20"/>
              </w:rPr>
              <w:t>Custom</w:t>
            </w:r>
          </w:p>
        </w:tc>
      </w:tr>
      <w:tr>
        <w:tc>
          <w:tcPr>
            <w:tcW w:type="dxa" w:w="3024"/>
          </w:tcPr>
          <w:p>
            <w:r>
              <w:rPr>
                <w:sz w:val="20"/>
              </w:rPr>
              <w:t>Data residency</w:t>
            </w:r>
          </w:p>
        </w:tc>
        <w:tc>
          <w:tcPr>
            <w:tcW w:type="dxa" w:w="2160"/>
          </w:tcPr>
          <w:p>
            <w:r>
              <w:rPr>
                <w:sz w:val="20"/>
              </w:rPr>
              <w:t>US</w:t>
            </w:r>
          </w:p>
        </w:tc>
        <w:tc>
          <w:tcPr>
            <w:tcW w:type="dxa" w:w="2448"/>
          </w:tcPr>
          <w:p>
            <w:r>
              <w:rPr>
                <w:sz w:val="20"/>
              </w:rPr>
              <w:t>In-region add-on (India/EU)</w:t>
            </w:r>
          </w:p>
        </w:tc>
        <w:tc>
          <w:tcPr>
            <w:tcW w:type="dxa" w:w="2160"/>
          </w:tcPr>
          <w:p>
            <w:r>
              <w:rPr>
                <w:sz w:val="20"/>
              </w:rPr>
              <w:t>Included (India/EU/US)</w:t>
            </w:r>
          </w:p>
        </w:tc>
      </w:tr>
      <w:tr>
        <w:tc>
          <w:tcPr>
            <w:tcW w:type="dxa" w:w="3024"/>
          </w:tcPr>
          <w:p>
            <w:r>
              <w:rPr>
                <w:sz w:val="20"/>
              </w:rPr>
              <w:t>Uptime SLA</w:t>
            </w:r>
          </w:p>
        </w:tc>
        <w:tc>
          <w:tcPr>
            <w:tcW w:type="dxa" w:w="2160"/>
          </w:tcPr>
          <w:p>
            <w:r>
              <w:rPr>
                <w:sz w:val="20"/>
              </w:rPr>
              <w:t>—</w:t>
            </w:r>
          </w:p>
        </w:tc>
        <w:tc>
          <w:tcPr>
            <w:tcW w:type="dxa" w:w="2448"/>
          </w:tcPr>
          <w:p>
            <w:r>
              <w:rPr>
                <w:sz w:val="20"/>
              </w:rPr>
              <w:t>99.9%</w:t>
            </w:r>
          </w:p>
        </w:tc>
        <w:tc>
          <w:tcPr>
            <w:tcW w:type="dxa" w:w="2160"/>
          </w:tcPr>
          <w:p>
            <w:r>
              <w:rPr>
                <w:sz w:val="20"/>
              </w:rPr>
              <w:t>99.95% + priority support</w:t>
            </w:r>
          </w:p>
        </w:tc>
      </w:tr>
      <w:tr>
        <w:tc>
          <w:tcPr>
            <w:tcW w:type="dxa" w:w="3024"/>
          </w:tcPr>
          <w:p>
            <w:r>
              <w:rPr>
                <w:sz w:val="20"/>
              </w:rPr>
              <w:t>Adoption guarantee</w:t>
            </w:r>
          </w:p>
        </w:tc>
        <w:tc>
          <w:tcPr>
            <w:tcW w:type="dxa" w:w="2160"/>
          </w:tcPr>
          <w:p>
            <w:r>
              <w:rPr>
                <w:sz w:val="20"/>
              </w:rPr>
              <w:t>—</w:t>
            </w:r>
          </w:p>
        </w:tc>
        <w:tc>
          <w:tcPr>
            <w:tcW w:type="dxa" w:w="2448"/>
          </w:tcPr>
          <w:p>
            <w:r>
              <w:rPr>
                <w:sz w:val="20"/>
              </w:rPr>
              <w:t>Contracted</w:t>
            </w:r>
          </w:p>
        </w:tc>
        <w:tc>
          <w:tcPr>
            <w:tcW w:type="dxa" w:w="2160"/>
          </w:tcPr>
          <w:p>
            <w:r>
              <w:rPr>
                <w:sz w:val="20"/>
              </w:rPr>
              <w:t>Contracted</w:t>
            </w:r>
          </w:p>
        </w:tc>
      </w:tr>
      <w:tr>
        <w:tc>
          <w:tcPr>
            <w:tcW w:type="dxa" w:w="3024"/>
          </w:tcPr>
          <w:p>
            <w:r>
              <w:rPr>
                <w:sz w:val="20"/>
              </w:rPr>
              <w:t>Price / seat / year</w:t>
            </w:r>
          </w:p>
        </w:tc>
        <w:tc>
          <w:tcPr>
            <w:tcW w:type="dxa" w:w="2160"/>
          </w:tcPr>
          <w:p>
            <w:r>
              <w:rPr>
                <w:sz w:val="20"/>
              </w:rPr>
              <w:t>$480</w:t>
            </w:r>
          </w:p>
        </w:tc>
        <w:tc>
          <w:tcPr>
            <w:tcW w:type="dxa" w:w="2448"/>
          </w:tcPr>
          <w:p>
            <w:r>
              <w:rPr>
                <w:sz w:val="20"/>
              </w:rPr>
              <w:t>$600</w:t>
            </w:r>
          </w:p>
        </w:tc>
        <w:tc>
          <w:tcPr>
            <w:tcW w:type="dxa" w:w="2160"/>
          </w:tcPr>
          <w:p>
            <w:r>
              <w:rPr>
                <w:sz w:val="20"/>
              </w:rPr>
              <w:t>Custom</w:t>
            </w:r>
          </w:p>
        </w:tc>
      </w:tr>
    </w:tbl>
    <w:p/>
    <w:p>
      <w:pPr>
        <w:pStyle w:val="Heading1"/>
      </w:pPr>
      <w:r>
        <w:rPr>
          <w:rFonts w:ascii="Calibri" w:hAnsi="Calibri"/>
          <w:color w:val="1B2A4A"/>
        </w:rPr>
        <w:t>6. Ingestion performance</w:t>
      </w:r>
    </w:p>
    <w:p>
      <w:r>
        <w:rPr>
          <w:b w:val="0"/>
          <w:i w:val="0"/>
          <w:sz w:val="22"/>
        </w:rPr>
        <w:t>Pipeline latency from call end to searchable transcript and scored deal, by daily ingestion volume. The p99 SLO of six minutes holds to roughly 25,000 calls/day on a standard Growth deployment; above that, sharded ingestion is provisioned. Figure 1 below shows the measured cohort medians for release v2.6.</w:t>
      </w:r>
    </w:p>
    <w:p>
      <w:pPr>
        <w:jc w:val="center"/>
      </w:pPr>
      <w:r>
        <w:drawing>
          <wp:inline xmlns:a="http://schemas.openxmlformats.org/drawingml/2006/main" xmlns:pic="http://schemas.openxmlformats.org/drawingml/2006/picture">
            <wp:extent cx="5669280" cy="2667896"/>
            <wp:docPr id="1" name="Picture 1"/>
            <wp:cNvGraphicFramePr>
              <a:graphicFrameLocks noChangeAspect="1"/>
            </wp:cNvGraphicFramePr>
            <a:graphic>
              <a:graphicData uri="http://schemas.openxmlformats.org/drawingml/2006/picture">
                <pic:pic>
                  <pic:nvPicPr>
                    <pic:cNvPr id="0" name="img_ingest_latency.png"/>
                    <pic:cNvPicPr/>
                  </pic:nvPicPr>
                  <pic:blipFill>
                    <a:blip r:embed="rId9"/>
                    <a:stretch>
                      <a:fillRect/>
                    </a:stretch>
                  </pic:blipFill>
                  <pic:spPr>
                    <a:xfrm>
                      <a:off x="0" y="0"/>
                      <a:ext cx="5669280" cy="2667896"/>
                    </a:xfrm>
                    <a:prstGeom prst="rect"/>
                  </pic:spPr>
                </pic:pic>
              </a:graphicData>
            </a:graphic>
          </wp:inline>
        </w:drawing>
      </w:r>
    </w:p>
    <w:p>
      <w:pPr>
        <w:jc w:val="center"/>
      </w:pPr>
      <w:r>
        <w:rPr>
          <w:b w:val="0"/>
          <w:i/>
          <w:color w:val="64748B"/>
          <w:sz w:val="18"/>
        </w:rPr>
        <w:t>Figure 1 — Ingestion latency (minutes) by daily call volume, v2.6, FY2026 cohort.</w:t>
      </w:r>
    </w:p>
    <w:p>
      <w:pPr>
        <w:pStyle w:val="Heading1"/>
      </w:pPr>
      <w:r>
        <w:rPr>
          <w:rFonts w:ascii="Calibri" w:hAnsi="Calibri"/>
          <w:color w:val="1B2A4A"/>
        </w:rPr>
        <w:t>7. Security and compliance</w:t>
      </w:r>
    </w:p>
    <w:p>
      <w:r>
        <w:rPr>
          <w:b w:val="0"/>
          <w:i w:val="0"/>
          <w:sz w:val="22"/>
        </w:rPr>
        <w:t>Orbitly maintains SOC 2 Type II and ISO 27001 certifications. Customer call data is never used to train any model. Data residency for India and the EU is included on the Enterprise tier and available as an in-region processing add-on on Growth. A signed DPA with EU Standard Contractual Clauses is provided in the security pack, alongside penetration-test summaries and the current sub-processor list.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